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DBA02" w14:textId="77777777" w:rsidR="003905F4" w:rsidRPr="006122EE" w:rsidRDefault="002D0AE8" w:rsidP="00014647">
      <w:pPr>
        <w:rPr>
          <w:rStyle w:val="CoverSub-titleChar"/>
          <w:sz w:val="17"/>
        </w:rPr>
      </w:pPr>
      <w:bookmarkStart w:id="0" w:name="_GoBack"/>
      <w:bookmarkEnd w:id="0"/>
      <w:r w:rsidRPr="00866D96">
        <w:rPr>
          <w:noProof/>
          <w:lang w:val="en-US" w:eastAsia="en-US"/>
        </w:rPr>
        <w:drawing>
          <wp:anchor distT="0" distB="0" distL="114300" distR="114300" simplePos="0" relativeHeight="251649536" behindDoc="0" locked="0" layoutInCell="1" allowOverlap="1" wp14:anchorId="37D0915E" wp14:editId="57658D1A">
            <wp:simplePos x="0" y="0"/>
            <wp:positionH relativeFrom="column">
              <wp:posOffset>2412365</wp:posOffset>
            </wp:positionH>
            <wp:positionV relativeFrom="paragraph">
              <wp:posOffset>2540</wp:posOffset>
            </wp:positionV>
            <wp:extent cx="1428750" cy="1486150"/>
            <wp:effectExtent l="0" t="0" r="0" b="0"/>
            <wp:wrapNone/>
            <wp:docPr id="4"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100" cy="14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59C04" w14:textId="77777777" w:rsidR="003905F4" w:rsidRPr="006122EE" w:rsidRDefault="003905F4" w:rsidP="00014647">
      <w:pPr>
        <w:rPr>
          <w:rStyle w:val="CoverSub-titleChar"/>
          <w:sz w:val="17"/>
        </w:rPr>
      </w:pPr>
    </w:p>
    <w:p w14:paraId="507F359F" w14:textId="77777777" w:rsidR="003905F4" w:rsidRPr="006122EE" w:rsidRDefault="003905F4" w:rsidP="00014647">
      <w:pPr>
        <w:rPr>
          <w:rStyle w:val="CoverSub-titleChar"/>
          <w:sz w:val="17"/>
        </w:rPr>
      </w:pPr>
    </w:p>
    <w:p w14:paraId="3B38EB74" w14:textId="77777777" w:rsidR="003905F4" w:rsidRPr="006122EE" w:rsidRDefault="003905F4" w:rsidP="00014647">
      <w:pPr>
        <w:rPr>
          <w:rStyle w:val="CoverSub-titleChar"/>
          <w:sz w:val="17"/>
        </w:rPr>
      </w:pPr>
    </w:p>
    <w:p w14:paraId="11ADA10D" w14:textId="77777777" w:rsidR="003905F4" w:rsidRPr="006122EE" w:rsidRDefault="003905F4" w:rsidP="00014647">
      <w:pPr>
        <w:rPr>
          <w:rStyle w:val="CoverSub-titleChar"/>
          <w:sz w:val="17"/>
        </w:rPr>
      </w:pPr>
    </w:p>
    <w:p w14:paraId="4D083661" w14:textId="77777777" w:rsidR="003905F4" w:rsidRPr="006122EE" w:rsidRDefault="003905F4" w:rsidP="00014647">
      <w:pPr>
        <w:rPr>
          <w:rStyle w:val="CoverSub-titleChar"/>
          <w:sz w:val="17"/>
        </w:rPr>
      </w:pPr>
    </w:p>
    <w:p w14:paraId="4F1B0C17" w14:textId="77777777" w:rsidR="003905F4" w:rsidRPr="006122EE" w:rsidRDefault="003905F4" w:rsidP="00014647">
      <w:pPr>
        <w:rPr>
          <w:rStyle w:val="CoverSub-titleChar"/>
          <w:sz w:val="17"/>
        </w:rPr>
      </w:pPr>
    </w:p>
    <w:p w14:paraId="5BABBAED" w14:textId="77777777" w:rsidR="0078432D" w:rsidRPr="006122EE" w:rsidRDefault="0078432D" w:rsidP="0067797B">
      <w:pPr>
        <w:pStyle w:val="CoverTitle"/>
        <w:jc w:val="both"/>
        <w:rPr>
          <w:rStyle w:val="CoverTitleChar"/>
          <w:lang w:val="en-GB"/>
        </w:rPr>
      </w:pPr>
    </w:p>
    <w:p w14:paraId="662EF781" w14:textId="77777777" w:rsidR="0078432D" w:rsidRPr="006122EE" w:rsidRDefault="0078432D" w:rsidP="0067797B">
      <w:pPr>
        <w:pStyle w:val="CoverTitle"/>
        <w:jc w:val="both"/>
        <w:rPr>
          <w:rStyle w:val="CoverTitleChar"/>
          <w:lang w:val="en-GB"/>
        </w:rPr>
      </w:pPr>
    </w:p>
    <w:p w14:paraId="32D9EECC" w14:textId="77777777" w:rsidR="00EF72B4" w:rsidRPr="006122EE" w:rsidRDefault="006A7B6A" w:rsidP="00226469">
      <w:pPr>
        <w:pStyle w:val="CoverTitle"/>
        <w:ind w:right="757"/>
        <w:jc w:val="both"/>
        <w:rPr>
          <w:rStyle w:val="CoverTitleChar"/>
          <w:lang w:val="en-GB"/>
        </w:rPr>
      </w:pPr>
      <w:r w:rsidRPr="006122EE">
        <w:rPr>
          <w:rStyle w:val="CoverTitleChar"/>
          <w:lang w:val="en-GB"/>
        </w:rPr>
        <w:t xml:space="preserve">Support to SE4ALL Country Actions processes in </w:t>
      </w:r>
      <w:r w:rsidR="002D0AE8" w:rsidRPr="006122EE">
        <w:rPr>
          <w:rStyle w:val="CoverTitleChar"/>
          <w:lang w:val="en-GB"/>
        </w:rPr>
        <w:t>Malawi</w:t>
      </w:r>
    </w:p>
    <w:p w14:paraId="6DAAE744" w14:textId="77777777" w:rsidR="0081235D" w:rsidRPr="006122EE" w:rsidRDefault="0081235D" w:rsidP="0067797B">
      <w:pPr>
        <w:pStyle w:val="CoverTitle"/>
        <w:jc w:val="both"/>
        <w:rPr>
          <w:rStyle w:val="CoverTitleChar"/>
          <w:lang w:val="en-GB"/>
        </w:rPr>
      </w:pPr>
    </w:p>
    <w:p w14:paraId="50770FC4" w14:textId="77777777" w:rsidR="00874F0E" w:rsidRPr="006122EE" w:rsidRDefault="00CB3F5C" w:rsidP="0067797B">
      <w:pPr>
        <w:pStyle w:val="CoverSub-title"/>
        <w:jc w:val="both"/>
        <w:rPr>
          <w:rStyle w:val="CoverSub-titleChar"/>
          <w:color w:val="92D400"/>
        </w:rPr>
      </w:pPr>
      <w:r w:rsidRPr="006122EE">
        <w:rPr>
          <w:rStyle w:val="CoverSub-titleChar"/>
          <w:color w:val="92D400"/>
        </w:rPr>
        <w:t>Action Agenda</w:t>
      </w:r>
    </w:p>
    <w:p w14:paraId="02A4B9FC" w14:textId="77777777" w:rsidR="00B301B6" w:rsidRPr="006122EE" w:rsidRDefault="00B301B6" w:rsidP="0067797B">
      <w:pPr>
        <w:pStyle w:val="CoverSub-title"/>
        <w:jc w:val="both"/>
        <w:rPr>
          <w:rStyle w:val="CoverSub-titleChar"/>
          <w:i/>
          <w:color w:val="92D400"/>
          <w:sz w:val="32"/>
        </w:rPr>
      </w:pPr>
    </w:p>
    <w:p w14:paraId="047F9B9E" w14:textId="77777777" w:rsidR="007E20BA" w:rsidRPr="006122EE" w:rsidRDefault="00163AFA" w:rsidP="0067797B">
      <w:pPr>
        <w:pStyle w:val="CoverSub-title"/>
        <w:jc w:val="both"/>
        <w:rPr>
          <w:rStyle w:val="CoverSub-titleChar"/>
          <w:i/>
          <w:color w:val="92D400"/>
          <w:sz w:val="32"/>
        </w:rPr>
      </w:pPr>
      <w:r w:rsidRPr="006122EE">
        <w:rPr>
          <w:rStyle w:val="CoverSub-titleChar"/>
          <w:i/>
          <w:color w:val="92D400"/>
          <w:sz w:val="32"/>
        </w:rPr>
        <w:t xml:space="preserve">May </w:t>
      </w:r>
      <w:r w:rsidR="00650699" w:rsidRPr="006122EE">
        <w:rPr>
          <w:rStyle w:val="CoverSub-titleChar"/>
          <w:i/>
          <w:color w:val="92D400"/>
          <w:sz w:val="32"/>
        </w:rPr>
        <w:t>2017</w:t>
      </w:r>
    </w:p>
    <w:p w14:paraId="2E81B02D" w14:textId="77777777" w:rsidR="00EF43AB" w:rsidRPr="006122EE" w:rsidRDefault="00EF43AB" w:rsidP="007C2D8B"/>
    <w:p w14:paraId="40508C86" w14:textId="77777777" w:rsidR="003905F4" w:rsidRPr="006122EE" w:rsidRDefault="003905F4" w:rsidP="007C2D8B"/>
    <w:p w14:paraId="6D2BC7A2" w14:textId="77777777" w:rsidR="007C2D8B" w:rsidRPr="006122EE" w:rsidRDefault="007C2D8B" w:rsidP="007C2D8B"/>
    <w:p w14:paraId="43967701" w14:textId="77777777" w:rsidR="007C2D8B" w:rsidRPr="006122EE" w:rsidRDefault="007C2D8B" w:rsidP="007C2D8B"/>
    <w:p w14:paraId="7E604397" w14:textId="77777777" w:rsidR="00B37C73" w:rsidRPr="006122EE" w:rsidRDefault="0084012C" w:rsidP="0084012C">
      <w:pPr>
        <w:pStyle w:val="CoverTitle"/>
        <w:ind w:left="0"/>
        <w:jc w:val="both"/>
        <w:rPr>
          <w:rStyle w:val="CoverSub-titleChar"/>
          <w:rFonts w:ascii="Arial" w:hAnsi="Arial"/>
          <w:color w:val="000000" w:themeColor="text1"/>
          <w:sz w:val="17"/>
          <w:lang w:val="en-GB"/>
        </w:rPr>
      </w:pPr>
      <w:r w:rsidRPr="00866D96">
        <w:rPr>
          <w:rFonts w:asciiTheme="majorHAnsi" w:hAnsiTheme="majorHAnsi"/>
          <w:noProof/>
          <w:sz w:val="18"/>
          <w:lang w:eastAsia="en-US"/>
        </w:rPr>
        <w:drawing>
          <wp:inline distT="0" distB="0" distL="0" distR="0" wp14:anchorId="6DE302FF" wp14:editId="38F6E7B3">
            <wp:extent cx="5971540" cy="155635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1556355"/>
                    </a:xfrm>
                    <a:prstGeom prst="rect">
                      <a:avLst/>
                    </a:prstGeom>
                  </pic:spPr>
                </pic:pic>
              </a:graphicData>
            </a:graphic>
          </wp:inline>
        </w:drawing>
      </w:r>
    </w:p>
    <w:p w14:paraId="4E0DFD14" w14:textId="77777777" w:rsidR="00081445" w:rsidRPr="006122EE" w:rsidRDefault="00081445" w:rsidP="006F00AA"/>
    <w:p w14:paraId="09B2C09C" w14:textId="77777777" w:rsidR="006570B8" w:rsidRPr="006122EE" w:rsidRDefault="006570B8" w:rsidP="006F00AA"/>
    <w:p w14:paraId="2993DA12" w14:textId="77777777" w:rsidR="007C2D8B" w:rsidRPr="006122EE" w:rsidRDefault="007C2D8B" w:rsidP="006F00AA"/>
    <w:p w14:paraId="28219D43" w14:textId="77777777" w:rsidR="007C2D8B" w:rsidRPr="006122EE" w:rsidRDefault="007C2D8B" w:rsidP="006F00AA"/>
    <w:p w14:paraId="2C9ADA13" w14:textId="77777777" w:rsidR="007C2D8B" w:rsidRPr="006122EE" w:rsidRDefault="00717D5E" w:rsidP="006F00AA">
      <w:r w:rsidRPr="00866D96">
        <w:rPr>
          <w:noProof/>
          <w:lang w:val="en-US" w:eastAsia="en-US"/>
        </w:rPr>
        <w:drawing>
          <wp:anchor distT="0" distB="0" distL="114300" distR="114300" simplePos="0" relativeHeight="251655680" behindDoc="0" locked="0" layoutInCell="1" allowOverlap="1" wp14:anchorId="732389A1" wp14:editId="3563C9E5">
            <wp:simplePos x="0" y="0"/>
            <wp:positionH relativeFrom="margin">
              <wp:posOffset>4050665</wp:posOffset>
            </wp:positionH>
            <wp:positionV relativeFrom="paragraph">
              <wp:posOffset>205740</wp:posOffset>
            </wp:positionV>
            <wp:extent cx="1615615" cy="1047750"/>
            <wp:effectExtent l="0" t="0" r="3810" b="0"/>
            <wp:wrapNone/>
            <wp:docPr id="60" name="Picture 60" descr="http://www.econolerint.com/images/upload/Econ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nolerint.com/images/upload/Econol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273" cy="1049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D05C" w14:textId="77777777" w:rsidR="007C2D8B" w:rsidRPr="006122EE" w:rsidRDefault="007C2D8B" w:rsidP="006F00AA"/>
    <w:p w14:paraId="3FC241DF" w14:textId="77777777" w:rsidR="007C2D8B" w:rsidRPr="006122EE" w:rsidRDefault="00717D5E" w:rsidP="006F00AA">
      <w:r w:rsidRPr="00866D96">
        <w:rPr>
          <w:noProof/>
          <w:lang w:val="en-US" w:eastAsia="en-US"/>
        </w:rPr>
        <w:drawing>
          <wp:anchor distT="0" distB="0" distL="114300" distR="114300" simplePos="0" relativeHeight="251657728" behindDoc="0" locked="0" layoutInCell="1" allowOverlap="1" wp14:anchorId="504518F4" wp14:editId="05DB1C6A">
            <wp:simplePos x="0" y="0"/>
            <wp:positionH relativeFrom="column">
              <wp:posOffset>240665</wp:posOffset>
            </wp:positionH>
            <wp:positionV relativeFrom="paragraph">
              <wp:posOffset>148033</wp:posOffset>
            </wp:positionV>
            <wp:extent cx="1743075" cy="379652"/>
            <wp:effectExtent l="0" t="0" r="0" b="1905"/>
            <wp:wrapNone/>
            <wp:docPr id="59" name="Picture 59" descr="https://upload.wikimedia.org/wikipedia/commons/thumb/5/56/Deloitte.svg/2000px-Deloi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6/Deloitte.svg/2000px-Deloitte.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674" cy="38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E9CC" w14:textId="77777777" w:rsidR="007C2D8B" w:rsidRPr="006122EE" w:rsidRDefault="007C2D8B" w:rsidP="006F00AA"/>
    <w:p w14:paraId="52C6EC28" w14:textId="77777777" w:rsidR="00447F6F" w:rsidRPr="006122EE" w:rsidRDefault="008C4F52" w:rsidP="0067797B">
      <w:pPr>
        <w:pStyle w:val="TOCHeading"/>
      </w:pPr>
      <w:r w:rsidRPr="006122EE">
        <w:lastRenderedPageBreak/>
        <w:t>Table of contents</w:t>
      </w:r>
    </w:p>
    <w:p w14:paraId="345EAB73" w14:textId="77777777" w:rsidR="00866D96" w:rsidRDefault="006341A4">
      <w:pPr>
        <w:pStyle w:val="TOC1"/>
        <w:rPr>
          <w:rFonts w:asciiTheme="minorHAnsi" w:eastAsiaTheme="minorEastAsia" w:hAnsiTheme="minorHAnsi" w:cstheme="minorBidi"/>
          <w:b w:val="0"/>
          <w:smallCaps w:val="0"/>
          <w:color w:val="auto"/>
          <w:sz w:val="22"/>
          <w:szCs w:val="22"/>
          <w:lang w:val="fr-FR" w:eastAsia="fr-FR"/>
        </w:rPr>
      </w:pPr>
      <w:r w:rsidRPr="006122EE">
        <w:rPr>
          <w:noProof w:val="0"/>
        </w:rPr>
        <w:fldChar w:fldCharType="begin"/>
      </w:r>
      <w:r w:rsidRPr="006122EE">
        <w:rPr>
          <w:noProof w:val="0"/>
        </w:rPr>
        <w:instrText xml:space="preserve"> TOC \o "1-4" \h \z \u </w:instrText>
      </w:r>
      <w:r w:rsidRPr="006122EE">
        <w:rPr>
          <w:noProof w:val="0"/>
        </w:rPr>
        <w:fldChar w:fldCharType="separate"/>
      </w:r>
      <w:hyperlink w:anchor="_Toc481614864" w:history="1">
        <w:r w:rsidR="00866D96" w:rsidRPr="00494621">
          <w:rPr>
            <w:rStyle w:val="Hyperlink"/>
          </w:rPr>
          <w:t>1.</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Executive Summary</w:t>
        </w:r>
        <w:r w:rsidR="00866D96">
          <w:rPr>
            <w:webHidden/>
          </w:rPr>
          <w:tab/>
        </w:r>
        <w:r w:rsidR="00866D96">
          <w:rPr>
            <w:webHidden/>
          </w:rPr>
          <w:fldChar w:fldCharType="begin"/>
        </w:r>
        <w:r w:rsidR="00866D96">
          <w:rPr>
            <w:webHidden/>
          </w:rPr>
          <w:instrText xml:space="preserve"> PAGEREF _Toc481614864 \h </w:instrText>
        </w:r>
        <w:r w:rsidR="00866D96">
          <w:rPr>
            <w:webHidden/>
          </w:rPr>
        </w:r>
        <w:r w:rsidR="00866D96">
          <w:rPr>
            <w:webHidden/>
          </w:rPr>
          <w:fldChar w:fldCharType="separate"/>
        </w:r>
        <w:r w:rsidR="00866D96">
          <w:rPr>
            <w:webHidden/>
          </w:rPr>
          <w:t>9</w:t>
        </w:r>
        <w:r w:rsidR="00866D96">
          <w:rPr>
            <w:webHidden/>
          </w:rPr>
          <w:fldChar w:fldCharType="end"/>
        </w:r>
      </w:hyperlink>
    </w:p>
    <w:p w14:paraId="2EE42A5A"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865" w:history="1">
        <w:r w:rsidR="00866D96" w:rsidRPr="00494621">
          <w:rPr>
            <w:rStyle w:val="Hyperlink"/>
            <w14:scene3d>
              <w14:camera w14:prst="orthographicFront"/>
              <w14:lightRig w14:rig="threePt" w14:dir="t">
                <w14:rot w14:lat="0" w14:lon="0" w14:rev="0"/>
              </w14:lightRig>
            </w14:scene3d>
          </w:rPr>
          <w:t>1.1</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Targets</w:t>
        </w:r>
        <w:r w:rsidR="00866D96">
          <w:rPr>
            <w:webHidden/>
          </w:rPr>
          <w:tab/>
        </w:r>
        <w:r w:rsidR="00866D96">
          <w:rPr>
            <w:webHidden/>
          </w:rPr>
          <w:fldChar w:fldCharType="begin"/>
        </w:r>
        <w:r w:rsidR="00866D96">
          <w:rPr>
            <w:webHidden/>
          </w:rPr>
          <w:instrText xml:space="preserve"> PAGEREF _Toc481614865 \h </w:instrText>
        </w:r>
        <w:r w:rsidR="00866D96">
          <w:rPr>
            <w:webHidden/>
          </w:rPr>
        </w:r>
        <w:r w:rsidR="00866D96">
          <w:rPr>
            <w:webHidden/>
          </w:rPr>
          <w:fldChar w:fldCharType="separate"/>
        </w:r>
        <w:r w:rsidR="00866D96">
          <w:rPr>
            <w:webHidden/>
          </w:rPr>
          <w:t>10</w:t>
        </w:r>
        <w:r w:rsidR="00866D96">
          <w:rPr>
            <w:webHidden/>
          </w:rPr>
          <w:fldChar w:fldCharType="end"/>
        </w:r>
      </w:hyperlink>
    </w:p>
    <w:p w14:paraId="023994CB"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66" w:history="1">
        <w:r w:rsidR="00866D96" w:rsidRPr="00494621">
          <w:rPr>
            <w:rStyle w:val="Hyperlink"/>
          </w:rPr>
          <w:t>1.1.1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Energy Access Targets – 2030</w:t>
        </w:r>
        <w:r w:rsidR="00866D96">
          <w:rPr>
            <w:webHidden/>
          </w:rPr>
          <w:tab/>
        </w:r>
        <w:r w:rsidR="00866D96">
          <w:rPr>
            <w:webHidden/>
          </w:rPr>
          <w:fldChar w:fldCharType="begin"/>
        </w:r>
        <w:r w:rsidR="00866D96">
          <w:rPr>
            <w:webHidden/>
          </w:rPr>
          <w:instrText xml:space="preserve"> PAGEREF _Toc481614866 \h </w:instrText>
        </w:r>
        <w:r w:rsidR="00866D96">
          <w:rPr>
            <w:webHidden/>
          </w:rPr>
        </w:r>
        <w:r w:rsidR="00866D96">
          <w:rPr>
            <w:webHidden/>
          </w:rPr>
          <w:fldChar w:fldCharType="separate"/>
        </w:r>
        <w:r w:rsidR="00866D96">
          <w:rPr>
            <w:webHidden/>
          </w:rPr>
          <w:t>10</w:t>
        </w:r>
        <w:r w:rsidR="00866D96">
          <w:rPr>
            <w:webHidden/>
          </w:rPr>
          <w:fldChar w:fldCharType="end"/>
        </w:r>
      </w:hyperlink>
    </w:p>
    <w:p w14:paraId="760DD7E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67" w:history="1">
        <w:r w:rsidR="00866D96" w:rsidRPr="00494621">
          <w:rPr>
            <w:rStyle w:val="Hyperlink"/>
          </w:rPr>
          <w:t>1.1.2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Renewable Energy Targets -2030</w:t>
        </w:r>
        <w:r w:rsidR="00866D96">
          <w:rPr>
            <w:webHidden/>
          </w:rPr>
          <w:tab/>
        </w:r>
        <w:r w:rsidR="00866D96">
          <w:rPr>
            <w:webHidden/>
          </w:rPr>
          <w:fldChar w:fldCharType="begin"/>
        </w:r>
        <w:r w:rsidR="00866D96">
          <w:rPr>
            <w:webHidden/>
          </w:rPr>
          <w:instrText xml:space="preserve"> PAGEREF _Toc481614867 \h </w:instrText>
        </w:r>
        <w:r w:rsidR="00866D96">
          <w:rPr>
            <w:webHidden/>
          </w:rPr>
        </w:r>
        <w:r w:rsidR="00866D96">
          <w:rPr>
            <w:webHidden/>
          </w:rPr>
          <w:fldChar w:fldCharType="separate"/>
        </w:r>
        <w:r w:rsidR="00866D96">
          <w:rPr>
            <w:webHidden/>
          </w:rPr>
          <w:t>11</w:t>
        </w:r>
        <w:r w:rsidR="00866D96">
          <w:rPr>
            <w:webHidden/>
          </w:rPr>
          <w:fldChar w:fldCharType="end"/>
        </w:r>
      </w:hyperlink>
    </w:p>
    <w:p w14:paraId="0C20C6EA"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68" w:history="1">
        <w:r w:rsidR="00866D96" w:rsidRPr="00494621">
          <w:rPr>
            <w:rStyle w:val="Hyperlink"/>
          </w:rPr>
          <w:t>1.1.3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Energy Efficiency Targets -2030</w:t>
        </w:r>
        <w:r w:rsidR="00866D96">
          <w:rPr>
            <w:webHidden/>
          </w:rPr>
          <w:tab/>
        </w:r>
        <w:r w:rsidR="00866D96">
          <w:rPr>
            <w:webHidden/>
          </w:rPr>
          <w:fldChar w:fldCharType="begin"/>
        </w:r>
        <w:r w:rsidR="00866D96">
          <w:rPr>
            <w:webHidden/>
          </w:rPr>
          <w:instrText xml:space="preserve"> PAGEREF _Toc481614868 \h </w:instrText>
        </w:r>
        <w:r w:rsidR="00866D96">
          <w:rPr>
            <w:webHidden/>
          </w:rPr>
        </w:r>
        <w:r w:rsidR="00866D96">
          <w:rPr>
            <w:webHidden/>
          </w:rPr>
          <w:fldChar w:fldCharType="separate"/>
        </w:r>
        <w:r w:rsidR="00866D96">
          <w:rPr>
            <w:webHidden/>
          </w:rPr>
          <w:t>11</w:t>
        </w:r>
        <w:r w:rsidR="00866D96">
          <w:rPr>
            <w:webHidden/>
          </w:rPr>
          <w:fldChar w:fldCharType="end"/>
        </w:r>
      </w:hyperlink>
    </w:p>
    <w:p w14:paraId="607BAB24"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69" w:history="1">
        <w:r w:rsidR="00866D96" w:rsidRPr="00494621">
          <w:rPr>
            <w:rStyle w:val="Hyperlink"/>
          </w:rPr>
          <w:t>1.1.4</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Transportation Targets</w:t>
        </w:r>
        <w:r w:rsidR="00866D96">
          <w:rPr>
            <w:webHidden/>
          </w:rPr>
          <w:tab/>
        </w:r>
        <w:r w:rsidR="00866D96">
          <w:rPr>
            <w:webHidden/>
          </w:rPr>
          <w:fldChar w:fldCharType="begin"/>
        </w:r>
        <w:r w:rsidR="00866D96">
          <w:rPr>
            <w:webHidden/>
          </w:rPr>
          <w:instrText xml:space="preserve"> PAGEREF _Toc481614869 \h </w:instrText>
        </w:r>
        <w:r w:rsidR="00866D96">
          <w:rPr>
            <w:webHidden/>
          </w:rPr>
        </w:r>
        <w:r w:rsidR="00866D96">
          <w:rPr>
            <w:webHidden/>
          </w:rPr>
          <w:fldChar w:fldCharType="separate"/>
        </w:r>
        <w:r w:rsidR="00866D96">
          <w:rPr>
            <w:webHidden/>
          </w:rPr>
          <w:t>12</w:t>
        </w:r>
        <w:r w:rsidR="00866D96">
          <w:rPr>
            <w:webHidden/>
          </w:rPr>
          <w:fldChar w:fldCharType="end"/>
        </w:r>
      </w:hyperlink>
    </w:p>
    <w:p w14:paraId="03615D66"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870" w:history="1">
        <w:r w:rsidR="00866D96" w:rsidRPr="00494621">
          <w:rPr>
            <w:rStyle w:val="Hyperlink"/>
            <w14:scene3d>
              <w14:camera w14:prst="orthographicFront"/>
              <w14:lightRig w14:rig="threePt" w14:dir="t">
                <w14:rot w14:lat="0" w14:lon="0" w14:rev="0"/>
              </w14:lightRig>
            </w14:scene3d>
          </w:rPr>
          <w:t>1.2</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Priority actions</w:t>
        </w:r>
        <w:r w:rsidR="00866D96">
          <w:rPr>
            <w:webHidden/>
          </w:rPr>
          <w:tab/>
        </w:r>
        <w:r w:rsidR="00866D96">
          <w:rPr>
            <w:webHidden/>
          </w:rPr>
          <w:fldChar w:fldCharType="begin"/>
        </w:r>
        <w:r w:rsidR="00866D96">
          <w:rPr>
            <w:webHidden/>
          </w:rPr>
          <w:instrText xml:space="preserve"> PAGEREF _Toc481614870 \h </w:instrText>
        </w:r>
        <w:r w:rsidR="00866D96">
          <w:rPr>
            <w:webHidden/>
          </w:rPr>
        </w:r>
        <w:r w:rsidR="00866D96">
          <w:rPr>
            <w:webHidden/>
          </w:rPr>
          <w:fldChar w:fldCharType="separate"/>
        </w:r>
        <w:r w:rsidR="00866D96">
          <w:rPr>
            <w:webHidden/>
          </w:rPr>
          <w:t>12</w:t>
        </w:r>
        <w:r w:rsidR="00866D96">
          <w:rPr>
            <w:webHidden/>
          </w:rPr>
          <w:fldChar w:fldCharType="end"/>
        </w:r>
      </w:hyperlink>
    </w:p>
    <w:p w14:paraId="4948B2F3"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71" w:history="1">
        <w:r w:rsidR="00866D96" w:rsidRPr="00494621">
          <w:rPr>
            <w:rStyle w:val="Hyperlink"/>
          </w:rPr>
          <w:t>1.2.1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Access to improved cooking</w:t>
        </w:r>
        <w:r w:rsidR="00866D96">
          <w:rPr>
            <w:webHidden/>
          </w:rPr>
          <w:tab/>
        </w:r>
        <w:r w:rsidR="00866D96">
          <w:rPr>
            <w:webHidden/>
          </w:rPr>
          <w:fldChar w:fldCharType="begin"/>
        </w:r>
        <w:r w:rsidR="00866D96">
          <w:rPr>
            <w:webHidden/>
          </w:rPr>
          <w:instrText xml:space="preserve"> PAGEREF _Toc481614871 \h </w:instrText>
        </w:r>
        <w:r w:rsidR="00866D96">
          <w:rPr>
            <w:webHidden/>
          </w:rPr>
        </w:r>
        <w:r w:rsidR="00866D96">
          <w:rPr>
            <w:webHidden/>
          </w:rPr>
          <w:fldChar w:fldCharType="separate"/>
        </w:r>
        <w:r w:rsidR="00866D96">
          <w:rPr>
            <w:webHidden/>
          </w:rPr>
          <w:t>12</w:t>
        </w:r>
        <w:r w:rsidR="00866D96">
          <w:rPr>
            <w:webHidden/>
          </w:rPr>
          <w:fldChar w:fldCharType="end"/>
        </w:r>
      </w:hyperlink>
    </w:p>
    <w:p w14:paraId="0505E42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72" w:history="1">
        <w:r w:rsidR="00866D96" w:rsidRPr="00494621">
          <w:rPr>
            <w:rStyle w:val="Hyperlink"/>
          </w:rPr>
          <w:t>1.2.2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Access to electricity</w:t>
        </w:r>
        <w:r w:rsidR="00866D96">
          <w:rPr>
            <w:webHidden/>
          </w:rPr>
          <w:tab/>
        </w:r>
        <w:r w:rsidR="00866D96">
          <w:rPr>
            <w:webHidden/>
          </w:rPr>
          <w:fldChar w:fldCharType="begin"/>
        </w:r>
        <w:r w:rsidR="00866D96">
          <w:rPr>
            <w:webHidden/>
          </w:rPr>
          <w:instrText xml:space="preserve"> PAGEREF _Toc481614872 \h </w:instrText>
        </w:r>
        <w:r w:rsidR="00866D96">
          <w:rPr>
            <w:webHidden/>
          </w:rPr>
        </w:r>
        <w:r w:rsidR="00866D96">
          <w:rPr>
            <w:webHidden/>
          </w:rPr>
          <w:fldChar w:fldCharType="separate"/>
        </w:r>
        <w:r w:rsidR="00866D96">
          <w:rPr>
            <w:webHidden/>
          </w:rPr>
          <w:t>12</w:t>
        </w:r>
        <w:r w:rsidR="00866D96">
          <w:rPr>
            <w:webHidden/>
          </w:rPr>
          <w:fldChar w:fldCharType="end"/>
        </w:r>
      </w:hyperlink>
    </w:p>
    <w:p w14:paraId="4E0E77C5"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73" w:history="1">
        <w:r w:rsidR="00866D96" w:rsidRPr="00494621">
          <w:rPr>
            <w:rStyle w:val="Hyperlink"/>
          </w:rPr>
          <w:t>1.2.3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Renewable energy</w:t>
        </w:r>
        <w:r w:rsidR="00866D96">
          <w:rPr>
            <w:webHidden/>
          </w:rPr>
          <w:tab/>
        </w:r>
        <w:r w:rsidR="00866D96">
          <w:rPr>
            <w:webHidden/>
          </w:rPr>
          <w:fldChar w:fldCharType="begin"/>
        </w:r>
        <w:r w:rsidR="00866D96">
          <w:rPr>
            <w:webHidden/>
          </w:rPr>
          <w:instrText xml:space="preserve"> PAGEREF _Toc481614873 \h </w:instrText>
        </w:r>
        <w:r w:rsidR="00866D96">
          <w:rPr>
            <w:webHidden/>
          </w:rPr>
        </w:r>
        <w:r w:rsidR="00866D96">
          <w:rPr>
            <w:webHidden/>
          </w:rPr>
          <w:fldChar w:fldCharType="separate"/>
        </w:r>
        <w:r w:rsidR="00866D96">
          <w:rPr>
            <w:webHidden/>
          </w:rPr>
          <w:t>13</w:t>
        </w:r>
        <w:r w:rsidR="00866D96">
          <w:rPr>
            <w:webHidden/>
          </w:rPr>
          <w:fldChar w:fldCharType="end"/>
        </w:r>
      </w:hyperlink>
    </w:p>
    <w:p w14:paraId="1C15A4F9" w14:textId="77777777" w:rsidR="00866D96" w:rsidRDefault="00DC7D8C">
      <w:pPr>
        <w:pStyle w:val="TOC4"/>
        <w:rPr>
          <w:i w:val="0"/>
          <w:color w:val="auto"/>
          <w:sz w:val="22"/>
          <w:lang w:val="fr-FR"/>
        </w:rPr>
      </w:pPr>
      <w:hyperlink w:anchor="_Toc481614874" w:history="1">
        <w:r w:rsidR="00866D96" w:rsidRPr="00494621">
          <w:rPr>
            <w:rStyle w:val="Hyperlink"/>
            <w:lang w:eastAsia="en-US"/>
          </w:rPr>
          <w:t>Comprehensive Renewable Energy Policy</w:t>
        </w:r>
        <w:r w:rsidR="00866D96">
          <w:rPr>
            <w:webHidden/>
          </w:rPr>
          <w:tab/>
        </w:r>
        <w:r w:rsidR="00866D96">
          <w:rPr>
            <w:webHidden/>
          </w:rPr>
          <w:fldChar w:fldCharType="begin"/>
        </w:r>
        <w:r w:rsidR="00866D96">
          <w:rPr>
            <w:webHidden/>
          </w:rPr>
          <w:instrText xml:space="preserve"> PAGEREF _Toc481614874 \h </w:instrText>
        </w:r>
        <w:r w:rsidR="00866D96">
          <w:rPr>
            <w:webHidden/>
          </w:rPr>
        </w:r>
        <w:r w:rsidR="00866D96">
          <w:rPr>
            <w:webHidden/>
          </w:rPr>
          <w:fldChar w:fldCharType="separate"/>
        </w:r>
        <w:r w:rsidR="00866D96">
          <w:rPr>
            <w:webHidden/>
          </w:rPr>
          <w:t>13</w:t>
        </w:r>
        <w:r w:rsidR="00866D96">
          <w:rPr>
            <w:webHidden/>
          </w:rPr>
          <w:fldChar w:fldCharType="end"/>
        </w:r>
      </w:hyperlink>
    </w:p>
    <w:p w14:paraId="0566A739" w14:textId="77777777" w:rsidR="00866D96" w:rsidRDefault="00DC7D8C">
      <w:pPr>
        <w:pStyle w:val="TOC4"/>
        <w:rPr>
          <w:i w:val="0"/>
          <w:color w:val="auto"/>
          <w:sz w:val="22"/>
          <w:lang w:val="fr-FR"/>
        </w:rPr>
      </w:pPr>
      <w:hyperlink w:anchor="_Toc481614875" w:history="1">
        <w:r w:rsidR="00866D96" w:rsidRPr="00494621">
          <w:rPr>
            <w:rStyle w:val="Hyperlink"/>
          </w:rPr>
          <w:t>Policy on Independent Power Producers (IPPs)</w:t>
        </w:r>
        <w:r w:rsidR="00866D96">
          <w:rPr>
            <w:webHidden/>
          </w:rPr>
          <w:tab/>
        </w:r>
        <w:r w:rsidR="00866D96">
          <w:rPr>
            <w:webHidden/>
          </w:rPr>
          <w:fldChar w:fldCharType="begin"/>
        </w:r>
        <w:r w:rsidR="00866D96">
          <w:rPr>
            <w:webHidden/>
          </w:rPr>
          <w:instrText xml:space="preserve"> PAGEREF _Toc481614875 \h </w:instrText>
        </w:r>
        <w:r w:rsidR="00866D96">
          <w:rPr>
            <w:webHidden/>
          </w:rPr>
        </w:r>
        <w:r w:rsidR="00866D96">
          <w:rPr>
            <w:webHidden/>
          </w:rPr>
          <w:fldChar w:fldCharType="separate"/>
        </w:r>
        <w:r w:rsidR="00866D96">
          <w:rPr>
            <w:webHidden/>
          </w:rPr>
          <w:t>13</w:t>
        </w:r>
        <w:r w:rsidR="00866D96">
          <w:rPr>
            <w:webHidden/>
          </w:rPr>
          <w:fldChar w:fldCharType="end"/>
        </w:r>
      </w:hyperlink>
    </w:p>
    <w:p w14:paraId="4E29E31D" w14:textId="77777777" w:rsidR="00866D96" w:rsidRDefault="00DC7D8C">
      <w:pPr>
        <w:pStyle w:val="TOC4"/>
        <w:rPr>
          <w:i w:val="0"/>
          <w:color w:val="auto"/>
          <w:sz w:val="22"/>
          <w:lang w:val="fr-FR"/>
        </w:rPr>
      </w:pPr>
      <w:hyperlink w:anchor="_Toc481614876" w:history="1">
        <w:r w:rsidR="00866D96" w:rsidRPr="00494621">
          <w:rPr>
            <w:rStyle w:val="Hyperlink"/>
          </w:rPr>
          <w:t>Address Financial Barriers</w:t>
        </w:r>
        <w:r w:rsidR="00866D96">
          <w:rPr>
            <w:webHidden/>
          </w:rPr>
          <w:tab/>
        </w:r>
        <w:r w:rsidR="00866D96">
          <w:rPr>
            <w:webHidden/>
          </w:rPr>
          <w:fldChar w:fldCharType="begin"/>
        </w:r>
        <w:r w:rsidR="00866D96">
          <w:rPr>
            <w:webHidden/>
          </w:rPr>
          <w:instrText xml:space="preserve"> PAGEREF _Toc481614876 \h </w:instrText>
        </w:r>
        <w:r w:rsidR="00866D96">
          <w:rPr>
            <w:webHidden/>
          </w:rPr>
        </w:r>
        <w:r w:rsidR="00866D96">
          <w:rPr>
            <w:webHidden/>
          </w:rPr>
          <w:fldChar w:fldCharType="separate"/>
        </w:r>
        <w:r w:rsidR="00866D96">
          <w:rPr>
            <w:webHidden/>
          </w:rPr>
          <w:t>14</w:t>
        </w:r>
        <w:r w:rsidR="00866D96">
          <w:rPr>
            <w:webHidden/>
          </w:rPr>
          <w:fldChar w:fldCharType="end"/>
        </w:r>
      </w:hyperlink>
    </w:p>
    <w:p w14:paraId="37FAAC39" w14:textId="77777777" w:rsidR="00866D96" w:rsidRDefault="00DC7D8C">
      <w:pPr>
        <w:pStyle w:val="TOC4"/>
        <w:rPr>
          <w:i w:val="0"/>
          <w:color w:val="auto"/>
          <w:sz w:val="22"/>
          <w:lang w:val="fr-FR"/>
        </w:rPr>
      </w:pPr>
      <w:hyperlink w:anchor="_Toc481614877" w:history="1">
        <w:r w:rsidR="00866D96" w:rsidRPr="00494621">
          <w:rPr>
            <w:rStyle w:val="Hyperlink"/>
          </w:rPr>
          <w:t>The Government will take steps to address the financial barriers that currently exist for RE projects, thereby de-risking the investments</w:t>
        </w:r>
        <w:r w:rsidR="00866D96">
          <w:rPr>
            <w:webHidden/>
          </w:rPr>
          <w:tab/>
        </w:r>
        <w:r w:rsidR="00866D96">
          <w:rPr>
            <w:webHidden/>
          </w:rPr>
          <w:fldChar w:fldCharType="begin"/>
        </w:r>
        <w:r w:rsidR="00866D96">
          <w:rPr>
            <w:webHidden/>
          </w:rPr>
          <w:instrText xml:space="preserve"> PAGEREF _Toc481614877 \h </w:instrText>
        </w:r>
        <w:r w:rsidR="00866D96">
          <w:rPr>
            <w:webHidden/>
          </w:rPr>
        </w:r>
        <w:r w:rsidR="00866D96">
          <w:rPr>
            <w:webHidden/>
          </w:rPr>
          <w:fldChar w:fldCharType="separate"/>
        </w:r>
        <w:r w:rsidR="00866D96">
          <w:rPr>
            <w:webHidden/>
          </w:rPr>
          <w:t>14</w:t>
        </w:r>
        <w:r w:rsidR="00866D96">
          <w:rPr>
            <w:webHidden/>
          </w:rPr>
          <w:fldChar w:fldCharType="end"/>
        </w:r>
      </w:hyperlink>
    </w:p>
    <w:p w14:paraId="26ADD4A2" w14:textId="77777777" w:rsidR="00866D96" w:rsidRDefault="00DC7D8C">
      <w:pPr>
        <w:pStyle w:val="TOC4"/>
        <w:rPr>
          <w:i w:val="0"/>
          <w:color w:val="auto"/>
          <w:sz w:val="22"/>
          <w:lang w:val="fr-FR"/>
        </w:rPr>
      </w:pPr>
      <w:hyperlink w:anchor="_Toc481614878" w:history="1">
        <w:r w:rsidR="00866D96" w:rsidRPr="00494621">
          <w:rPr>
            <w:rStyle w:val="Hyperlink"/>
            <w:lang w:eastAsia="en-GB"/>
          </w:rPr>
          <w:t>National Energy Efficiency &amp; Renewable Energy Development Commission</w:t>
        </w:r>
        <w:r w:rsidR="00866D96">
          <w:rPr>
            <w:webHidden/>
          </w:rPr>
          <w:tab/>
        </w:r>
        <w:r w:rsidR="00866D96">
          <w:rPr>
            <w:webHidden/>
          </w:rPr>
          <w:fldChar w:fldCharType="begin"/>
        </w:r>
        <w:r w:rsidR="00866D96">
          <w:rPr>
            <w:webHidden/>
          </w:rPr>
          <w:instrText xml:space="preserve"> PAGEREF _Toc481614878 \h </w:instrText>
        </w:r>
        <w:r w:rsidR="00866D96">
          <w:rPr>
            <w:webHidden/>
          </w:rPr>
        </w:r>
        <w:r w:rsidR="00866D96">
          <w:rPr>
            <w:webHidden/>
          </w:rPr>
          <w:fldChar w:fldCharType="separate"/>
        </w:r>
        <w:r w:rsidR="00866D96">
          <w:rPr>
            <w:webHidden/>
          </w:rPr>
          <w:t>14</w:t>
        </w:r>
        <w:r w:rsidR="00866D96">
          <w:rPr>
            <w:webHidden/>
          </w:rPr>
          <w:fldChar w:fldCharType="end"/>
        </w:r>
      </w:hyperlink>
    </w:p>
    <w:p w14:paraId="75C32117" w14:textId="77777777" w:rsidR="00866D96" w:rsidRDefault="00DC7D8C">
      <w:pPr>
        <w:pStyle w:val="TOC4"/>
        <w:rPr>
          <w:i w:val="0"/>
          <w:color w:val="auto"/>
          <w:sz w:val="22"/>
          <w:lang w:val="fr-FR"/>
        </w:rPr>
      </w:pPr>
      <w:hyperlink w:anchor="_Toc481614879" w:history="1">
        <w:r w:rsidR="00866D96" w:rsidRPr="00494621">
          <w:rPr>
            <w:rStyle w:val="Hyperlink"/>
          </w:rPr>
          <w:t xml:space="preserve">The Government will consider establishing a dedicated EE/RE </w:t>
        </w:r>
        <w:r w:rsidR="00866D96" w:rsidRPr="00494621">
          <w:rPr>
            <w:rStyle w:val="Hyperlink"/>
            <w:lang w:eastAsia="en-GB"/>
          </w:rPr>
          <w:t>commission</w:t>
        </w:r>
        <w:r w:rsidR="00866D96">
          <w:rPr>
            <w:webHidden/>
          </w:rPr>
          <w:tab/>
        </w:r>
        <w:r w:rsidR="00866D96">
          <w:rPr>
            <w:webHidden/>
          </w:rPr>
          <w:fldChar w:fldCharType="begin"/>
        </w:r>
        <w:r w:rsidR="00866D96">
          <w:rPr>
            <w:webHidden/>
          </w:rPr>
          <w:instrText xml:space="preserve"> PAGEREF _Toc481614879 \h </w:instrText>
        </w:r>
        <w:r w:rsidR="00866D96">
          <w:rPr>
            <w:webHidden/>
          </w:rPr>
        </w:r>
        <w:r w:rsidR="00866D96">
          <w:rPr>
            <w:webHidden/>
          </w:rPr>
          <w:fldChar w:fldCharType="separate"/>
        </w:r>
        <w:r w:rsidR="00866D96">
          <w:rPr>
            <w:webHidden/>
          </w:rPr>
          <w:t>14</w:t>
        </w:r>
        <w:r w:rsidR="00866D96">
          <w:rPr>
            <w:webHidden/>
          </w:rPr>
          <w:fldChar w:fldCharType="end"/>
        </w:r>
      </w:hyperlink>
    </w:p>
    <w:p w14:paraId="59D9722E" w14:textId="77777777" w:rsidR="00866D96" w:rsidRDefault="00DC7D8C">
      <w:pPr>
        <w:pStyle w:val="TOC4"/>
        <w:rPr>
          <w:i w:val="0"/>
          <w:color w:val="auto"/>
          <w:sz w:val="22"/>
          <w:lang w:val="fr-FR"/>
        </w:rPr>
      </w:pPr>
      <w:hyperlink w:anchor="_Toc481614880" w:history="1">
        <w:r w:rsidR="00866D96" w:rsidRPr="00494621">
          <w:rPr>
            <w:rStyle w:val="Hyperlink"/>
          </w:rPr>
          <w:t>Modernize the Electric Grid</w:t>
        </w:r>
        <w:r w:rsidR="00866D96">
          <w:rPr>
            <w:webHidden/>
          </w:rPr>
          <w:tab/>
        </w:r>
        <w:r w:rsidR="00866D96">
          <w:rPr>
            <w:webHidden/>
          </w:rPr>
          <w:fldChar w:fldCharType="begin"/>
        </w:r>
        <w:r w:rsidR="00866D96">
          <w:rPr>
            <w:webHidden/>
          </w:rPr>
          <w:instrText xml:space="preserve"> PAGEREF _Toc481614880 \h </w:instrText>
        </w:r>
        <w:r w:rsidR="00866D96">
          <w:rPr>
            <w:webHidden/>
          </w:rPr>
        </w:r>
        <w:r w:rsidR="00866D96">
          <w:rPr>
            <w:webHidden/>
          </w:rPr>
          <w:fldChar w:fldCharType="separate"/>
        </w:r>
        <w:r w:rsidR="00866D96">
          <w:rPr>
            <w:webHidden/>
          </w:rPr>
          <w:t>14</w:t>
        </w:r>
        <w:r w:rsidR="00866D96">
          <w:rPr>
            <w:webHidden/>
          </w:rPr>
          <w:fldChar w:fldCharType="end"/>
        </w:r>
      </w:hyperlink>
    </w:p>
    <w:p w14:paraId="05FE2E40" w14:textId="77777777" w:rsidR="00866D96" w:rsidRDefault="00DC7D8C">
      <w:pPr>
        <w:pStyle w:val="TOC4"/>
        <w:rPr>
          <w:i w:val="0"/>
          <w:color w:val="auto"/>
          <w:sz w:val="22"/>
          <w:lang w:val="fr-FR"/>
        </w:rPr>
      </w:pPr>
      <w:hyperlink w:anchor="_Toc481614881" w:history="1">
        <w:r w:rsidR="00866D96" w:rsidRPr="00494621">
          <w:rPr>
            <w:rStyle w:val="Hyperlink"/>
            <w:lang w:eastAsia="en-GB"/>
          </w:rPr>
          <w:t>Education and Training</w:t>
        </w:r>
        <w:r w:rsidR="00866D96">
          <w:rPr>
            <w:webHidden/>
          </w:rPr>
          <w:tab/>
        </w:r>
        <w:r w:rsidR="00866D96">
          <w:rPr>
            <w:webHidden/>
          </w:rPr>
          <w:fldChar w:fldCharType="begin"/>
        </w:r>
        <w:r w:rsidR="00866D96">
          <w:rPr>
            <w:webHidden/>
          </w:rPr>
          <w:instrText xml:space="preserve"> PAGEREF _Toc481614881 \h </w:instrText>
        </w:r>
        <w:r w:rsidR="00866D96">
          <w:rPr>
            <w:webHidden/>
          </w:rPr>
        </w:r>
        <w:r w:rsidR="00866D96">
          <w:rPr>
            <w:webHidden/>
          </w:rPr>
          <w:fldChar w:fldCharType="separate"/>
        </w:r>
        <w:r w:rsidR="00866D96">
          <w:rPr>
            <w:webHidden/>
          </w:rPr>
          <w:t>15</w:t>
        </w:r>
        <w:r w:rsidR="00866D96">
          <w:rPr>
            <w:webHidden/>
          </w:rPr>
          <w:fldChar w:fldCharType="end"/>
        </w:r>
      </w:hyperlink>
    </w:p>
    <w:p w14:paraId="0340F112" w14:textId="77777777" w:rsidR="00866D96" w:rsidRDefault="00DC7D8C">
      <w:pPr>
        <w:pStyle w:val="TOC4"/>
        <w:rPr>
          <w:i w:val="0"/>
          <w:color w:val="auto"/>
          <w:sz w:val="22"/>
          <w:lang w:val="fr-FR"/>
        </w:rPr>
      </w:pPr>
      <w:hyperlink w:anchor="_Toc481614882" w:history="1">
        <w:r w:rsidR="00866D96" w:rsidRPr="00494621">
          <w:rPr>
            <w:rStyle w:val="Hyperlink"/>
            <w:lang w:eastAsia="en-GB"/>
          </w:rPr>
          <w:t>The Government will implement</w:t>
        </w:r>
        <w:r w:rsidR="00866D96" w:rsidRPr="00494621">
          <w:rPr>
            <w:rStyle w:val="Hyperlink"/>
          </w:rPr>
          <w:t xml:space="preserve"> RE education and training </w:t>
        </w:r>
        <w:r w:rsidR="00866D96" w:rsidRPr="00494621">
          <w:rPr>
            <w:rStyle w:val="Hyperlink"/>
            <w:lang w:eastAsia="en-GB"/>
          </w:rPr>
          <w:t>program</w:t>
        </w:r>
        <w:r w:rsidR="00371195">
          <w:rPr>
            <w:rStyle w:val="Hyperlink"/>
            <w:lang w:eastAsia="en-GB"/>
          </w:rPr>
          <w:t>me</w:t>
        </w:r>
        <w:r w:rsidR="00866D96" w:rsidRPr="00494621">
          <w:rPr>
            <w:rStyle w:val="Hyperlink"/>
            <w:lang w:eastAsia="en-GB"/>
          </w:rPr>
          <w:t>s</w:t>
        </w:r>
        <w:r w:rsidR="00866D96">
          <w:rPr>
            <w:webHidden/>
          </w:rPr>
          <w:tab/>
        </w:r>
        <w:r w:rsidR="00866D96">
          <w:rPr>
            <w:webHidden/>
          </w:rPr>
          <w:fldChar w:fldCharType="begin"/>
        </w:r>
        <w:r w:rsidR="00866D96">
          <w:rPr>
            <w:webHidden/>
          </w:rPr>
          <w:instrText xml:space="preserve"> PAGEREF _Toc481614882 \h </w:instrText>
        </w:r>
        <w:r w:rsidR="00866D96">
          <w:rPr>
            <w:webHidden/>
          </w:rPr>
        </w:r>
        <w:r w:rsidR="00866D96">
          <w:rPr>
            <w:webHidden/>
          </w:rPr>
          <w:fldChar w:fldCharType="separate"/>
        </w:r>
        <w:r w:rsidR="00866D96">
          <w:rPr>
            <w:webHidden/>
          </w:rPr>
          <w:t>15</w:t>
        </w:r>
        <w:r w:rsidR="00866D96">
          <w:rPr>
            <w:webHidden/>
          </w:rPr>
          <w:fldChar w:fldCharType="end"/>
        </w:r>
      </w:hyperlink>
    </w:p>
    <w:p w14:paraId="6D6CEC45"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83" w:history="1">
        <w:r w:rsidR="00866D96" w:rsidRPr="00494621">
          <w:rPr>
            <w:rStyle w:val="Hyperlink"/>
          </w:rPr>
          <w:t>1.2.4</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Energy Efficiency</w:t>
        </w:r>
        <w:r w:rsidR="00866D96">
          <w:rPr>
            <w:webHidden/>
          </w:rPr>
          <w:tab/>
        </w:r>
        <w:r w:rsidR="00866D96">
          <w:rPr>
            <w:webHidden/>
          </w:rPr>
          <w:fldChar w:fldCharType="begin"/>
        </w:r>
        <w:r w:rsidR="00866D96">
          <w:rPr>
            <w:webHidden/>
          </w:rPr>
          <w:instrText xml:space="preserve"> PAGEREF _Toc481614883 \h </w:instrText>
        </w:r>
        <w:r w:rsidR="00866D96">
          <w:rPr>
            <w:webHidden/>
          </w:rPr>
        </w:r>
        <w:r w:rsidR="00866D96">
          <w:rPr>
            <w:webHidden/>
          </w:rPr>
          <w:fldChar w:fldCharType="separate"/>
        </w:r>
        <w:r w:rsidR="00866D96">
          <w:rPr>
            <w:webHidden/>
          </w:rPr>
          <w:t>15</w:t>
        </w:r>
        <w:r w:rsidR="00866D96">
          <w:rPr>
            <w:webHidden/>
          </w:rPr>
          <w:fldChar w:fldCharType="end"/>
        </w:r>
      </w:hyperlink>
    </w:p>
    <w:p w14:paraId="06B0FDC5" w14:textId="77777777" w:rsidR="00866D96" w:rsidRDefault="00DC7D8C">
      <w:pPr>
        <w:pStyle w:val="TOC4"/>
        <w:rPr>
          <w:i w:val="0"/>
          <w:color w:val="auto"/>
          <w:sz w:val="22"/>
          <w:lang w:val="fr-FR"/>
        </w:rPr>
      </w:pPr>
      <w:hyperlink w:anchor="_Toc481614884" w:history="1">
        <w:r w:rsidR="00866D96" w:rsidRPr="00494621">
          <w:rPr>
            <w:rStyle w:val="Hyperlink"/>
          </w:rPr>
          <w:t>Large industrial and mining companies</w:t>
        </w:r>
        <w:r w:rsidR="00866D96">
          <w:rPr>
            <w:webHidden/>
          </w:rPr>
          <w:tab/>
        </w:r>
        <w:r w:rsidR="00866D96">
          <w:rPr>
            <w:webHidden/>
          </w:rPr>
          <w:fldChar w:fldCharType="begin"/>
        </w:r>
        <w:r w:rsidR="00866D96">
          <w:rPr>
            <w:webHidden/>
          </w:rPr>
          <w:instrText xml:space="preserve"> PAGEREF _Toc481614884 \h </w:instrText>
        </w:r>
        <w:r w:rsidR="00866D96">
          <w:rPr>
            <w:webHidden/>
          </w:rPr>
        </w:r>
        <w:r w:rsidR="00866D96">
          <w:rPr>
            <w:webHidden/>
          </w:rPr>
          <w:fldChar w:fldCharType="separate"/>
        </w:r>
        <w:r w:rsidR="00866D96">
          <w:rPr>
            <w:webHidden/>
          </w:rPr>
          <w:t>15</w:t>
        </w:r>
        <w:r w:rsidR="00866D96">
          <w:rPr>
            <w:webHidden/>
          </w:rPr>
          <w:fldChar w:fldCharType="end"/>
        </w:r>
      </w:hyperlink>
    </w:p>
    <w:p w14:paraId="4F042BEF" w14:textId="77777777" w:rsidR="00866D96" w:rsidRDefault="00DC7D8C">
      <w:pPr>
        <w:pStyle w:val="TOC4"/>
        <w:rPr>
          <w:i w:val="0"/>
          <w:color w:val="auto"/>
          <w:sz w:val="22"/>
          <w:lang w:val="fr-FR"/>
        </w:rPr>
      </w:pPr>
      <w:hyperlink w:anchor="_Toc481614885" w:history="1">
        <w:r w:rsidR="00866D96" w:rsidRPr="00494621">
          <w:rPr>
            <w:rStyle w:val="Hyperlink"/>
          </w:rPr>
          <w:t>Agriculture</w:t>
        </w:r>
        <w:r w:rsidR="00866D96">
          <w:rPr>
            <w:webHidden/>
          </w:rPr>
          <w:tab/>
        </w:r>
        <w:r w:rsidR="00866D96">
          <w:rPr>
            <w:webHidden/>
          </w:rPr>
          <w:fldChar w:fldCharType="begin"/>
        </w:r>
        <w:r w:rsidR="00866D96">
          <w:rPr>
            <w:webHidden/>
          </w:rPr>
          <w:instrText xml:space="preserve"> PAGEREF _Toc481614885 \h </w:instrText>
        </w:r>
        <w:r w:rsidR="00866D96">
          <w:rPr>
            <w:webHidden/>
          </w:rPr>
        </w:r>
        <w:r w:rsidR="00866D96">
          <w:rPr>
            <w:webHidden/>
          </w:rPr>
          <w:fldChar w:fldCharType="separate"/>
        </w:r>
        <w:r w:rsidR="00866D96">
          <w:rPr>
            <w:webHidden/>
          </w:rPr>
          <w:t>16</w:t>
        </w:r>
        <w:r w:rsidR="00866D96">
          <w:rPr>
            <w:webHidden/>
          </w:rPr>
          <w:fldChar w:fldCharType="end"/>
        </w:r>
      </w:hyperlink>
    </w:p>
    <w:p w14:paraId="6E16409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86" w:history="1">
        <w:r w:rsidR="00866D96" w:rsidRPr="00494621">
          <w:rPr>
            <w:rStyle w:val="Hyperlink"/>
          </w:rPr>
          <w:t>1.2.5</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Transportation – Biofuels and EV’s</w:t>
        </w:r>
        <w:r w:rsidR="00866D96">
          <w:rPr>
            <w:webHidden/>
          </w:rPr>
          <w:tab/>
        </w:r>
        <w:r w:rsidR="00866D96">
          <w:rPr>
            <w:webHidden/>
          </w:rPr>
          <w:fldChar w:fldCharType="begin"/>
        </w:r>
        <w:r w:rsidR="00866D96">
          <w:rPr>
            <w:webHidden/>
          </w:rPr>
          <w:instrText xml:space="preserve"> PAGEREF _Toc481614886 \h </w:instrText>
        </w:r>
        <w:r w:rsidR="00866D96">
          <w:rPr>
            <w:webHidden/>
          </w:rPr>
        </w:r>
        <w:r w:rsidR="00866D96">
          <w:rPr>
            <w:webHidden/>
          </w:rPr>
          <w:fldChar w:fldCharType="separate"/>
        </w:r>
        <w:r w:rsidR="00866D96">
          <w:rPr>
            <w:webHidden/>
          </w:rPr>
          <w:t>16</w:t>
        </w:r>
        <w:r w:rsidR="00866D96">
          <w:rPr>
            <w:webHidden/>
          </w:rPr>
          <w:fldChar w:fldCharType="end"/>
        </w:r>
      </w:hyperlink>
    </w:p>
    <w:p w14:paraId="66B90013"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87" w:history="1">
        <w:r w:rsidR="00866D96" w:rsidRPr="00494621">
          <w:rPr>
            <w:rStyle w:val="Hyperlink"/>
          </w:rPr>
          <w:t>1.2.6</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Urban Transportation</w:t>
        </w:r>
        <w:r w:rsidR="00866D96">
          <w:rPr>
            <w:webHidden/>
          </w:rPr>
          <w:tab/>
        </w:r>
        <w:r w:rsidR="00866D96">
          <w:rPr>
            <w:webHidden/>
          </w:rPr>
          <w:fldChar w:fldCharType="begin"/>
        </w:r>
        <w:r w:rsidR="00866D96">
          <w:rPr>
            <w:webHidden/>
          </w:rPr>
          <w:instrText xml:space="preserve"> PAGEREF _Toc481614887 \h </w:instrText>
        </w:r>
        <w:r w:rsidR="00866D96">
          <w:rPr>
            <w:webHidden/>
          </w:rPr>
        </w:r>
        <w:r w:rsidR="00866D96">
          <w:rPr>
            <w:webHidden/>
          </w:rPr>
          <w:fldChar w:fldCharType="separate"/>
        </w:r>
        <w:r w:rsidR="00866D96">
          <w:rPr>
            <w:webHidden/>
          </w:rPr>
          <w:t>16</w:t>
        </w:r>
        <w:r w:rsidR="00866D96">
          <w:rPr>
            <w:webHidden/>
          </w:rPr>
          <w:fldChar w:fldCharType="end"/>
        </w:r>
      </w:hyperlink>
    </w:p>
    <w:p w14:paraId="6244D8A7"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888" w:history="1">
        <w:r w:rsidR="00866D96" w:rsidRPr="00494621">
          <w:rPr>
            <w:rStyle w:val="Hyperlink"/>
          </w:rPr>
          <w:t>2.</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Introduction</w:t>
        </w:r>
        <w:r w:rsidR="00866D96">
          <w:rPr>
            <w:webHidden/>
          </w:rPr>
          <w:tab/>
        </w:r>
        <w:r w:rsidR="00866D96">
          <w:rPr>
            <w:webHidden/>
          </w:rPr>
          <w:fldChar w:fldCharType="begin"/>
        </w:r>
        <w:r w:rsidR="00866D96">
          <w:rPr>
            <w:webHidden/>
          </w:rPr>
          <w:instrText xml:space="preserve"> PAGEREF _Toc481614888 \h </w:instrText>
        </w:r>
        <w:r w:rsidR="00866D96">
          <w:rPr>
            <w:webHidden/>
          </w:rPr>
        </w:r>
        <w:r w:rsidR="00866D96">
          <w:rPr>
            <w:webHidden/>
          </w:rPr>
          <w:fldChar w:fldCharType="separate"/>
        </w:r>
        <w:r w:rsidR="00866D96">
          <w:rPr>
            <w:webHidden/>
          </w:rPr>
          <w:t>19</w:t>
        </w:r>
        <w:r w:rsidR="00866D96">
          <w:rPr>
            <w:webHidden/>
          </w:rPr>
          <w:fldChar w:fldCharType="end"/>
        </w:r>
      </w:hyperlink>
    </w:p>
    <w:p w14:paraId="06387343"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889" w:history="1">
        <w:r w:rsidR="00866D96" w:rsidRPr="00494621">
          <w:rPr>
            <w:rStyle w:val="Hyperlink"/>
          </w:rPr>
          <w:t>3.</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Methodology</w:t>
        </w:r>
        <w:r w:rsidR="00866D96">
          <w:rPr>
            <w:webHidden/>
          </w:rPr>
          <w:tab/>
        </w:r>
        <w:r w:rsidR="00866D96">
          <w:rPr>
            <w:webHidden/>
          </w:rPr>
          <w:fldChar w:fldCharType="begin"/>
        </w:r>
        <w:r w:rsidR="00866D96">
          <w:rPr>
            <w:webHidden/>
          </w:rPr>
          <w:instrText xml:space="preserve"> PAGEREF _Toc481614889 \h </w:instrText>
        </w:r>
        <w:r w:rsidR="00866D96">
          <w:rPr>
            <w:webHidden/>
          </w:rPr>
        </w:r>
        <w:r w:rsidR="00866D96">
          <w:rPr>
            <w:webHidden/>
          </w:rPr>
          <w:fldChar w:fldCharType="separate"/>
        </w:r>
        <w:r w:rsidR="00866D96">
          <w:rPr>
            <w:webHidden/>
          </w:rPr>
          <w:t>21</w:t>
        </w:r>
        <w:r w:rsidR="00866D96">
          <w:rPr>
            <w:webHidden/>
          </w:rPr>
          <w:fldChar w:fldCharType="end"/>
        </w:r>
      </w:hyperlink>
    </w:p>
    <w:p w14:paraId="3EAA76BB"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890" w:history="1">
        <w:r w:rsidR="00866D96" w:rsidRPr="00494621">
          <w:rPr>
            <w:rStyle w:val="Hyperlink"/>
          </w:rPr>
          <w:t>4.</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Part I -Vision and targets through 2030</w:t>
        </w:r>
        <w:r w:rsidR="00866D96">
          <w:rPr>
            <w:webHidden/>
          </w:rPr>
          <w:tab/>
        </w:r>
        <w:r w:rsidR="00866D96">
          <w:rPr>
            <w:webHidden/>
          </w:rPr>
          <w:fldChar w:fldCharType="begin"/>
        </w:r>
        <w:r w:rsidR="00866D96">
          <w:rPr>
            <w:webHidden/>
          </w:rPr>
          <w:instrText xml:space="preserve"> PAGEREF _Toc481614890 \h </w:instrText>
        </w:r>
        <w:r w:rsidR="00866D96">
          <w:rPr>
            <w:webHidden/>
          </w:rPr>
        </w:r>
        <w:r w:rsidR="00866D96">
          <w:rPr>
            <w:webHidden/>
          </w:rPr>
          <w:fldChar w:fldCharType="separate"/>
        </w:r>
        <w:r w:rsidR="00866D96">
          <w:rPr>
            <w:webHidden/>
          </w:rPr>
          <w:t>22</w:t>
        </w:r>
        <w:r w:rsidR="00866D96">
          <w:rPr>
            <w:webHidden/>
          </w:rPr>
          <w:fldChar w:fldCharType="end"/>
        </w:r>
      </w:hyperlink>
    </w:p>
    <w:p w14:paraId="2C99AFEA"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891" w:history="1">
        <w:r w:rsidR="00866D96" w:rsidRPr="00494621">
          <w:rPr>
            <w:rStyle w:val="Hyperlink"/>
            <w14:scene3d>
              <w14:camera w14:prst="orthographicFront"/>
              <w14:lightRig w14:rig="threePt" w14:dir="t">
                <w14:rot w14:lat="0" w14:lon="0" w14:rev="0"/>
              </w14:lightRig>
            </w14:scene3d>
          </w:rPr>
          <w:t>4.1</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sector status and trajectory</w:t>
        </w:r>
        <w:r w:rsidR="00866D96">
          <w:rPr>
            <w:webHidden/>
          </w:rPr>
          <w:tab/>
        </w:r>
        <w:r w:rsidR="00866D96">
          <w:rPr>
            <w:webHidden/>
          </w:rPr>
          <w:fldChar w:fldCharType="begin"/>
        </w:r>
        <w:r w:rsidR="00866D96">
          <w:rPr>
            <w:webHidden/>
          </w:rPr>
          <w:instrText xml:space="preserve"> PAGEREF _Toc481614891 \h </w:instrText>
        </w:r>
        <w:r w:rsidR="00866D96">
          <w:rPr>
            <w:webHidden/>
          </w:rPr>
        </w:r>
        <w:r w:rsidR="00866D96">
          <w:rPr>
            <w:webHidden/>
          </w:rPr>
          <w:fldChar w:fldCharType="separate"/>
        </w:r>
        <w:r w:rsidR="00866D96">
          <w:rPr>
            <w:webHidden/>
          </w:rPr>
          <w:t>22</w:t>
        </w:r>
        <w:r w:rsidR="00866D96">
          <w:rPr>
            <w:webHidden/>
          </w:rPr>
          <w:fldChar w:fldCharType="end"/>
        </w:r>
      </w:hyperlink>
    </w:p>
    <w:p w14:paraId="1EFE5E87"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2" w:history="1">
        <w:r w:rsidR="00866D96" w:rsidRPr="00494621">
          <w:rPr>
            <w:rStyle w:val="Hyperlink"/>
          </w:rPr>
          <w:t>4.1.1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Energy Sector Status</w:t>
        </w:r>
        <w:r w:rsidR="00866D96">
          <w:rPr>
            <w:webHidden/>
          </w:rPr>
          <w:tab/>
        </w:r>
        <w:r w:rsidR="00866D96">
          <w:rPr>
            <w:webHidden/>
          </w:rPr>
          <w:fldChar w:fldCharType="begin"/>
        </w:r>
        <w:r w:rsidR="00866D96">
          <w:rPr>
            <w:webHidden/>
          </w:rPr>
          <w:instrText xml:space="preserve"> PAGEREF _Toc481614892 \h </w:instrText>
        </w:r>
        <w:r w:rsidR="00866D96">
          <w:rPr>
            <w:webHidden/>
          </w:rPr>
        </w:r>
        <w:r w:rsidR="00866D96">
          <w:rPr>
            <w:webHidden/>
          </w:rPr>
          <w:fldChar w:fldCharType="separate"/>
        </w:r>
        <w:r w:rsidR="00866D96">
          <w:rPr>
            <w:webHidden/>
          </w:rPr>
          <w:t>22</w:t>
        </w:r>
        <w:r w:rsidR="00866D96">
          <w:rPr>
            <w:webHidden/>
          </w:rPr>
          <w:fldChar w:fldCharType="end"/>
        </w:r>
      </w:hyperlink>
    </w:p>
    <w:p w14:paraId="1F7D3590"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3" w:history="1">
        <w:r w:rsidR="00866D96" w:rsidRPr="00494621">
          <w:rPr>
            <w:rStyle w:val="Hyperlink"/>
          </w:rPr>
          <w:t>4.1.2 Electricity generation and transmission plans</w:t>
        </w:r>
        <w:r w:rsidR="00866D96">
          <w:rPr>
            <w:webHidden/>
          </w:rPr>
          <w:tab/>
        </w:r>
        <w:r w:rsidR="00866D96">
          <w:rPr>
            <w:webHidden/>
          </w:rPr>
          <w:fldChar w:fldCharType="begin"/>
        </w:r>
        <w:r w:rsidR="00866D96">
          <w:rPr>
            <w:webHidden/>
          </w:rPr>
          <w:instrText xml:space="preserve"> PAGEREF _Toc481614893 \h </w:instrText>
        </w:r>
        <w:r w:rsidR="00866D96">
          <w:rPr>
            <w:webHidden/>
          </w:rPr>
        </w:r>
        <w:r w:rsidR="00866D96">
          <w:rPr>
            <w:webHidden/>
          </w:rPr>
          <w:fldChar w:fldCharType="separate"/>
        </w:r>
        <w:r w:rsidR="00866D96">
          <w:rPr>
            <w:webHidden/>
          </w:rPr>
          <w:t>24</w:t>
        </w:r>
        <w:r w:rsidR="00866D96">
          <w:rPr>
            <w:webHidden/>
          </w:rPr>
          <w:fldChar w:fldCharType="end"/>
        </w:r>
      </w:hyperlink>
    </w:p>
    <w:p w14:paraId="217CAAF5"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894" w:history="1">
        <w:r w:rsidR="00866D96" w:rsidRPr="00494621">
          <w:rPr>
            <w:rStyle w:val="Hyperlink"/>
            <w14:scene3d>
              <w14:camera w14:prst="orthographicFront"/>
              <w14:lightRig w14:rig="threePt" w14:dir="t">
                <w14:rot w14:lat="0" w14:lon="0" w14:rev="0"/>
              </w14:lightRig>
            </w14:scene3d>
          </w:rPr>
          <w:t>4.2</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access – Clean cooking</w:t>
        </w:r>
        <w:r w:rsidR="00866D96">
          <w:rPr>
            <w:webHidden/>
          </w:rPr>
          <w:tab/>
        </w:r>
        <w:r w:rsidR="00866D96">
          <w:rPr>
            <w:webHidden/>
          </w:rPr>
          <w:fldChar w:fldCharType="begin"/>
        </w:r>
        <w:r w:rsidR="00866D96">
          <w:rPr>
            <w:webHidden/>
          </w:rPr>
          <w:instrText xml:space="preserve"> PAGEREF _Toc481614894 \h </w:instrText>
        </w:r>
        <w:r w:rsidR="00866D96">
          <w:rPr>
            <w:webHidden/>
          </w:rPr>
        </w:r>
        <w:r w:rsidR="00866D96">
          <w:rPr>
            <w:webHidden/>
          </w:rPr>
          <w:fldChar w:fldCharType="separate"/>
        </w:r>
        <w:r w:rsidR="00866D96">
          <w:rPr>
            <w:webHidden/>
          </w:rPr>
          <w:t>28</w:t>
        </w:r>
        <w:r w:rsidR="00866D96">
          <w:rPr>
            <w:webHidden/>
          </w:rPr>
          <w:fldChar w:fldCharType="end"/>
        </w:r>
      </w:hyperlink>
    </w:p>
    <w:p w14:paraId="46B74415"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5" w:history="1">
        <w:r w:rsidR="00866D96" w:rsidRPr="00494621">
          <w:rPr>
            <w:rStyle w:val="Hyperlink"/>
          </w:rPr>
          <w:t>4.2.1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_Toc481614895 \h </w:instrText>
        </w:r>
        <w:r w:rsidR="00866D96">
          <w:rPr>
            <w:webHidden/>
          </w:rPr>
        </w:r>
        <w:r w:rsidR="00866D96">
          <w:rPr>
            <w:webHidden/>
          </w:rPr>
          <w:fldChar w:fldCharType="separate"/>
        </w:r>
        <w:r w:rsidR="00866D96">
          <w:rPr>
            <w:webHidden/>
          </w:rPr>
          <w:t>28</w:t>
        </w:r>
        <w:r w:rsidR="00866D96">
          <w:rPr>
            <w:webHidden/>
          </w:rPr>
          <w:fldChar w:fldCharType="end"/>
        </w:r>
      </w:hyperlink>
    </w:p>
    <w:p w14:paraId="7FBBB39D"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6" w:history="1">
        <w:r w:rsidR="00866D96" w:rsidRPr="00494621">
          <w:rPr>
            <w:rStyle w:val="Hyperlink"/>
          </w:rPr>
          <w:t>4.2.2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target for 2030?</w:t>
        </w:r>
        <w:r w:rsidR="00866D96">
          <w:rPr>
            <w:webHidden/>
          </w:rPr>
          <w:tab/>
        </w:r>
        <w:r w:rsidR="00866D96">
          <w:rPr>
            <w:webHidden/>
          </w:rPr>
          <w:fldChar w:fldCharType="begin"/>
        </w:r>
        <w:r w:rsidR="00866D96">
          <w:rPr>
            <w:webHidden/>
          </w:rPr>
          <w:instrText xml:space="preserve"> PAGEREF _Toc481614896 \h </w:instrText>
        </w:r>
        <w:r w:rsidR="00866D96">
          <w:rPr>
            <w:webHidden/>
          </w:rPr>
        </w:r>
        <w:r w:rsidR="00866D96">
          <w:rPr>
            <w:webHidden/>
          </w:rPr>
          <w:fldChar w:fldCharType="separate"/>
        </w:r>
        <w:r w:rsidR="00866D96">
          <w:rPr>
            <w:webHidden/>
          </w:rPr>
          <w:t>31</w:t>
        </w:r>
        <w:r w:rsidR="00866D96">
          <w:rPr>
            <w:webHidden/>
          </w:rPr>
          <w:fldChar w:fldCharType="end"/>
        </w:r>
      </w:hyperlink>
    </w:p>
    <w:p w14:paraId="5EE69401"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7" w:history="1">
        <w:r w:rsidR="00866D96" w:rsidRPr="00494621">
          <w:rPr>
            <w:rStyle w:val="Hyperlink"/>
          </w:rPr>
          <w:t>4.2.3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_Toc481614897 \h </w:instrText>
        </w:r>
        <w:r w:rsidR="00866D96">
          <w:rPr>
            <w:webHidden/>
          </w:rPr>
        </w:r>
        <w:r w:rsidR="00866D96">
          <w:rPr>
            <w:webHidden/>
          </w:rPr>
          <w:fldChar w:fldCharType="separate"/>
        </w:r>
        <w:r w:rsidR="00866D96">
          <w:rPr>
            <w:webHidden/>
          </w:rPr>
          <w:t>31</w:t>
        </w:r>
        <w:r w:rsidR="00866D96">
          <w:rPr>
            <w:webHidden/>
          </w:rPr>
          <w:fldChar w:fldCharType="end"/>
        </w:r>
      </w:hyperlink>
    </w:p>
    <w:p w14:paraId="4EC8E1E0"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898" w:history="1">
        <w:r w:rsidR="00866D96" w:rsidRPr="00494621">
          <w:rPr>
            <w:rStyle w:val="Hyperlink"/>
          </w:rPr>
          <w:t>Energy Access and Gender</w:t>
        </w:r>
        <w:r w:rsidR="00866D96">
          <w:rPr>
            <w:webHidden/>
          </w:rPr>
          <w:tab/>
        </w:r>
        <w:r w:rsidR="00866D96">
          <w:rPr>
            <w:webHidden/>
          </w:rPr>
          <w:fldChar w:fldCharType="begin"/>
        </w:r>
        <w:r w:rsidR="00866D96">
          <w:rPr>
            <w:webHidden/>
          </w:rPr>
          <w:instrText xml:space="preserve"> PAGEREF _Toc481614898 \h </w:instrText>
        </w:r>
        <w:r w:rsidR="00866D96">
          <w:rPr>
            <w:webHidden/>
          </w:rPr>
        </w:r>
        <w:r w:rsidR="00866D96">
          <w:rPr>
            <w:webHidden/>
          </w:rPr>
          <w:fldChar w:fldCharType="separate"/>
        </w:r>
        <w:r w:rsidR="00866D96">
          <w:rPr>
            <w:webHidden/>
          </w:rPr>
          <w:t>31</w:t>
        </w:r>
        <w:r w:rsidR="00866D96">
          <w:rPr>
            <w:webHidden/>
          </w:rPr>
          <w:fldChar w:fldCharType="end"/>
        </w:r>
      </w:hyperlink>
    </w:p>
    <w:p w14:paraId="0B8E1D5A"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899" w:history="1">
        <w:r w:rsidR="00866D96" w:rsidRPr="00494621">
          <w:rPr>
            <w:rStyle w:val="Hyperlink"/>
            <w14:scene3d>
              <w14:camera w14:prst="orthographicFront"/>
              <w14:lightRig w14:rig="threePt" w14:dir="t">
                <w14:rot w14:lat="0" w14:lon="0" w14:rev="0"/>
              </w14:lightRig>
            </w14:scene3d>
          </w:rPr>
          <w:t>4.3</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Electricity access – On site installations &amp; Mini Grids</w:t>
        </w:r>
        <w:r w:rsidR="00866D96">
          <w:rPr>
            <w:webHidden/>
          </w:rPr>
          <w:tab/>
        </w:r>
        <w:r w:rsidR="00866D96">
          <w:rPr>
            <w:webHidden/>
          </w:rPr>
          <w:fldChar w:fldCharType="begin"/>
        </w:r>
        <w:r w:rsidR="00866D96">
          <w:rPr>
            <w:webHidden/>
          </w:rPr>
          <w:instrText xml:space="preserve"> PAGEREF _Toc481614899 \h </w:instrText>
        </w:r>
        <w:r w:rsidR="00866D96">
          <w:rPr>
            <w:webHidden/>
          </w:rPr>
        </w:r>
        <w:r w:rsidR="00866D96">
          <w:rPr>
            <w:webHidden/>
          </w:rPr>
          <w:fldChar w:fldCharType="separate"/>
        </w:r>
        <w:r w:rsidR="00866D96">
          <w:rPr>
            <w:webHidden/>
          </w:rPr>
          <w:t>32</w:t>
        </w:r>
        <w:r w:rsidR="00866D96">
          <w:rPr>
            <w:webHidden/>
          </w:rPr>
          <w:fldChar w:fldCharType="end"/>
        </w:r>
      </w:hyperlink>
    </w:p>
    <w:p w14:paraId="6608CA67"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0" w:history="1">
        <w:r w:rsidR="00866D96" w:rsidRPr="00494621">
          <w:rPr>
            <w:rStyle w:val="Hyperlink"/>
          </w:rPr>
          <w:t>4.3.1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_Toc481614900 \h </w:instrText>
        </w:r>
        <w:r w:rsidR="00866D96">
          <w:rPr>
            <w:webHidden/>
          </w:rPr>
        </w:r>
        <w:r w:rsidR="00866D96">
          <w:rPr>
            <w:webHidden/>
          </w:rPr>
          <w:fldChar w:fldCharType="separate"/>
        </w:r>
        <w:r w:rsidR="00866D96">
          <w:rPr>
            <w:webHidden/>
          </w:rPr>
          <w:t>32</w:t>
        </w:r>
        <w:r w:rsidR="00866D96">
          <w:rPr>
            <w:webHidden/>
          </w:rPr>
          <w:fldChar w:fldCharType="end"/>
        </w:r>
      </w:hyperlink>
    </w:p>
    <w:p w14:paraId="7A49C0E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1" w:history="1">
        <w:r w:rsidR="00866D96" w:rsidRPr="00494621">
          <w:rPr>
            <w:rStyle w:val="Hyperlink"/>
            <w:b/>
            <w:lang w:eastAsia="en-US"/>
          </w:rPr>
          <w:t>4.3.2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b/>
            <w:lang w:eastAsia="en-US"/>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_Toc481614901 \h </w:instrText>
        </w:r>
        <w:r w:rsidR="00866D96">
          <w:rPr>
            <w:webHidden/>
          </w:rPr>
        </w:r>
        <w:r w:rsidR="00866D96">
          <w:rPr>
            <w:webHidden/>
          </w:rPr>
          <w:fldChar w:fldCharType="separate"/>
        </w:r>
        <w:r w:rsidR="00866D96">
          <w:rPr>
            <w:webHidden/>
          </w:rPr>
          <w:t>34</w:t>
        </w:r>
        <w:r w:rsidR="00866D96">
          <w:rPr>
            <w:webHidden/>
          </w:rPr>
          <w:fldChar w:fldCharType="end"/>
        </w:r>
      </w:hyperlink>
    </w:p>
    <w:p w14:paraId="7A7A8F45"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2" w:history="1">
        <w:r w:rsidR="00866D96" w:rsidRPr="00494621">
          <w:rPr>
            <w:rStyle w:val="Hyperlink"/>
          </w:rPr>
          <w:t>4.3.3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Existing plans and projections to 2030</w:t>
        </w:r>
        <w:r w:rsidR="00866D96">
          <w:rPr>
            <w:webHidden/>
          </w:rPr>
          <w:tab/>
        </w:r>
        <w:r w:rsidR="00866D96">
          <w:rPr>
            <w:webHidden/>
          </w:rPr>
          <w:fldChar w:fldCharType="begin"/>
        </w:r>
        <w:r w:rsidR="00866D96">
          <w:rPr>
            <w:webHidden/>
          </w:rPr>
          <w:instrText xml:space="preserve"> PAGEREF _Toc481614902 \h </w:instrText>
        </w:r>
        <w:r w:rsidR="00866D96">
          <w:rPr>
            <w:webHidden/>
          </w:rPr>
        </w:r>
        <w:r w:rsidR="00866D96">
          <w:rPr>
            <w:webHidden/>
          </w:rPr>
          <w:fldChar w:fldCharType="separate"/>
        </w:r>
        <w:r w:rsidR="00866D96">
          <w:rPr>
            <w:webHidden/>
          </w:rPr>
          <w:t>36</w:t>
        </w:r>
        <w:r w:rsidR="00866D96">
          <w:rPr>
            <w:webHidden/>
          </w:rPr>
          <w:fldChar w:fldCharType="end"/>
        </w:r>
      </w:hyperlink>
    </w:p>
    <w:p w14:paraId="4AD7482C"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03" w:history="1">
        <w:r w:rsidR="00866D96" w:rsidRPr="00494621">
          <w:rPr>
            <w:rStyle w:val="Hyperlink"/>
            <w14:scene3d>
              <w14:camera w14:prst="orthographicFront"/>
              <w14:lightRig w14:rig="threePt" w14:dir="t">
                <w14:rot w14:lat="0" w14:lon="0" w14:rev="0"/>
              </w14:lightRig>
            </w14:scene3d>
          </w:rPr>
          <w:t>4.4</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Renewable Energy</w:t>
        </w:r>
        <w:r w:rsidR="00866D96">
          <w:rPr>
            <w:webHidden/>
          </w:rPr>
          <w:tab/>
        </w:r>
        <w:r w:rsidR="00866D96">
          <w:rPr>
            <w:webHidden/>
          </w:rPr>
          <w:fldChar w:fldCharType="begin"/>
        </w:r>
        <w:r w:rsidR="00866D96">
          <w:rPr>
            <w:webHidden/>
          </w:rPr>
          <w:instrText xml:space="preserve"> PAGEREF _Toc481614903 \h </w:instrText>
        </w:r>
        <w:r w:rsidR="00866D96">
          <w:rPr>
            <w:webHidden/>
          </w:rPr>
        </w:r>
        <w:r w:rsidR="00866D96">
          <w:rPr>
            <w:webHidden/>
          </w:rPr>
          <w:fldChar w:fldCharType="separate"/>
        </w:r>
        <w:r w:rsidR="00866D96">
          <w:rPr>
            <w:webHidden/>
          </w:rPr>
          <w:t>37</w:t>
        </w:r>
        <w:r w:rsidR="00866D96">
          <w:rPr>
            <w:webHidden/>
          </w:rPr>
          <w:fldChar w:fldCharType="end"/>
        </w:r>
      </w:hyperlink>
    </w:p>
    <w:p w14:paraId="3FF88E6F"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4" w:history="1">
        <w:r w:rsidR="00866D96" w:rsidRPr="00494621">
          <w:rPr>
            <w:rStyle w:val="Hyperlink"/>
          </w:rPr>
          <w:t>4.4.1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_Toc481614904 \h </w:instrText>
        </w:r>
        <w:r w:rsidR="00866D96">
          <w:rPr>
            <w:webHidden/>
          </w:rPr>
        </w:r>
        <w:r w:rsidR="00866D96">
          <w:rPr>
            <w:webHidden/>
          </w:rPr>
          <w:fldChar w:fldCharType="separate"/>
        </w:r>
        <w:r w:rsidR="00866D96">
          <w:rPr>
            <w:webHidden/>
          </w:rPr>
          <w:t>37</w:t>
        </w:r>
        <w:r w:rsidR="00866D96">
          <w:rPr>
            <w:webHidden/>
          </w:rPr>
          <w:fldChar w:fldCharType="end"/>
        </w:r>
      </w:hyperlink>
    </w:p>
    <w:p w14:paraId="3D7D18FB"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5" w:history="1">
        <w:r w:rsidR="00866D96" w:rsidRPr="00494621">
          <w:rPr>
            <w:rStyle w:val="Hyperlink"/>
          </w:rPr>
          <w:t>4.4.2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target for 2030?</w:t>
        </w:r>
        <w:r w:rsidR="00866D96">
          <w:rPr>
            <w:webHidden/>
          </w:rPr>
          <w:tab/>
        </w:r>
        <w:r w:rsidR="00866D96">
          <w:rPr>
            <w:webHidden/>
          </w:rPr>
          <w:fldChar w:fldCharType="begin"/>
        </w:r>
        <w:r w:rsidR="00866D96">
          <w:rPr>
            <w:webHidden/>
          </w:rPr>
          <w:instrText xml:space="preserve"> PAGEREF _Toc481614905 \h </w:instrText>
        </w:r>
        <w:r w:rsidR="00866D96">
          <w:rPr>
            <w:webHidden/>
          </w:rPr>
        </w:r>
        <w:r w:rsidR="00866D96">
          <w:rPr>
            <w:webHidden/>
          </w:rPr>
          <w:fldChar w:fldCharType="separate"/>
        </w:r>
        <w:r w:rsidR="00866D96">
          <w:rPr>
            <w:webHidden/>
          </w:rPr>
          <w:t>42</w:t>
        </w:r>
        <w:r w:rsidR="00866D96">
          <w:rPr>
            <w:webHidden/>
          </w:rPr>
          <w:fldChar w:fldCharType="end"/>
        </w:r>
      </w:hyperlink>
    </w:p>
    <w:p w14:paraId="03343B2A"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6" w:history="1">
        <w:r w:rsidR="00866D96" w:rsidRPr="00494621">
          <w:rPr>
            <w:rStyle w:val="Hyperlink"/>
          </w:rPr>
          <w:t>4.4.3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_Toc481614906 \h </w:instrText>
        </w:r>
        <w:r w:rsidR="00866D96">
          <w:rPr>
            <w:webHidden/>
          </w:rPr>
        </w:r>
        <w:r w:rsidR="00866D96">
          <w:rPr>
            <w:webHidden/>
          </w:rPr>
          <w:fldChar w:fldCharType="separate"/>
        </w:r>
        <w:r w:rsidR="00866D96">
          <w:rPr>
            <w:webHidden/>
          </w:rPr>
          <w:t>46</w:t>
        </w:r>
        <w:r w:rsidR="00866D96">
          <w:rPr>
            <w:webHidden/>
          </w:rPr>
          <w:fldChar w:fldCharType="end"/>
        </w:r>
      </w:hyperlink>
    </w:p>
    <w:p w14:paraId="05CE75E8"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07" w:history="1">
        <w:r w:rsidR="00866D96" w:rsidRPr="00494621">
          <w:rPr>
            <w:rStyle w:val="Hyperlink"/>
            <w14:scene3d>
              <w14:camera w14:prst="orthographicFront"/>
              <w14:lightRig w14:rig="threePt" w14:dir="t">
                <w14:rot w14:lat="0" w14:lon="0" w14:rev="0"/>
              </w14:lightRig>
            </w14:scene3d>
          </w:rPr>
          <w:t>4.5</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Efficiency</w:t>
        </w:r>
        <w:r w:rsidR="00866D96">
          <w:rPr>
            <w:webHidden/>
          </w:rPr>
          <w:tab/>
        </w:r>
        <w:r w:rsidR="00866D96">
          <w:rPr>
            <w:webHidden/>
          </w:rPr>
          <w:fldChar w:fldCharType="begin"/>
        </w:r>
        <w:r w:rsidR="00866D96">
          <w:rPr>
            <w:webHidden/>
          </w:rPr>
          <w:instrText xml:space="preserve"> PAGEREF _Toc481614907 \h </w:instrText>
        </w:r>
        <w:r w:rsidR="00866D96">
          <w:rPr>
            <w:webHidden/>
          </w:rPr>
        </w:r>
        <w:r w:rsidR="00866D96">
          <w:rPr>
            <w:webHidden/>
          </w:rPr>
          <w:fldChar w:fldCharType="separate"/>
        </w:r>
        <w:r w:rsidR="00866D96">
          <w:rPr>
            <w:webHidden/>
          </w:rPr>
          <w:t>46</w:t>
        </w:r>
        <w:r w:rsidR="00866D96">
          <w:rPr>
            <w:webHidden/>
          </w:rPr>
          <w:fldChar w:fldCharType="end"/>
        </w:r>
      </w:hyperlink>
    </w:p>
    <w:p w14:paraId="5C8DE8E0"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8" w:history="1">
        <w:r w:rsidR="00866D96" w:rsidRPr="00494621">
          <w:rPr>
            <w:rStyle w:val="Hyperlink"/>
          </w:rPr>
          <w:t>4.5.1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_Toc481614908 \h </w:instrText>
        </w:r>
        <w:r w:rsidR="00866D96">
          <w:rPr>
            <w:webHidden/>
          </w:rPr>
        </w:r>
        <w:r w:rsidR="00866D96">
          <w:rPr>
            <w:webHidden/>
          </w:rPr>
          <w:fldChar w:fldCharType="separate"/>
        </w:r>
        <w:r w:rsidR="00866D96">
          <w:rPr>
            <w:webHidden/>
          </w:rPr>
          <w:t>46</w:t>
        </w:r>
        <w:r w:rsidR="00866D96">
          <w:rPr>
            <w:webHidden/>
          </w:rPr>
          <w:fldChar w:fldCharType="end"/>
        </w:r>
      </w:hyperlink>
    </w:p>
    <w:p w14:paraId="4B2BAE8F"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09" w:history="1">
        <w:r w:rsidR="00866D96" w:rsidRPr="00494621">
          <w:rPr>
            <w:rStyle w:val="Hyperlink"/>
          </w:rPr>
          <w:t>4.5.2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target for 2030 and the gap?</w:t>
        </w:r>
        <w:r w:rsidR="00866D96">
          <w:rPr>
            <w:webHidden/>
          </w:rPr>
          <w:tab/>
        </w:r>
        <w:r w:rsidR="00866D96">
          <w:rPr>
            <w:webHidden/>
          </w:rPr>
          <w:fldChar w:fldCharType="begin"/>
        </w:r>
        <w:r w:rsidR="00866D96">
          <w:rPr>
            <w:webHidden/>
          </w:rPr>
          <w:instrText xml:space="preserve"> PAGEREF _Toc481614909 \h </w:instrText>
        </w:r>
        <w:r w:rsidR="00866D96">
          <w:rPr>
            <w:webHidden/>
          </w:rPr>
        </w:r>
        <w:r w:rsidR="00866D96">
          <w:rPr>
            <w:webHidden/>
          </w:rPr>
          <w:fldChar w:fldCharType="separate"/>
        </w:r>
        <w:r w:rsidR="00866D96">
          <w:rPr>
            <w:webHidden/>
          </w:rPr>
          <w:t>51</w:t>
        </w:r>
        <w:r w:rsidR="00866D96">
          <w:rPr>
            <w:webHidden/>
          </w:rPr>
          <w:fldChar w:fldCharType="end"/>
        </w:r>
      </w:hyperlink>
    </w:p>
    <w:p w14:paraId="65D482A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0" w:history="1">
        <w:r w:rsidR="00866D96" w:rsidRPr="00494621">
          <w:rPr>
            <w:rStyle w:val="Hyperlink"/>
          </w:rPr>
          <w:t>4.5.3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_Toc481614910 \h </w:instrText>
        </w:r>
        <w:r w:rsidR="00866D96">
          <w:rPr>
            <w:webHidden/>
          </w:rPr>
        </w:r>
        <w:r w:rsidR="00866D96">
          <w:rPr>
            <w:webHidden/>
          </w:rPr>
          <w:fldChar w:fldCharType="separate"/>
        </w:r>
        <w:r w:rsidR="00866D96">
          <w:rPr>
            <w:webHidden/>
          </w:rPr>
          <w:t>54</w:t>
        </w:r>
        <w:r w:rsidR="00866D96">
          <w:rPr>
            <w:webHidden/>
          </w:rPr>
          <w:fldChar w:fldCharType="end"/>
        </w:r>
      </w:hyperlink>
    </w:p>
    <w:p w14:paraId="24A557A7"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11" w:history="1">
        <w:r w:rsidR="00866D96" w:rsidRPr="00494621">
          <w:rPr>
            <w:rStyle w:val="Hyperlink"/>
            <w14:scene3d>
              <w14:camera w14:prst="orthographicFront"/>
              <w14:lightRig w14:rig="threePt" w14:dir="t">
                <w14:rot w14:lat="0" w14:lon="0" w14:rev="0"/>
              </w14:lightRig>
            </w14:scene3d>
          </w:rPr>
          <w:t>4.6</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Transportation – Alternative Fuels</w:t>
        </w:r>
        <w:r w:rsidR="00866D96">
          <w:rPr>
            <w:webHidden/>
          </w:rPr>
          <w:tab/>
        </w:r>
        <w:r w:rsidR="00866D96">
          <w:rPr>
            <w:webHidden/>
          </w:rPr>
          <w:fldChar w:fldCharType="begin"/>
        </w:r>
        <w:r w:rsidR="00866D96">
          <w:rPr>
            <w:webHidden/>
          </w:rPr>
          <w:instrText xml:space="preserve"> PAGEREF _Toc481614911 \h </w:instrText>
        </w:r>
        <w:r w:rsidR="00866D96">
          <w:rPr>
            <w:webHidden/>
          </w:rPr>
        </w:r>
        <w:r w:rsidR="00866D96">
          <w:rPr>
            <w:webHidden/>
          </w:rPr>
          <w:fldChar w:fldCharType="separate"/>
        </w:r>
        <w:r w:rsidR="00866D96">
          <w:rPr>
            <w:webHidden/>
          </w:rPr>
          <w:t>54</w:t>
        </w:r>
        <w:r w:rsidR="00866D96">
          <w:rPr>
            <w:webHidden/>
          </w:rPr>
          <w:fldChar w:fldCharType="end"/>
        </w:r>
      </w:hyperlink>
    </w:p>
    <w:p w14:paraId="7620555E"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2" w:history="1">
        <w:r w:rsidR="00866D96" w:rsidRPr="00494621">
          <w:rPr>
            <w:rStyle w:val="Hyperlink"/>
          </w:rPr>
          <w:t>4.6.1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_Toc481614912 \h </w:instrText>
        </w:r>
        <w:r w:rsidR="00866D96">
          <w:rPr>
            <w:webHidden/>
          </w:rPr>
        </w:r>
        <w:r w:rsidR="00866D96">
          <w:rPr>
            <w:webHidden/>
          </w:rPr>
          <w:fldChar w:fldCharType="separate"/>
        </w:r>
        <w:r w:rsidR="00866D96">
          <w:rPr>
            <w:webHidden/>
          </w:rPr>
          <w:t>55</w:t>
        </w:r>
        <w:r w:rsidR="00866D96">
          <w:rPr>
            <w:webHidden/>
          </w:rPr>
          <w:fldChar w:fldCharType="end"/>
        </w:r>
      </w:hyperlink>
    </w:p>
    <w:p w14:paraId="5177DDB9" w14:textId="77777777" w:rsidR="00866D96" w:rsidRDefault="00DC7D8C">
      <w:pPr>
        <w:pStyle w:val="TOC4"/>
        <w:rPr>
          <w:i w:val="0"/>
          <w:color w:val="auto"/>
          <w:sz w:val="22"/>
          <w:lang w:val="fr-FR"/>
        </w:rPr>
      </w:pPr>
      <w:hyperlink w:anchor="_Toc481614913" w:history="1">
        <w:r w:rsidR="00866D96" w:rsidRPr="00494621">
          <w:rPr>
            <w:rStyle w:val="Hyperlink"/>
          </w:rPr>
          <w:t>Biofuels production and consumption</w:t>
        </w:r>
        <w:r w:rsidR="00866D96">
          <w:rPr>
            <w:webHidden/>
          </w:rPr>
          <w:tab/>
        </w:r>
        <w:r w:rsidR="00866D96">
          <w:rPr>
            <w:webHidden/>
          </w:rPr>
          <w:fldChar w:fldCharType="begin"/>
        </w:r>
        <w:r w:rsidR="00866D96">
          <w:rPr>
            <w:webHidden/>
          </w:rPr>
          <w:instrText xml:space="preserve"> PAGEREF _Toc481614913 \h </w:instrText>
        </w:r>
        <w:r w:rsidR="00866D96">
          <w:rPr>
            <w:webHidden/>
          </w:rPr>
        </w:r>
        <w:r w:rsidR="00866D96">
          <w:rPr>
            <w:webHidden/>
          </w:rPr>
          <w:fldChar w:fldCharType="separate"/>
        </w:r>
        <w:r w:rsidR="00866D96">
          <w:rPr>
            <w:webHidden/>
          </w:rPr>
          <w:t>55</w:t>
        </w:r>
        <w:r w:rsidR="00866D96">
          <w:rPr>
            <w:webHidden/>
          </w:rPr>
          <w:fldChar w:fldCharType="end"/>
        </w:r>
      </w:hyperlink>
    </w:p>
    <w:p w14:paraId="7E81F5AB"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4" w:history="1">
        <w:r w:rsidR="00866D96" w:rsidRPr="00494621">
          <w:rPr>
            <w:rStyle w:val="Hyperlink"/>
          </w:rPr>
          <w:t>4.6.2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target for 2030?</w:t>
        </w:r>
        <w:r w:rsidR="00866D96">
          <w:rPr>
            <w:webHidden/>
          </w:rPr>
          <w:tab/>
        </w:r>
        <w:r w:rsidR="00866D96">
          <w:rPr>
            <w:webHidden/>
          </w:rPr>
          <w:fldChar w:fldCharType="begin"/>
        </w:r>
        <w:r w:rsidR="00866D96">
          <w:rPr>
            <w:webHidden/>
          </w:rPr>
          <w:instrText xml:space="preserve"> PAGEREF _Toc481614914 \h </w:instrText>
        </w:r>
        <w:r w:rsidR="00866D96">
          <w:rPr>
            <w:webHidden/>
          </w:rPr>
        </w:r>
        <w:r w:rsidR="00866D96">
          <w:rPr>
            <w:webHidden/>
          </w:rPr>
          <w:fldChar w:fldCharType="separate"/>
        </w:r>
        <w:r w:rsidR="00866D96">
          <w:rPr>
            <w:webHidden/>
          </w:rPr>
          <w:t>58</w:t>
        </w:r>
        <w:r w:rsidR="00866D96">
          <w:rPr>
            <w:webHidden/>
          </w:rPr>
          <w:fldChar w:fldCharType="end"/>
        </w:r>
      </w:hyperlink>
    </w:p>
    <w:p w14:paraId="5ABA9DCD"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5" w:history="1">
        <w:r w:rsidR="00866D96" w:rsidRPr="00494621">
          <w:rPr>
            <w:rStyle w:val="Hyperlink"/>
          </w:rPr>
          <w:t>4.6.3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_Toc481614915 \h </w:instrText>
        </w:r>
        <w:r w:rsidR="00866D96">
          <w:rPr>
            <w:webHidden/>
          </w:rPr>
        </w:r>
        <w:r w:rsidR="00866D96">
          <w:rPr>
            <w:webHidden/>
          </w:rPr>
          <w:fldChar w:fldCharType="separate"/>
        </w:r>
        <w:r w:rsidR="00866D96">
          <w:rPr>
            <w:webHidden/>
          </w:rPr>
          <w:t>59</w:t>
        </w:r>
        <w:r w:rsidR="00866D96">
          <w:rPr>
            <w:webHidden/>
          </w:rPr>
          <w:fldChar w:fldCharType="end"/>
        </w:r>
      </w:hyperlink>
    </w:p>
    <w:p w14:paraId="4444A4E7"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16" w:history="1">
        <w:r w:rsidR="00866D96" w:rsidRPr="00494621">
          <w:rPr>
            <w:rStyle w:val="Hyperlink"/>
            <w14:scene3d>
              <w14:camera w14:prst="orthographicFront"/>
              <w14:lightRig w14:rig="threePt" w14:dir="t">
                <w14:rot w14:lat="0" w14:lon="0" w14:rev="0"/>
              </w14:lightRig>
            </w14:scene3d>
          </w:rPr>
          <w:t>4.7</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Transportation – Urban transportation</w:t>
        </w:r>
        <w:r w:rsidR="00866D96">
          <w:rPr>
            <w:webHidden/>
          </w:rPr>
          <w:tab/>
        </w:r>
        <w:r w:rsidR="00866D96">
          <w:rPr>
            <w:webHidden/>
          </w:rPr>
          <w:fldChar w:fldCharType="begin"/>
        </w:r>
        <w:r w:rsidR="00866D96">
          <w:rPr>
            <w:webHidden/>
          </w:rPr>
          <w:instrText xml:space="preserve"> PAGEREF _Toc481614916 \h </w:instrText>
        </w:r>
        <w:r w:rsidR="00866D96">
          <w:rPr>
            <w:webHidden/>
          </w:rPr>
        </w:r>
        <w:r w:rsidR="00866D96">
          <w:rPr>
            <w:webHidden/>
          </w:rPr>
          <w:fldChar w:fldCharType="separate"/>
        </w:r>
        <w:r w:rsidR="00866D96">
          <w:rPr>
            <w:webHidden/>
          </w:rPr>
          <w:t>60</w:t>
        </w:r>
        <w:r w:rsidR="00866D96">
          <w:rPr>
            <w:webHidden/>
          </w:rPr>
          <w:fldChar w:fldCharType="end"/>
        </w:r>
      </w:hyperlink>
    </w:p>
    <w:p w14:paraId="18770D2F"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7" w:history="1">
        <w:r w:rsidR="00866D96" w:rsidRPr="00494621">
          <w:rPr>
            <w:rStyle w:val="Hyperlink"/>
          </w:rPr>
          <w:t>4.7.1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current status and BAU trajectory to 2030?</w:t>
        </w:r>
        <w:r w:rsidR="00866D96">
          <w:rPr>
            <w:webHidden/>
          </w:rPr>
          <w:tab/>
        </w:r>
        <w:r w:rsidR="00866D96">
          <w:rPr>
            <w:webHidden/>
          </w:rPr>
          <w:fldChar w:fldCharType="begin"/>
        </w:r>
        <w:r w:rsidR="00866D96">
          <w:rPr>
            <w:webHidden/>
          </w:rPr>
          <w:instrText xml:space="preserve"> PAGEREF _Toc481614917 \h </w:instrText>
        </w:r>
        <w:r w:rsidR="00866D96">
          <w:rPr>
            <w:webHidden/>
          </w:rPr>
        </w:r>
        <w:r w:rsidR="00866D96">
          <w:rPr>
            <w:webHidden/>
          </w:rPr>
          <w:fldChar w:fldCharType="separate"/>
        </w:r>
        <w:r w:rsidR="00866D96">
          <w:rPr>
            <w:webHidden/>
          </w:rPr>
          <w:t>61</w:t>
        </w:r>
        <w:r w:rsidR="00866D96">
          <w:rPr>
            <w:webHidden/>
          </w:rPr>
          <w:fldChar w:fldCharType="end"/>
        </w:r>
      </w:hyperlink>
    </w:p>
    <w:p w14:paraId="2A4180B1"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8" w:history="1">
        <w:r w:rsidR="00866D96" w:rsidRPr="00494621">
          <w:rPr>
            <w:rStyle w:val="Hyperlink"/>
          </w:rPr>
          <w:t>4.7.2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target for 2030?</w:t>
        </w:r>
        <w:r w:rsidR="00866D96">
          <w:rPr>
            <w:webHidden/>
          </w:rPr>
          <w:tab/>
        </w:r>
        <w:r w:rsidR="00866D96">
          <w:rPr>
            <w:webHidden/>
          </w:rPr>
          <w:fldChar w:fldCharType="begin"/>
        </w:r>
        <w:r w:rsidR="00866D96">
          <w:rPr>
            <w:webHidden/>
          </w:rPr>
          <w:instrText xml:space="preserve"> PAGEREF _Toc481614918 \h </w:instrText>
        </w:r>
        <w:r w:rsidR="00866D96">
          <w:rPr>
            <w:webHidden/>
          </w:rPr>
        </w:r>
        <w:r w:rsidR="00866D96">
          <w:rPr>
            <w:webHidden/>
          </w:rPr>
          <w:fldChar w:fldCharType="separate"/>
        </w:r>
        <w:r w:rsidR="00866D96">
          <w:rPr>
            <w:webHidden/>
          </w:rPr>
          <w:t>64</w:t>
        </w:r>
        <w:r w:rsidR="00866D96">
          <w:rPr>
            <w:webHidden/>
          </w:rPr>
          <w:fldChar w:fldCharType="end"/>
        </w:r>
      </w:hyperlink>
    </w:p>
    <w:p w14:paraId="2DF2DE1E"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19" w:history="1">
        <w:r w:rsidR="00866D96" w:rsidRPr="00494621">
          <w:rPr>
            <w:rStyle w:val="Hyperlink"/>
          </w:rPr>
          <w:t>4.7.3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is the gap between BAU trajectory and the new targets? What are the barriers?</w:t>
        </w:r>
        <w:r w:rsidR="00866D96">
          <w:rPr>
            <w:webHidden/>
          </w:rPr>
          <w:tab/>
        </w:r>
        <w:r w:rsidR="00866D96">
          <w:rPr>
            <w:webHidden/>
          </w:rPr>
          <w:fldChar w:fldCharType="begin"/>
        </w:r>
        <w:r w:rsidR="00866D96">
          <w:rPr>
            <w:webHidden/>
          </w:rPr>
          <w:instrText xml:space="preserve"> PAGEREF _Toc481614919 \h </w:instrText>
        </w:r>
        <w:r w:rsidR="00866D96">
          <w:rPr>
            <w:webHidden/>
          </w:rPr>
        </w:r>
        <w:r w:rsidR="00866D96">
          <w:rPr>
            <w:webHidden/>
          </w:rPr>
          <w:fldChar w:fldCharType="separate"/>
        </w:r>
        <w:r w:rsidR="00866D96">
          <w:rPr>
            <w:webHidden/>
          </w:rPr>
          <w:t>65</w:t>
        </w:r>
        <w:r w:rsidR="00866D96">
          <w:rPr>
            <w:webHidden/>
          </w:rPr>
          <w:fldChar w:fldCharType="end"/>
        </w:r>
      </w:hyperlink>
    </w:p>
    <w:p w14:paraId="593FFA3E"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20" w:history="1">
        <w:r w:rsidR="00866D96" w:rsidRPr="00494621">
          <w:rPr>
            <w:rStyle w:val="Hyperlink"/>
            <w14:scene3d>
              <w14:camera w14:prst="orthographicFront"/>
              <w14:lightRig w14:rig="threePt" w14:dir="t">
                <w14:rot w14:lat="0" w14:lon="0" w14:rev="0"/>
              </w14:lightRig>
            </w14:scene3d>
          </w:rPr>
          <w:t>4.8</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Relevant nexus targets – by 2030</w:t>
        </w:r>
        <w:r w:rsidR="00866D96">
          <w:rPr>
            <w:webHidden/>
          </w:rPr>
          <w:tab/>
        </w:r>
        <w:r w:rsidR="00866D96">
          <w:rPr>
            <w:webHidden/>
          </w:rPr>
          <w:fldChar w:fldCharType="begin"/>
        </w:r>
        <w:r w:rsidR="00866D96">
          <w:rPr>
            <w:webHidden/>
          </w:rPr>
          <w:instrText xml:space="preserve"> PAGEREF _Toc481614920 \h </w:instrText>
        </w:r>
        <w:r w:rsidR="00866D96">
          <w:rPr>
            <w:webHidden/>
          </w:rPr>
        </w:r>
        <w:r w:rsidR="00866D96">
          <w:rPr>
            <w:webHidden/>
          </w:rPr>
          <w:fldChar w:fldCharType="separate"/>
        </w:r>
        <w:r w:rsidR="00866D96">
          <w:rPr>
            <w:webHidden/>
          </w:rPr>
          <w:t>66</w:t>
        </w:r>
        <w:r w:rsidR="00866D96">
          <w:rPr>
            <w:webHidden/>
          </w:rPr>
          <w:fldChar w:fldCharType="end"/>
        </w:r>
      </w:hyperlink>
    </w:p>
    <w:p w14:paraId="066FF218"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21" w:history="1">
        <w:r w:rsidR="00866D96" w:rsidRPr="00494621">
          <w:rPr>
            <w:rStyle w:val="Hyperlink"/>
          </w:rPr>
          <w:t>5.</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PART II – Priority Action Areas</w:t>
        </w:r>
        <w:r w:rsidR="00866D96">
          <w:rPr>
            <w:webHidden/>
          </w:rPr>
          <w:tab/>
        </w:r>
        <w:r w:rsidR="00866D96">
          <w:rPr>
            <w:webHidden/>
          </w:rPr>
          <w:fldChar w:fldCharType="begin"/>
        </w:r>
        <w:r w:rsidR="00866D96">
          <w:rPr>
            <w:webHidden/>
          </w:rPr>
          <w:instrText xml:space="preserve"> PAGEREF _Toc481614921 \h </w:instrText>
        </w:r>
        <w:r w:rsidR="00866D96">
          <w:rPr>
            <w:webHidden/>
          </w:rPr>
        </w:r>
        <w:r w:rsidR="00866D96">
          <w:rPr>
            <w:webHidden/>
          </w:rPr>
          <w:fldChar w:fldCharType="separate"/>
        </w:r>
        <w:r w:rsidR="00866D96">
          <w:rPr>
            <w:webHidden/>
          </w:rPr>
          <w:t>67</w:t>
        </w:r>
        <w:r w:rsidR="00866D96">
          <w:rPr>
            <w:webHidden/>
          </w:rPr>
          <w:fldChar w:fldCharType="end"/>
        </w:r>
      </w:hyperlink>
    </w:p>
    <w:p w14:paraId="0FA746D5"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22" w:history="1">
        <w:r w:rsidR="00866D96" w:rsidRPr="00494621">
          <w:rPr>
            <w:rStyle w:val="Hyperlink"/>
            <w14:scene3d>
              <w14:camera w14:prst="orthographicFront"/>
              <w14:lightRig w14:rig="threePt" w14:dir="t">
                <w14:rot w14:lat="0" w14:lon="0" w14:rev="0"/>
              </w14:lightRig>
            </w14:scene3d>
          </w:rPr>
          <w:t>5.1</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access – Cooking</w:t>
        </w:r>
        <w:r w:rsidR="00866D96">
          <w:rPr>
            <w:webHidden/>
          </w:rPr>
          <w:tab/>
        </w:r>
        <w:r w:rsidR="00866D96">
          <w:rPr>
            <w:webHidden/>
          </w:rPr>
          <w:fldChar w:fldCharType="begin"/>
        </w:r>
        <w:r w:rsidR="00866D96">
          <w:rPr>
            <w:webHidden/>
          </w:rPr>
          <w:instrText xml:space="preserve"> PAGEREF _Toc481614922 \h </w:instrText>
        </w:r>
        <w:r w:rsidR="00866D96">
          <w:rPr>
            <w:webHidden/>
          </w:rPr>
        </w:r>
        <w:r w:rsidR="00866D96">
          <w:rPr>
            <w:webHidden/>
          </w:rPr>
          <w:fldChar w:fldCharType="separate"/>
        </w:r>
        <w:r w:rsidR="00866D96">
          <w:rPr>
            <w:webHidden/>
          </w:rPr>
          <w:t>67</w:t>
        </w:r>
        <w:r w:rsidR="00866D96">
          <w:rPr>
            <w:webHidden/>
          </w:rPr>
          <w:fldChar w:fldCharType="end"/>
        </w:r>
      </w:hyperlink>
    </w:p>
    <w:p w14:paraId="1F551121"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23" w:history="1">
        <w:r w:rsidR="00866D96" w:rsidRPr="00494621">
          <w:rPr>
            <w:rStyle w:val="Hyperlink"/>
          </w:rPr>
          <w:t>5.1.1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the field of energy access - cooking?</w:t>
        </w:r>
        <w:r w:rsidR="00866D96">
          <w:rPr>
            <w:webHidden/>
          </w:rPr>
          <w:tab/>
        </w:r>
        <w:r w:rsidR="00866D96">
          <w:rPr>
            <w:webHidden/>
          </w:rPr>
          <w:fldChar w:fldCharType="begin"/>
        </w:r>
        <w:r w:rsidR="00866D96">
          <w:rPr>
            <w:webHidden/>
          </w:rPr>
          <w:instrText xml:space="preserve"> PAGEREF _Toc481614923 \h </w:instrText>
        </w:r>
        <w:r w:rsidR="00866D96">
          <w:rPr>
            <w:webHidden/>
          </w:rPr>
        </w:r>
        <w:r w:rsidR="00866D96">
          <w:rPr>
            <w:webHidden/>
          </w:rPr>
          <w:fldChar w:fldCharType="separate"/>
        </w:r>
        <w:r w:rsidR="00866D96">
          <w:rPr>
            <w:webHidden/>
          </w:rPr>
          <w:t>67</w:t>
        </w:r>
        <w:r w:rsidR="00866D96">
          <w:rPr>
            <w:webHidden/>
          </w:rPr>
          <w:fldChar w:fldCharType="end"/>
        </w:r>
      </w:hyperlink>
    </w:p>
    <w:p w14:paraId="1D7ED7DC" w14:textId="77777777" w:rsidR="00866D96" w:rsidRDefault="00DC7D8C">
      <w:pPr>
        <w:pStyle w:val="TOC4"/>
        <w:rPr>
          <w:i w:val="0"/>
          <w:color w:val="auto"/>
          <w:sz w:val="22"/>
          <w:lang w:val="fr-FR"/>
        </w:rPr>
      </w:pPr>
      <w:hyperlink w:anchor="_Toc481614924" w:history="1">
        <w:r w:rsidR="00866D96" w:rsidRPr="00494621">
          <w:rPr>
            <w:rStyle w:val="Hyperlink"/>
          </w:rPr>
          <w:t>LPG Expansion</w:t>
        </w:r>
        <w:r w:rsidR="00866D96">
          <w:rPr>
            <w:webHidden/>
          </w:rPr>
          <w:tab/>
        </w:r>
        <w:r w:rsidR="00866D96">
          <w:rPr>
            <w:webHidden/>
          </w:rPr>
          <w:fldChar w:fldCharType="begin"/>
        </w:r>
        <w:r w:rsidR="00866D96">
          <w:rPr>
            <w:webHidden/>
          </w:rPr>
          <w:instrText xml:space="preserve"> PAGEREF _Toc481614924 \h </w:instrText>
        </w:r>
        <w:r w:rsidR="00866D96">
          <w:rPr>
            <w:webHidden/>
          </w:rPr>
        </w:r>
        <w:r w:rsidR="00866D96">
          <w:rPr>
            <w:webHidden/>
          </w:rPr>
          <w:fldChar w:fldCharType="separate"/>
        </w:r>
        <w:r w:rsidR="00866D96">
          <w:rPr>
            <w:webHidden/>
          </w:rPr>
          <w:t>68</w:t>
        </w:r>
        <w:r w:rsidR="00866D96">
          <w:rPr>
            <w:webHidden/>
          </w:rPr>
          <w:fldChar w:fldCharType="end"/>
        </w:r>
      </w:hyperlink>
    </w:p>
    <w:p w14:paraId="262BE798"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25" w:history="1">
        <w:r w:rsidR="00866D96" w:rsidRPr="00494621">
          <w:rPr>
            <w:rStyle w:val="Hyperlink"/>
            <w14:scene3d>
              <w14:camera w14:prst="orthographicFront"/>
              <w14:lightRig w14:rig="threePt" w14:dir="t">
                <w14:rot w14:lat="0" w14:lon="0" w14:rev="0"/>
              </w14:lightRig>
            </w14:scene3d>
          </w:rPr>
          <w:t>5.2</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access – Electricity</w:t>
        </w:r>
        <w:r w:rsidR="00866D96">
          <w:rPr>
            <w:webHidden/>
          </w:rPr>
          <w:tab/>
        </w:r>
        <w:r w:rsidR="00866D96">
          <w:rPr>
            <w:webHidden/>
          </w:rPr>
          <w:fldChar w:fldCharType="begin"/>
        </w:r>
        <w:r w:rsidR="00866D96">
          <w:rPr>
            <w:webHidden/>
          </w:rPr>
          <w:instrText xml:space="preserve"> PAGEREF _Toc481614925 \h </w:instrText>
        </w:r>
        <w:r w:rsidR="00866D96">
          <w:rPr>
            <w:webHidden/>
          </w:rPr>
        </w:r>
        <w:r w:rsidR="00866D96">
          <w:rPr>
            <w:webHidden/>
          </w:rPr>
          <w:fldChar w:fldCharType="separate"/>
        </w:r>
        <w:r w:rsidR="00866D96">
          <w:rPr>
            <w:webHidden/>
          </w:rPr>
          <w:t>68</w:t>
        </w:r>
        <w:r w:rsidR="00866D96">
          <w:rPr>
            <w:webHidden/>
          </w:rPr>
          <w:fldChar w:fldCharType="end"/>
        </w:r>
      </w:hyperlink>
    </w:p>
    <w:p w14:paraId="7D606F6F"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26" w:history="1">
        <w:r w:rsidR="00866D96" w:rsidRPr="00494621">
          <w:rPr>
            <w:rStyle w:val="Hyperlink"/>
          </w:rPr>
          <w:t>5.2.1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the field of energy access - electricity?</w:t>
        </w:r>
        <w:r w:rsidR="00866D96">
          <w:rPr>
            <w:webHidden/>
          </w:rPr>
          <w:tab/>
        </w:r>
        <w:r w:rsidR="00866D96">
          <w:rPr>
            <w:webHidden/>
          </w:rPr>
          <w:fldChar w:fldCharType="begin"/>
        </w:r>
        <w:r w:rsidR="00866D96">
          <w:rPr>
            <w:webHidden/>
          </w:rPr>
          <w:instrText xml:space="preserve"> PAGEREF _Toc481614926 \h </w:instrText>
        </w:r>
        <w:r w:rsidR="00866D96">
          <w:rPr>
            <w:webHidden/>
          </w:rPr>
        </w:r>
        <w:r w:rsidR="00866D96">
          <w:rPr>
            <w:webHidden/>
          </w:rPr>
          <w:fldChar w:fldCharType="separate"/>
        </w:r>
        <w:r w:rsidR="00866D96">
          <w:rPr>
            <w:webHidden/>
          </w:rPr>
          <w:t>68</w:t>
        </w:r>
        <w:r w:rsidR="00866D96">
          <w:rPr>
            <w:webHidden/>
          </w:rPr>
          <w:fldChar w:fldCharType="end"/>
        </w:r>
      </w:hyperlink>
    </w:p>
    <w:p w14:paraId="779FDE85" w14:textId="77777777" w:rsidR="00866D96" w:rsidRDefault="00DC7D8C">
      <w:pPr>
        <w:pStyle w:val="TOC4"/>
        <w:rPr>
          <w:i w:val="0"/>
          <w:color w:val="auto"/>
          <w:sz w:val="22"/>
          <w:lang w:val="fr-FR"/>
        </w:rPr>
      </w:pPr>
      <w:hyperlink w:anchor="_Toc481614927" w:history="1">
        <w:r w:rsidR="00866D96" w:rsidRPr="00494621">
          <w:rPr>
            <w:rStyle w:val="Hyperlink"/>
          </w:rPr>
          <w:t>Education, Training and Public Awareness</w:t>
        </w:r>
        <w:r w:rsidR="00866D96">
          <w:rPr>
            <w:webHidden/>
          </w:rPr>
          <w:tab/>
        </w:r>
        <w:r w:rsidR="00866D96">
          <w:rPr>
            <w:webHidden/>
          </w:rPr>
          <w:fldChar w:fldCharType="begin"/>
        </w:r>
        <w:r w:rsidR="00866D96">
          <w:rPr>
            <w:webHidden/>
          </w:rPr>
          <w:instrText xml:space="preserve"> PAGEREF _Toc481614927 \h </w:instrText>
        </w:r>
        <w:r w:rsidR="00866D96">
          <w:rPr>
            <w:webHidden/>
          </w:rPr>
        </w:r>
        <w:r w:rsidR="00866D96">
          <w:rPr>
            <w:webHidden/>
          </w:rPr>
          <w:fldChar w:fldCharType="separate"/>
        </w:r>
        <w:r w:rsidR="00866D96">
          <w:rPr>
            <w:webHidden/>
          </w:rPr>
          <w:t>69</w:t>
        </w:r>
        <w:r w:rsidR="00866D96">
          <w:rPr>
            <w:webHidden/>
          </w:rPr>
          <w:fldChar w:fldCharType="end"/>
        </w:r>
      </w:hyperlink>
    </w:p>
    <w:p w14:paraId="4B28956B" w14:textId="77777777" w:rsidR="00866D96" w:rsidRDefault="00DC7D8C">
      <w:pPr>
        <w:pStyle w:val="TOC4"/>
        <w:rPr>
          <w:i w:val="0"/>
          <w:color w:val="auto"/>
          <w:sz w:val="22"/>
          <w:lang w:val="fr-FR"/>
        </w:rPr>
      </w:pPr>
      <w:hyperlink w:anchor="_Toc481614928" w:history="1">
        <w:r w:rsidR="00866D96" w:rsidRPr="00494621">
          <w:rPr>
            <w:rStyle w:val="Hyperlink"/>
          </w:rPr>
          <w:t>Promotion of Pico solar systems</w:t>
        </w:r>
        <w:r w:rsidR="00866D96">
          <w:rPr>
            <w:webHidden/>
          </w:rPr>
          <w:tab/>
        </w:r>
        <w:r w:rsidR="00866D96">
          <w:rPr>
            <w:webHidden/>
          </w:rPr>
          <w:fldChar w:fldCharType="begin"/>
        </w:r>
        <w:r w:rsidR="00866D96">
          <w:rPr>
            <w:webHidden/>
          </w:rPr>
          <w:instrText xml:space="preserve"> PAGEREF _Toc481614928 \h </w:instrText>
        </w:r>
        <w:r w:rsidR="00866D96">
          <w:rPr>
            <w:webHidden/>
          </w:rPr>
        </w:r>
        <w:r w:rsidR="00866D96">
          <w:rPr>
            <w:webHidden/>
          </w:rPr>
          <w:fldChar w:fldCharType="separate"/>
        </w:r>
        <w:r w:rsidR="00866D96">
          <w:rPr>
            <w:webHidden/>
          </w:rPr>
          <w:t>70</w:t>
        </w:r>
        <w:r w:rsidR="00866D96">
          <w:rPr>
            <w:webHidden/>
          </w:rPr>
          <w:fldChar w:fldCharType="end"/>
        </w:r>
      </w:hyperlink>
    </w:p>
    <w:p w14:paraId="6EF90282"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29" w:history="1">
        <w:r w:rsidR="00866D96" w:rsidRPr="00494621">
          <w:rPr>
            <w:rStyle w:val="Hyperlink"/>
          </w:rPr>
          <w:t>5.2.2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the field of renewable energy?</w:t>
        </w:r>
        <w:r w:rsidR="00866D96">
          <w:rPr>
            <w:webHidden/>
          </w:rPr>
          <w:tab/>
        </w:r>
        <w:r w:rsidR="00866D96">
          <w:rPr>
            <w:webHidden/>
          </w:rPr>
          <w:fldChar w:fldCharType="begin"/>
        </w:r>
        <w:r w:rsidR="00866D96">
          <w:rPr>
            <w:webHidden/>
          </w:rPr>
          <w:instrText xml:space="preserve"> PAGEREF _Toc481614929 \h </w:instrText>
        </w:r>
        <w:r w:rsidR="00866D96">
          <w:rPr>
            <w:webHidden/>
          </w:rPr>
        </w:r>
        <w:r w:rsidR="00866D96">
          <w:rPr>
            <w:webHidden/>
          </w:rPr>
          <w:fldChar w:fldCharType="separate"/>
        </w:r>
        <w:r w:rsidR="00866D96">
          <w:rPr>
            <w:webHidden/>
          </w:rPr>
          <w:t>73</w:t>
        </w:r>
        <w:r w:rsidR="00866D96">
          <w:rPr>
            <w:webHidden/>
          </w:rPr>
          <w:fldChar w:fldCharType="end"/>
        </w:r>
      </w:hyperlink>
    </w:p>
    <w:p w14:paraId="61E230DB"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0" w:history="1">
        <w:r w:rsidR="00866D96" w:rsidRPr="00494621">
          <w:rPr>
            <w:rStyle w:val="Hyperlink"/>
          </w:rPr>
          <w:t>5.2.3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Priority actions synthesis</w:t>
        </w:r>
        <w:r w:rsidR="00866D96">
          <w:rPr>
            <w:webHidden/>
          </w:rPr>
          <w:tab/>
        </w:r>
        <w:r w:rsidR="00866D96">
          <w:rPr>
            <w:webHidden/>
          </w:rPr>
          <w:fldChar w:fldCharType="begin"/>
        </w:r>
        <w:r w:rsidR="00866D96">
          <w:rPr>
            <w:webHidden/>
          </w:rPr>
          <w:instrText xml:space="preserve"> PAGEREF _Toc481614930 \h </w:instrText>
        </w:r>
        <w:r w:rsidR="00866D96">
          <w:rPr>
            <w:webHidden/>
          </w:rPr>
        </w:r>
        <w:r w:rsidR="00866D96">
          <w:rPr>
            <w:webHidden/>
          </w:rPr>
          <w:fldChar w:fldCharType="separate"/>
        </w:r>
        <w:r w:rsidR="00866D96">
          <w:rPr>
            <w:webHidden/>
          </w:rPr>
          <w:t>77</w:t>
        </w:r>
        <w:r w:rsidR="00866D96">
          <w:rPr>
            <w:webHidden/>
          </w:rPr>
          <w:fldChar w:fldCharType="end"/>
        </w:r>
      </w:hyperlink>
    </w:p>
    <w:p w14:paraId="3D7936AC"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31" w:history="1">
        <w:r w:rsidR="00866D96" w:rsidRPr="00494621">
          <w:rPr>
            <w:rStyle w:val="Hyperlink"/>
            <w14:scene3d>
              <w14:camera w14:prst="orthographicFront"/>
              <w14:lightRig w14:rig="threePt" w14:dir="t">
                <w14:rot w14:lat="0" w14:lon="0" w14:rev="0"/>
              </w14:lightRig>
            </w14:scene3d>
          </w:rPr>
          <w:t>5.3</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Energy efficiency</w:t>
        </w:r>
        <w:r w:rsidR="00866D96">
          <w:rPr>
            <w:webHidden/>
          </w:rPr>
          <w:tab/>
        </w:r>
        <w:r w:rsidR="00866D96">
          <w:rPr>
            <w:webHidden/>
          </w:rPr>
          <w:fldChar w:fldCharType="begin"/>
        </w:r>
        <w:r w:rsidR="00866D96">
          <w:rPr>
            <w:webHidden/>
          </w:rPr>
          <w:instrText xml:space="preserve"> PAGEREF _Toc481614931 \h </w:instrText>
        </w:r>
        <w:r w:rsidR="00866D96">
          <w:rPr>
            <w:webHidden/>
          </w:rPr>
        </w:r>
        <w:r w:rsidR="00866D96">
          <w:rPr>
            <w:webHidden/>
          </w:rPr>
          <w:fldChar w:fldCharType="separate"/>
        </w:r>
        <w:r w:rsidR="00866D96">
          <w:rPr>
            <w:webHidden/>
          </w:rPr>
          <w:t>80</w:t>
        </w:r>
        <w:r w:rsidR="00866D96">
          <w:rPr>
            <w:webHidden/>
          </w:rPr>
          <w:fldChar w:fldCharType="end"/>
        </w:r>
      </w:hyperlink>
    </w:p>
    <w:p w14:paraId="6E333AA6"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2" w:history="1">
        <w:r w:rsidR="00866D96" w:rsidRPr="00494621">
          <w:rPr>
            <w:rStyle w:val="Hyperlink"/>
          </w:rPr>
          <w:t>5.3.1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the field of energy efficiency?</w:t>
        </w:r>
        <w:r w:rsidR="00866D96">
          <w:rPr>
            <w:webHidden/>
          </w:rPr>
          <w:tab/>
        </w:r>
        <w:r w:rsidR="00866D96">
          <w:rPr>
            <w:webHidden/>
          </w:rPr>
          <w:fldChar w:fldCharType="begin"/>
        </w:r>
        <w:r w:rsidR="00866D96">
          <w:rPr>
            <w:webHidden/>
          </w:rPr>
          <w:instrText xml:space="preserve"> PAGEREF _Toc481614932 \h </w:instrText>
        </w:r>
        <w:r w:rsidR="00866D96">
          <w:rPr>
            <w:webHidden/>
          </w:rPr>
        </w:r>
        <w:r w:rsidR="00866D96">
          <w:rPr>
            <w:webHidden/>
          </w:rPr>
          <w:fldChar w:fldCharType="separate"/>
        </w:r>
        <w:r w:rsidR="00866D96">
          <w:rPr>
            <w:webHidden/>
          </w:rPr>
          <w:t>80</w:t>
        </w:r>
        <w:r w:rsidR="00866D96">
          <w:rPr>
            <w:webHidden/>
          </w:rPr>
          <w:fldChar w:fldCharType="end"/>
        </w:r>
      </w:hyperlink>
    </w:p>
    <w:p w14:paraId="3E5DEE29"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3" w:history="1">
        <w:r w:rsidR="00866D96" w:rsidRPr="00494621">
          <w:rPr>
            <w:rStyle w:val="Hyperlink"/>
          </w:rPr>
          <w:t>5.3.2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Which (global) High-Impact Opportunities are relevant?</w:t>
        </w:r>
        <w:r w:rsidR="00866D96">
          <w:rPr>
            <w:webHidden/>
          </w:rPr>
          <w:tab/>
        </w:r>
        <w:r w:rsidR="00866D96">
          <w:rPr>
            <w:webHidden/>
          </w:rPr>
          <w:fldChar w:fldCharType="begin"/>
        </w:r>
        <w:r w:rsidR="00866D96">
          <w:rPr>
            <w:webHidden/>
          </w:rPr>
          <w:instrText xml:space="preserve"> PAGEREF _Toc481614933 \h </w:instrText>
        </w:r>
        <w:r w:rsidR="00866D96">
          <w:rPr>
            <w:webHidden/>
          </w:rPr>
        </w:r>
        <w:r w:rsidR="00866D96">
          <w:rPr>
            <w:webHidden/>
          </w:rPr>
          <w:fldChar w:fldCharType="separate"/>
        </w:r>
        <w:r w:rsidR="00866D96">
          <w:rPr>
            <w:webHidden/>
          </w:rPr>
          <w:t>85</w:t>
        </w:r>
        <w:r w:rsidR="00866D96">
          <w:rPr>
            <w:webHidden/>
          </w:rPr>
          <w:fldChar w:fldCharType="end"/>
        </w:r>
      </w:hyperlink>
    </w:p>
    <w:p w14:paraId="34867E7A"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4" w:history="1">
        <w:r w:rsidR="00866D96" w:rsidRPr="00494621">
          <w:rPr>
            <w:rStyle w:val="Hyperlink"/>
          </w:rPr>
          <w:t>5.3.3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Priority actions synthesis</w:t>
        </w:r>
        <w:r w:rsidR="00866D96">
          <w:rPr>
            <w:webHidden/>
          </w:rPr>
          <w:tab/>
        </w:r>
        <w:r w:rsidR="00866D96">
          <w:rPr>
            <w:webHidden/>
          </w:rPr>
          <w:fldChar w:fldCharType="begin"/>
        </w:r>
        <w:r w:rsidR="00866D96">
          <w:rPr>
            <w:webHidden/>
          </w:rPr>
          <w:instrText xml:space="preserve"> PAGEREF _Toc481614934 \h </w:instrText>
        </w:r>
        <w:r w:rsidR="00866D96">
          <w:rPr>
            <w:webHidden/>
          </w:rPr>
        </w:r>
        <w:r w:rsidR="00866D96">
          <w:rPr>
            <w:webHidden/>
          </w:rPr>
          <w:fldChar w:fldCharType="separate"/>
        </w:r>
        <w:r w:rsidR="00866D96">
          <w:rPr>
            <w:webHidden/>
          </w:rPr>
          <w:t>85</w:t>
        </w:r>
        <w:r w:rsidR="00866D96">
          <w:rPr>
            <w:webHidden/>
          </w:rPr>
          <w:fldChar w:fldCharType="end"/>
        </w:r>
      </w:hyperlink>
    </w:p>
    <w:p w14:paraId="26AED129"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35" w:history="1">
        <w:r w:rsidR="00866D96" w:rsidRPr="00494621">
          <w:rPr>
            <w:rStyle w:val="Hyperlink"/>
            <w14:scene3d>
              <w14:camera w14:prst="orthographicFront"/>
              <w14:lightRig w14:rig="threePt" w14:dir="t">
                <w14:rot w14:lat="0" w14:lon="0" w14:rev="0"/>
              </w14:lightRig>
            </w14:scene3d>
          </w:rPr>
          <w:t>5.4</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Transportation – Alternative fuels</w:t>
        </w:r>
        <w:r w:rsidR="00866D96">
          <w:rPr>
            <w:webHidden/>
          </w:rPr>
          <w:tab/>
        </w:r>
        <w:r w:rsidR="00866D96">
          <w:rPr>
            <w:webHidden/>
          </w:rPr>
          <w:fldChar w:fldCharType="begin"/>
        </w:r>
        <w:r w:rsidR="00866D96">
          <w:rPr>
            <w:webHidden/>
          </w:rPr>
          <w:instrText xml:space="preserve"> PAGEREF _Toc481614935 \h </w:instrText>
        </w:r>
        <w:r w:rsidR="00866D96">
          <w:rPr>
            <w:webHidden/>
          </w:rPr>
        </w:r>
        <w:r w:rsidR="00866D96">
          <w:rPr>
            <w:webHidden/>
          </w:rPr>
          <w:fldChar w:fldCharType="separate"/>
        </w:r>
        <w:r w:rsidR="00866D96">
          <w:rPr>
            <w:webHidden/>
          </w:rPr>
          <w:t>87</w:t>
        </w:r>
        <w:r w:rsidR="00866D96">
          <w:rPr>
            <w:webHidden/>
          </w:rPr>
          <w:fldChar w:fldCharType="end"/>
        </w:r>
      </w:hyperlink>
    </w:p>
    <w:p w14:paraId="1B9AC646"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6" w:history="1">
        <w:r w:rsidR="00866D96" w:rsidRPr="00494621">
          <w:rPr>
            <w:rStyle w:val="Hyperlink"/>
          </w:rPr>
          <w:t>5.4.1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the field of alternative fuels?</w:t>
        </w:r>
        <w:r w:rsidR="00866D96">
          <w:rPr>
            <w:webHidden/>
          </w:rPr>
          <w:tab/>
        </w:r>
        <w:r w:rsidR="00866D96">
          <w:rPr>
            <w:webHidden/>
          </w:rPr>
          <w:fldChar w:fldCharType="begin"/>
        </w:r>
        <w:r w:rsidR="00866D96">
          <w:rPr>
            <w:webHidden/>
          </w:rPr>
          <w:instrText xml:space="preserve"> PAGEREF _Toc481614936 \h </w:instrText>
        </w:r>
        <w:r w:rsidR="00866D96">
          <w:rPr>
            <w:webHidden/>
          </w:rPr>
        </w:r>
        <w:r w:rsidR="00866D96">
          <w:rPr>
            <w:webHidden/>
          </w:rPr>
          <w:fldChar w:fldCharType="separate"/>
        </w:r>
        <w:r w:rsidR="00866D96">
          <w:rPr>
            <w:webHidden/>
          </w:rPr>
          <w:t>87</w:t>
        </w:r>
        <w:r w:rsidR="00866D96">
          <w:rPr>
            <w:webHidden/>
          </w:rPr>
          <w:fldChar w:fldCharType="end"/>
        </w:r>
      </w:hyperlink>
    </w:p>
    <w:p w14:paraId="1BB51DA2" w14:textId="77777777" w:rsidR="00866D96" w:rsidRDefault="00DC7D8C">
      <w:pPr>
        <w:pStyle w:val="TOC4"/>
        <w:rPr>
          <w:i w:val="0"/>
          <w:color w:val="auto"/>
          <w:sz w:val="22"/>
          <w:lang w:val="fr-FR"/>
        </w:rPr>
      </w:pPr>
      <w:hyperlink w:anchor="_Toc481614937" w:history="1">
        <w:r w:rsidR="00866D96" w:rsidRPr="00494621">
          <w:rPr>
            <w:rStyle w:val="Hyperlink"/>
          </w:rPr>
          <w:t>Support sustainable biofuel production and use</w:t>
        </w:r>
        <w:r w:rsidR="00866D96">
          <w:rPr>
            <w:webHidden/>
          </w:rPr>
          <w:tab/>
        </w:r>
        <w:r w:rsidR="00866D96">
          <w:rPr>
            <w:webHidden/>
          </w:rPr>
          <w:fldChar w:fldCharType="begin"/>
        </w:r>
        <w:r w:rsidR="00866D96">
          <w:rPr>
            <w:webHidden/>
          </w:rPr>
          <w:instrText xml:space="preserve"> PAGEREF _Toc481614937 \h </w:instrText>
        </w:r>
        <w:r w:rsidR="00866D96">
          <w:rPr>
            <w:webHidden/>
          </w:rPr>
        </w:r>
        <w:r w:rsidR="00866D96">
          <w:rPr>
            <w:webHidden/>
          </w:rPr>
          <w:fldChar w:fldCharType="separate"/>
        </w:r>
        <w:r w:rsidR="00866D96">
          <w:rPr>
            <w:webHidden/>
          </w:rPr>
          <w:t>88</w:t>
        </w:r>
        <w:r w:rsidR="00866D96">
          <w:rPr>
            <w:webHidden/>
          </w:rPr>
          <w:fldChar w:fldCharType="end"/>
        </w:r>
      </w:hyperlink>
    </w:p>
    <w:p w14:paraId="0E3E9E28"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8" w:history="1">
        <w:r w:rsidR="00866D96" w:rsidRPr="00494621">
          <w:rPr>
            <w:rStyle w:val="Hyperlink"/>
          </w:rPr>
          <w:t>5.4.2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Which (global) High-Impact Opportunities are relevant?</w:t>
        </w:r>
        <w:r w:rsidR="00866D96">
          <w:rPr>
            <w:webHidden/>
          </w:rPr>
          <w:tab/>
        </w:r>
        <w:r w:rsidR="00866D96">
          <w:rPr>
            <w:webHidden/>
          </w:rPr>
          <w:fldChar w:fldCharType="begin"/>
        </w:r>
        <w:r w:rsidR="00866D96">
          <w:rPr>
            <w:webHidden/>
          </w:rPr>
          <w:instrText xml:space="preserve"> PAGEREF _Toc481614938 \h </w:instrText>
        </w:r>
        <w:r w:rsidR="00866D96">
          <w:rPr>
            <w:webHidden/>
          </w:rPr>
        </w:r>
        <w:r w:rsidR="00866D96">
          <w:rPr>
            <w:webHidden/>
          </w:rPr>
          <w:fldChar w:fldCharType="separate"/>
        </w:r>
        <w:r w:rsidR="00866D96">
          <w:rPr>
            <w:webHidden/>
          </w:rPr>
          <w:t>90</w:t>
        </w:r>
        <w:r w:rsidR="00866D96">
          <w:rPr>
            <w:webHidden/>
          </w:rPr>
          <w:fldChar w:fldCharType="end"/>
        </w:r>
      </w:hyperlink>
    </w:p>
    <w:p w14:paraId="134610E4"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39" w:history="1">
        <w:r w:rsidR="00866D96" w:rsidRPr="00494621">
          <w:rPr>
            <w:rStyle w:val="Hyperlink"/>
          </w:rPr>
          <w:t>5.4.3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Priority actions synthesis</w:t>
        </w:r>
        <w:r w:rsidR="00866D96">
          <w:rPr>
            <w:webHidden/>
          </w:rPr>
          <w:tab/>
        </w:r>
        <w:r w:rsidR="00866D96">
          <w:rPr>
            <w:webHidden/>
          </w:rPr>
          <w:fldChar w:fldCharType="begin"/>
        </w:r>
        <w:r w:rsidR="00866D96">
          <w:rPr>
            <w:webHidden/>
          </w:rPr>
          <w:instrText xml:space="preserve"> PAGEREF _Toc481614939 \h </w:instrText>
        </w:r>
        <w:r w:rsidR="00866D96">
          <w:rPr>
            <w:webHidden/>
          </w:rPr>
        </w:r>
        <w:r w:rsidR="00866D96">
          <w:rPr>
            <w:webHidden/>
          </w:rPr>
          <w:fldChar w:fldCharType="separate"/>
        </w:r>
        <w:r w:rsidR="00866D96">
          <w:rPr>
            <w:webHidden/>
          </w:rPr>
          <w:t>90</w:t>
        </w:r>
        <w:r w:rsidR="00866D96">
          <w:rPr>
            <w:webHidden/>
          </w:rPr>
          <w:fldChar w:fldCharType="end"/>
        </w:r>
      </w:hyperlink>
    </w:p>
    <w:p w14:paraId="0202C2B0"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40" w:history="1">
        <w:r w:rsidR="00866D96" w:rsidRPr="00494621">
          <w:rPr>
            <w:rStyle w:val="Hyperlink"/>
            <w14:scene3d>
              <w14:camera w14:prst="orthographicFront"/>
              <w14:lightRig w14:rig="threePt" w14:dir="t">
                <w14:rot w14:lat="0" w14:lon="0" w14:rev="0"/>
              </w14:lightRig>
            </w14:scene3d>
          </w:rPr>
          <w:t>5.5</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Transportation – Urban transport</w:t>
        </w:r>
        <w:r w:rsidR="00866D96">
          <w:rPr>
            <w:webHidden/>
          </w:rPr>
          <w:tab/>
        </w:r>
        <w:r w:rsidR="00866D96">
          <w:rPr>
            <w:webHidden/>
          </w:rPr>
          <w:fldChar w:fldCharType="begin"/>
        </w:r>
        <w:r w:rsidR="00866D96">
          <w:rPr>
            <w:webHidden/>
          </w:rPr>
          <w:instrText xml:space="preserve"> PAGEREF _Toc481614940 \h </w:instrText>
        </w:r>
        <w:r w:rsidR="00866D96">
          <w:rPr>
            <w:webHidden/>
          </w:rPr>
        </w:r>
        <w:r w:rsidR="00866D96">
          <w:rPr>
            <w:webHidden/>
          </w:rPr>
          <w:fldChar w:fldCharType="separate"/>
        </w:r>
        <w:r w:rsidR="00866D96">
          <w:rPr>
            <w:webHidden/>
          </w:rPr>
          <w:t>92</w:t>
        </w:r>
        <w:r w:rsidR="00866D96">
          <w:rPr>
            <w:webHidden/>
          </w:rPr>
          <w:fldChar w:fldCharType="end"/>
        </w:r>
      </w:hyperlink>
    </w:p>
    <w:p w14:paraId="3EF394D5"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1" w:history="1">
        <w:r w:rsidR="00866D96" w:rsidRPr="00494621">
          <w:rPr>
            <w:rStyle w:val="Hyperlink"/>
          </w:rPr>
          <w:t>5.5.1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What are the actions and funding levels needed to achieve the overarching objective in urban transport?</w:t>
        </w:r>
        <w:r w:rsidR="00866D96">
          <w:rPr>
            <w:webHidden/>
          </w:rPr>
          <w:tab/>
        </w:r>
        <w:r w:rsidR="00866D96">
          <w:rPr>
            <w:webHidden/>
          </w:rPr>
          <w:fldChar w:fldCharType="begin"/>
        </w:r>
        <w:r w:rsidR="00866D96">
          <w:rPr>
            <w:webHidden/>
          </w:rPr>
          <w:instrText xml:space="preserve"> PAGEREF _Toc481614941 \h </w:instrText>
        </w:r>
        <w:r w:rsidR="00866D96">
          <w:rPr>
            <w:webHidden/>
          </w:rPr>
        </w:r>
        <w:r w:rsidR="00866D96">
          <w:rPr>
            <w:webHidden/>
          </w:rPr>
          <w:fldChar w:fldCharType="separate"/>
        </w:r>
        <w:r w:rsidR="00866D96">
          <w:rPr>
            <w:webHidden/>
          </w:rPr>
          <w:t>92</w:t>
        </w:r>
        <w:r w:rsidR="00866D96">
          <w:rPr>
            <w:webHidden/>
          </w:rPr>
          <w:fldChar w:fldCharType="end"/>
        </w:r>
      </w:hyperlink>
    </w:p>
    <w:p w14:paraId="21A18062"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2" w:history="1">
        <w:r w:rsidR="00866D96" w:rsidRPr="00494621">
          <w:rPr>
            <w:rStyle w:val="Hyperlink"/>
          </w:rPr>
          <w:t>5.5.2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Which (global) High-Impact Opportunities are relevant?</w:t>
        </w:r>
        <w:r w:rsidR="00866D96">
          <w:rPr>
            <w:webHidden/>
          </w:rPr>
          <w:tab/>
        </w:r>
        <w:r w:rsidR="00866D96">
          <w:rPr>
            <w:webHidden/>
          </w:rPr>
          <w:fldChar w:fldCharType="begin"/>
        </w:r>
        <w:r w:rsidR="00866D96">
          <w:rPr>
            <w:webHidden/>
          </w:rPr>
          <w:instrText xml:space="preserve"> PAGEREF _Toc481614942 \h </w:instrText>
        </w:r>
        <w:r w:rsidR="00866D96">
          <w:rPr>
            <w:webHidden/>
          </w:rPr>
        </w:r>
        <w:r w:rsidR="00866D96">
          <w:rPr>
            <w:webHidden/>
          </w:rPr>
          <w:fldChar w:fldCharType="separate"/>
        </w:r>
        <w:r w:rsidR="00866D96">
          <w:rPr>
            <w:webHidden/>
          </w:rPr>
          <w:t>97</w:t>
        </w:r>
        <w:r w:rsidR="00866D96">
          <w:rPr>
            <w:webHidden/>
          </w:rPr>
          <w:fldChar w:fldCharType="end"/>
        </w:r>
      </w:hyperlink>
    </w:p>
    <w:p w14:paraId="4BC6E147"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3" w:history="1">
        <w:r w:rsidR="00866D96" w:rsidRPr="00494621">
          <w:rPr>
            <w:rStyle w:val="Hyperlink"/>
          </w:rPr>
          <w:t>5.5.3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Priority actions synthesis</w:t>
        </w:r>
        <w:r w:rsidR="00866D96">
          <w:rPr>
            <w:webHidden/>
          </w:rPr>
          <w:tab/>
        </w:r>
        <w:r w:rsidR="00866D96">
          <w:rPr>
            <w:webHidden/>
          </w:rPr>
          <w:fldChar w:fldCharType="begin"/>
        </w:r>
        <w:r w:rsidR="00866D96">
          <w:rPr>
            <w:webHidden/>
          </w:rPr>
          <w:instrText xml:space="preserve"> PAGEREF _Toc481614943 \h </w:instrText>
        </w:r>
        <w:r w:rsidR="00866D96">
          <w:rPr>
            <w:webHidden/>
          </w:rPr>
        </w:r>
        <w:r w:rsidR="00866D96">
          <w:rPr>
            <w:webHidden/>
          </w:rPr>
          <w:fldChar w:fldCharType="separate"/>
        </w:r>
        <w:r w:rsidR="00866D96">
          <w:rPr>
            <w:webHidden/>
          </w:rPr>
          <w:t>97</w:t>
        </w:r>
        <w:r w:rsidR="00866D96">
          <w:rPr>
            <w:webHidden/>
          </w:rPr>
          <w:fldChar w:fldCharType="end"/>
        </w:r>
      </w:hyperlink>
    </w:p>
    <w:p w14:paraId="27BD4B0B"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44" w:history="1">
        <w:r w:rsidR="00866D96" w:rsidRPr="00494621">
          <w:rPr>
            <w:rStyle w:val="Hyperlink"/>
            <w14:scene3d>
              <w14:camera w14:prst="orthographicFront"/>
              <w14:lightRig w14:rig="threePt" w14:dir="t">
                <w14:rot w14:lat="0" w14:lon="0" w14:rev="0"/>
              </w14:lightRig>
            </w14:scene3d>
          </w:rPr>
          <w:t>5.6</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Cross-cutting Actions</w:t>
        </w:r>
        <w:r w:rsidR="00866D96">
          <w:rPr>
            <w:webHidden/>
          </w:rPr>
          <w:tab/>
        </w:r>
        <w:r w:rsidR="00866D96">
          <w:rPr>
            <w:webHidden/>
          </w:rPr>
          <w:fldChar w:fldCharType="begin"/>
        </w:r>
        <w:r w:rsidR="00866D96">
          <w:rPr>
            <w:webHidden/>
          </w:rPr>
          <w:instrText xml:space="preserve"> PAGEREF _Toc481614944 \h </w:instrText>
        </w:r>
        <w:r w:rsidR="00866D96">
          <w:rPr>
            <w:webHidden/>
          </w:rPr>
        </w:r>
        <w:r w:rsidR="00866D96">
          <w:rPr>
            <w:webHidden/>
          </w:rPr>
          <w:fldChar w:fldCharType="separate"/>
        </w:r>
        <w:r w:rsidR="00866D96">
          <w:rPr>
            <w:webHidden/>
          </w:rPr>
          <w:t>100</w:t>
        </w:r>
        <w:r w:rsidR="00866D96">
          <w:rPr>
            <w:webHidden/>
          </w:rPr>
          <w:fldChar w:fldCharType="end"/>
        </w:r>
      </w:hyperlink>
    </w:p>
    <w:p w14:paraId="23F4AE34"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5" w:history="1">
        <w:r w:rsidR="00866D96" w:rsidRPr="00494621">
          <w:rPr>
            <w:rStyle w:val="Hyperlink"/>
          </w:rPr>
          <w:t>5.6.1</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Institutional structure and coordination</w:t>
        </w:r>
        <w:r w:rsidR="00866D96">
          <w:rPr>
            <w:webHidden/>
          </w:rPr>
          <w:tab/>
        </w:r>
        <w:r w:rsidR="00866D96">
          <w:rPr>
            <w:webHidden/>
          </w:rPr>
          <w:fldChar w:fldCharType="begin"/>
        </w:r>
        <w:r w:rsidR="00866D96">
          <w:rPr>
            <w:webHidden/>
          </w:rPr>
          <w:instrText xml:space="preserve"> PAGEREF _Toc481614945 \h </w:instrText>
        </w:r>
        <w:r w:rsidR="00866D96">
          <w:rPr>
            <w:webHidden/>
          </w:rPr>
        </w:r>
        <w:r w:rsidR="00866D96">
          <w:rPr>
            <w:webHidden/>
          </w:rPr>
          <w:fldChar w:fldCharType="separate"/>
        </w:r>
        <w:r w:rsidR="00866D96">
          <w:rPr>
            <w:webHidden/>
          </w:rPr>
          <w:t>100</w:t>
        </w:r>
        <w:r w:rsidR="00866D96">
          <w:rPr>
            <w:webHidden/>
          </w:rPr>
          <w:fldChar w:fldCharType="end"/>
        </w:r>
      </w:hyperlink>
    </w:p>
    <w:p w14:paraId="7CCBC61F"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6" w:history="1">
        <w:r w:rsidR="00866D96" w:rsidRPr="00494621">
          <w:rPr>
            <w:rStyle w:val="Hyperlink"/>
          </w:rPr>
          <w:t>5.6.2</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Sub-national initiatives</w:t>
        </w:r>
        <w:r w:rsidR="00866D96">
          <w:rPr>
            <w:webHidden/>
          </w:rPr>
          <w:tab/>
        </w:r>
        <w:r w:rsidR="00866D96">
          <w:rPr>
            <w:webHidden/>
          </w:rPr>
          <w:fldChar w:fldCharType="begin"/>
        </w:r>
        <w:r w:rsidR="00866D96">
          <w:rPr>
            <w:webHidden/>
          </w:rPr>
          <w:instrText xml:space="preserve"> PAGEREF _Toc481614946 \h </w:instrText>
        </w:r>
        <w:r w:rsidR="00866D96">
          <w:rPr>
            <w:webHidden/>
          </w:rPr>
        </w:r>
        <w:r w:rsidR="00866D96">
          <w:rPr>
            <w:webHidden/>
          </w:rPr>
          <w:fldChar w:fldCharType="separate"/>
        </w:r>
        <w:r w:rsidR="00866D96">
          <w:rPr>
            <w:webHidden/>
          </w:rPr>
          <w:t>100</w:t>
        </w:r>
        <w:r w:rsidR="00866D96">
          <w:rPr>
            <w:webHidden/>
          </w:rPr>
          <w:fldChar w:fldCharType="end"/>
        </w:r>
      </w:hyperlink>
    </w:p>
    <w:p w14:paraId="307C8D2C"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7" w:history="1">
        <w:r w:rsidR="00866D96" w:rsidRPr="00494621">
          <w:rPr>
            <w:rStyle w:val="Hyperlink"/>
          </w:rPr>
          <w:t>5.6.3</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Finance and risk management</w:t>
        </w:r>
        <w:r w:rsidR="00866D96">
          <w:rPr>
            <w:webHidden/>
          </w:rPr>
          <w:tab/>
        </w:r>
        <w:r w:rsidR="00866D96">
          <w:rPr>
            <w:webHidden/>
          </w:rPr>
          <w:fldChar w:fldCharType="begin"/>
        </w:r>
        <w:r w:rsidR="00866D96">
          <w:rPr>
            <w:webHidden/>
          </w:rPr>
          <w:instrText xml:space="preserve"> PAGEREF _Toc481614947 \h </w:instrText>
        </w:r>
        <w:r w:rsidR="00866D96">
          <w:rPr>
            <w:webHidden/>
          </w:rPr>
        </w:r>
        <w:r w:rsidR="00866D96">
          <w:rPr>
            <w:webHidden/>
          </w:rPr>
          <w:fldChar w:fldCharType="separate"/>
        </w:r>
        <w:r w:rsidR="00866D96">
          <w:rPr>
            <w:webHidden/>
          </w:rPr>
          <w:t>101</w:t>
        </w:r>
        <w:r w:rsidR="00866D96">
          <w:rPr>
            <w:webHidden/>
          </w:rPr>
          <w:fldChar w:fldCharType="end"/>
        </w:r>
      </w:hyperlink>
    </w:p>
    <w:p w14:paraId="354098D7"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8" w:history="1">
        <w:r w:rsidR="00866D96" w:rsidRPr="00494621">
          <w:rPr>
            <w:rStyle w:val="Hyperlink"/>
          </w:rPr>
          <w:t>5.6.4</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Capacity building and education</w:t>
        </w:r>
        <w:r w:rsidR="00866D96">
          <w:rPr>
            <w:webHidden/>
          </w:rPr>
          <w:tab/>
        </w:r>
        <w:r w:rsidR="00866D96">
          <w:rPr>
            <w:webHidden/>
          </w:rPr>
          <w:fldChar w:fldCharType="begin"/>
        </w:r>
        <w:r w:rsidR="00866D96">
          <w:rPr>
            <w:webHidden/>
          </w:rPr>
          <w:instrText xml:space="preserve"> PAGEREF _Toc481614948 \h </w:instrText>
        </w:r>
        <w:r w:rsidR="00866D96">
          <w:rPr>
            <w:webHidden/>
          </w:rPr>
        </w:r>
        <w:r w:rsidR="00866D96">
          <w:rPr>
            <w:webHidden/>
          </w:rPr>
          <w:fldChar w:fldCharType="separate"/>
        </w:r>
        <w:r w:rsidR="00866D96">
          <w:rPr>
            <w:webHidden/>
          </w:rPr>
          <w:t>101</w:t>
        </w:r>
        <w:r w:rsidR="00866D96">
          <w:rPr>
            <w:webHidden/>
          </w:rPr>
          <w:fldChar w:fldCharType="end"/>
        </w:r>
      </w:hyperlink>
    </w:p>
    <w:p w14:paraId="0A34515E" w14:textId="77777777" w:rsidR="00866D96" w:rsidRDefault="00DC7D8C">
      <w:pPr>
        <w:pStyle w:val="TOC3"/>
        <w:rPr>
          <w:rFonts w:asciiTheme="minorHAnsi" w:eastAsiaTheme="minorEastAsia" w:hAnsiTheme="minorHAnsi" w:cstheme="minorBidi"/>
          <w:i w:val="0"/>
          <w:color w:val="auto"/>
          <w:sz w:val="22"/>
          <w:szCs w:val="22"/>
          <w:lang w:val="fr-FR" w:eastAsia="fr-FR"/>
        </w:rPr>
      </w:pPr>
      <w:hyperlink w:anchor="_Toc481614949" w:history="1">
        <w:r w:rsidR="00866D96" w:rsidRPr="00494621">
          <w:rPr>
            <w:rStyle w:val="Hyperlink"/>
          </w:rPr>
          <w:t>5.6.5</w:t>
        </w:r>
        <w:r w:rsidR="00866D96">
          <w:rPr>
            <w:rFonts w:asciiTheme="minorHAnsi" w:eastAsiaTheme="minorEastAsia" w:hAnsiTheme="minorHAnsi" w:cstheme="minorBidi"/>
            <w:i w:val="0"/>
            <w:color w:val="auto"/>
            <w:sz w:val="22"/>
            <w:szCs w:val="22"/>
            <w:lang w:val="fr-FR" w:eastAsia="fr-FR"/>
          </w:rPr>
          <w:tab/>
        </w:r>
        <w:r w:rsidR="00866D96" w:rsidRPr="00494621">
          <w:rPr>
            <w:rStyle w:val="Hyperlink"/>
          </w:rPr>
          <w:t>Review of VAT Exemption for clean energy products</w:t>
        </w:r>
        <w:r w:rsidR="00866D96">
          <w:rPr>
            <w:webHidden/>
          </w:rPr>
          <w:tab/>
        </w:r>
        <w:r w:rsidR="00866D96">
          <w:rPr>
            <w:webHidden/>
          </w:rPr>
          <w:fldChar w:fldCharType="begin"/>
        </w:r>
        <w:r w:rsidR="00866D96">
          <w:rPr>
            <w:webHidden/>
          </w:rPr>
          <w:instrText xml:space="preserve"> PAGEREF _Toc481614949 \h </w:instrText>
        </w:r>
        <w:r w:rsidR="00866D96">
          <w:rPr>
            <w:webHidden/>
          </w:rPr>
        </w:r>
        <w:r w:rsidR="00866D96">
          <w:rPr>
            <w:webHidden/>
          </w:rPr>
          <w:fldChar w:fldCharType="separate"/>
        </w:r>
        <w:r w:rsidR="00866D96">
          <w:rPr>
            <w:webHidden/>
          </w:rPr>
          <w:t>101</w:t>
        </w:r>
        <w:r w:rsidR="00866D96">
          <w:rPr>
            <w:webHidden/>
          </w:rPr>
          <w:fldChar w:fldCharType="end"/>
        </w:r>
      </w:hyperlink>
    </w:p>
    <w:p w14:paraId="14222DC9"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50" w:history="1">
        <w:r w:rsidR="00866D96" w:rsidRPr="00494621">
          <w:rPr>
            <w:rStyle w:val="Hyperlink"/>
          </w:rPr>
          <w:t>6.</w:t>
        </w:r>
        <w:r w:rsidR="00866D96">
          <w:rPr>
            <w:rFonts w:asciiTheme="minorHAnsi" w:eastAsiaTheme="minorEastAsia" w:hAnsiTheme="minorHAnsi" w:cstheme="minorBidi"/>
            <w:b w:val="0"/>
            <w:smallCaps w:val="0"/>
            <w:color w:val="auto"/>
            <w:sz w:val="22"/>
            <w:szCs w:val="22"/>
            <w:lang w:val="fr-FR" w:eastAsia="fr-FR"/>
          </w:rPr>
          <w:tab/>
        </w:r>
        <w:r w:rsidR="00866D96" w:rsidRPr="00494621">
          <w:rPr>
            <w:rStyle w:val="Hyperlink"/>
          </w:rPr>
          <w:t>PART III – Coordination and Follow-up</w:t>
        </w:r>
        <w:r w:rsidR="00866D96">
          <w:rPr>
            <w:webHidden/>
          </w:rPr>
          <w:tab/>
        </w:r>
        <w:r w:rsidR="00866D96">
          <w:rPr>
            <w:webHidden/>
          </w:rPr>
          <w:fldChar w:fldCharType="begin"/>
        </w:r>
        <w:r w:rsidR="00866D96">
          <w:rPr>
            <w:webHidden/>
          </w:rPr>
          <w:instrText xml:space="preserve"> PAGEREF _Toc481614950 \h </w:instrText>
        </w:r>
        <w:r w:rsidR="00866D96">
          <w:rPr>
            <w:webHidden/>
          </w:rPr>
        </w:r>
        <w:r w:rsidR="00866D96">
          <w:rPr>
            <w:webHidden/>
          </w:rPr>
          <w:fldChar w:fldCharType="separate"/>
        </w:r>
        <w:r w:rsidR="00866D96">
          <w:rPr>
            <w:webHidden/>
          </w:rPr>
          <w:t>102</w:t>
        </w:r>
        <w:r w:rsidR="00866D96">
          <w:rPr>
            <w:webHidden/>
          </w:rPr>
          <w:fldChar w:fldCharType="end"/>
        </w:r>
      </w:hyperlink>
    </w:p>
    <w:p w14:paraId="7E43390E"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1" w:history="1">
        <w:r w:rsidR="00866D96" w:rsidRPr="00494621">
          <w:rPr>
            <w:rStyle w:val="Hyperlink"/>
            <w14:scene3d>
              <w14:camera w14:prst="orthographicFront"/>
              <w14:lightRig w14:rig="threePt" w14:dir="t">
                <w14:rot w14:lat="0" w14:lon="0" w14:rev="0"/>
              </w14:lightRig>
            </w14:scene3d>
          </w:rPr>
          <w:t>6.1</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National SE4All taskforce (structure and coordination strategy)</w:t>
        </w:r>
        <w:r w:rsidR="00866D96">
          <w:rPr>
            <w:webHidden/>
          </w:rPr>
          <w:tab/>
        </w:r>
        <w:r w:rsidR="00866D96">
          <w:rPr>
            <w:webHidden/>
          </w:rPr>
          <w:fldChar w:fldCharType="begin"/>
        </w:r>
        <w:r w:rsidR="00866D96">
          <w:rPr>
            <w:webHidden/>
          </w:rPr>
          <w:instrText xml:space="preserve"> PAGEREF _Toc481614951 \h </w:instrText>
        </w:r>
        <w:r w:rsidR="00866D96">
          <w:rPr>
            <w:webHidden/>
          </w:rPr>
        </w:r>
        <w:r w:rsidR="00866D96">
          <w:rPr>
            <w:webHidden/>
          </w:rPr>
          <w:fldChar w:fldCharType="separate"/>
        </w:r>
        <w:r w:rsidR="00866D96">
          <w:rPr>
            <w:webHidden/>
          </w:rPr>
          <w:t>102</w:t>
        </w:r>
        <w:r w:rsidR="00866D96">
          <w:rPr>
            <w:webHidden/>
          </w:rPr>
          <w:fldChar w:fldCharType="end"/>
        </w:r>
      </w:hyperlink>
    </w:p>
    <w:p w14:paraId="73F0C166"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2" w:history="1">
        <w:r w:rsidR="00866D96" w:rsidRPr="00494621">
          <w:rPr>
            <w:rStyle w:val="Hyperlink"/>
            <w14:scene3d>
              <w14:camera w14:prst="orthographicFront"/>
              <w14:lightRig w14:rig="threePt" w14:dir="t">
                <w14:rot w14:lat="0" w14:lon="0" w14:rev="0"/>
              </w14:lightRig>
            </w14:scene3d>
          </w:rPr>
          <w:t>6.2</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Regional Coordination</w:t>
        </w:r>
        <w:r w:rsidR="00866D96">
          <w:rPr>
            <w:webHidden/>
          </w:rPr>
          <w:tab/>
        </w:r>
        <w:r w:rsidR="00866D96">
          <w:rPr>
            <w:webHidden/>
          </w:rPr>
          <w:fldChar w:fldCharType="begin"/>
        </w:r>
        <w:r w:rsidR="00866D96">
          <w:rPr>
            <w:webHidden/>
          </w:rPr>
          <w:instrText xml:space="preserve"> PAGEREF _Toc481614952 \h </w:instrText>
        </w:r>
        <w:r w:rsidR="00866D96">
          <w:rPr>
            <w:webHidden/>
          </w:rPr>
        </w:r>
        <w:r w:rsidR="00866D96">
          <w:rPr>
            <w:webHidden/>
          </w:rPr>
          <w:fldChar w:fldCharType="separate"/>
        </w:r>
        <w:r w:rsidR="00866D96">
          <w:rPr>
            <w:webHidden/>
          </w:rPr>
          <w:t>102</w:t>
        </w:r>
        <w:r w:rsidR="00866D96">
          <w:rPr>
            <w:webHidden/>
          </w:rPr>
          <w:fldChar w:fldCharType="end"/>
        </w:r>
      </w:hyperlink>
    </w:p>
    <w:p w14:paraId="763854DF"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3" w:history="1">
        <w:r w:rsidR="00866D96" w:rsidRPr="00494621">
          <w:rPr>
            <w:rStyle w:val="Hyperlink"/>
            <w14:scene3d>
              <w14:camera w14:prst="orthographicFront"/>
              <w14:lightRig w14:rig="threePt" w14:dir="t">
                <w14:rot w14:lat="0" w14:lon="0" w14:rev="0"/>
              </w14:lightRig>
            </w14:scene3d>
          </w:rPr>
          <w:t>6.3</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Follow-up analysis</w:t>
        </w:r>
        <w:r w:rsidR="00866D96">
          <w:rPr>
            <w:webHidden/>
          </w:rPr>
          <w:tab/>
        </w:r>
        <w:r w:rsidR="00866D96">
          <w:rPr>
            <w:webHidden/>
          </w:rPr>
          <w:fldChar w:fldCharType="begin"/>
        </w:r>
        <w:r w:rsidR="00866D96">
          <w:rPr>
            <w:webHidden/>
          </w:rPr>
          <w:instrText xml:space="preserve"> PAGEREF _Toc481614953 \h </w:instrText>
        </w:r>
        <w:r w:rsidR="00866D96">
          <w:rPr>
            <w:webHidden/>
          </w:rPr>
        </w:r>
        <w:r w:rsidR="00866D96">
          <w:rPr>
            <w:webHidden/>
          </w:rPr>
          <w:fldChar w:fldCharType="separate"/>
        </w:r>
        <w:r w:rsidR="00866D96">
          <w:rPr>
            <w:webHidden/>
          </w:rPr>
          <w:t>103</w:t>
        </w:r>
        <w:r w:rsidR="00866D96">
          <w:rPr>
            <w:webHidden/>
          </w:rPr>
          <w:fldChar w:fldCharType="end"/>
        </w:r>
      </w:hyperlink>
    </w:p>
    <w:p w14:paraId="6A1CE1BA"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4" w:history="1">
        <w:r w:rsidR="00866D96" w:rsidRPr="00494621">
          <w:rPr>
            <w:rStyle w:val="Hyperlink"/>
            <w14:scene3d>
              <w14:camera w14:prst="orthographicFront"/>
              <w14:lightRig w14:rig="threePt" w14:dir="t">
                <w14:rot w14:lat="0" w14:lon="0" w14:rev="0"/>
              </w14:lightRig>
            </w14:scene3d>
          </w:rPr>
          <w:t>6.4</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Monitoring, evaluation and reporting</w:t>
        </w:r>
        <w:r w:rsidR="00866D96">
          <w:rPr>
            <w:webHidden/>
          </w:rPr>
          <w:tab/>
        </w:r>
        <w:r w:rsidR="00866D96">
          <w:rPr>
            <w:webHidden/>
          </w:rPr>
          <w:fldChar w:fldCharType="begin"/>
        </w:r>
        <w:r w:rsidR="00866D96">
          <w:rPr>
            <w:webHidden/>
          </w:rPr>
          <w:instrText xml:space="preserve"> PAGEREF _Toc481614954 \h </w:instrText>
        </w:r>
        <w:r w:rsidR="00866D96">
          <w:rPr>
            <w:webHidden/>
          </w:rPr>
        </w:r>
        <w:r w:rsidR="00866D96">
          <w:rPr>
            <w:webHidden/>
          </w:rPr>
          <w:fldChar w:fldCharType="separate"/>
        </w:r>
        <w:r w:rsidR="00866D96">
          <w:rPr>
            <w:webHidden/>
          </w:rPr>
          <w:t>103</w:t>
        </w:r>
        <w:r w:rsidR="00866D96">
          <w:rPr>
            <w:webHidden/>
          </w:rPr>
          <w:fldChar w:fldCharType="end"/>
        </w:r>
      </w:hyperlink>
    </w:p>
    <w:p w14:paraId="710C7A01"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5" w:history="1">
        <w:r w:rsidR="00866D96" w:rsidRPr="00494621">
          <w:rPr>
            <w:rStyle w:val="Hyperlink"/>
            <w14:scene3d>
              <w14:camera w14:prst="orthographicFront"/>
              <w14:lightRig w14:rig="threePt" w14:dir="t">
                <w14:rot w14:lat="0" w14:lon="0" w14:rev="0"/>
              </w14:lightRig>
            </w14:scene3d>
          </w:rPr>
          <w:t>6.5</w:t>
        </w:r>
        <w:r w:rsidR="00866D96">
          <w:rPr>
            <w:rFonts w:asciiTheme="minorHAnsi" w:eastAsiaTheme="minorEastAsia" w:hAnsiTheme="minorHAnsi" w:cstheme="minorBidi"/>
            <w:b w:val="0"/>
            <w:color w:val="auto"/>
            <w:sz w:val="22"/>
            <w:szCs w:val="22"/>
            <w:lang w:val="fr-FR" w:eastAsia="fr-FR"/>
          </w:rPr>
          <w:tab/>
        </w:r>
        <w:r w:rsidR="00866D96" w:rsidRPr="00494621">
          <w:rPr>
            <w:rStyle w:val="Hyperlink"/>
          </w:rPr>
          <w:t>Link to Investment Prospectuses</w:t>
        </w:r>
        <w:r w:rsidR="00866D96">
          <w:rPr>
            <w:webHidden/>
          </w:rPr>
          <w:tab/>
        </w:r>
        <w:r w:rsidR="00866D96">
          <w:rPr>
            <w:webHidden/>
          </w:rPr>
          <w:fldChar w:fldCharType="begin"/>
        </w:r>
        <w:r w:rsidR="00866D96">
          <w:rPr>
            <w:webHidden/>
          </w:rPr>
          <w:instrText xml:space="preserve"> PAGEREF _Toc481614955 \h </w:instrText>
        </w:r>
        <w:r w:rsidR="00866D96">
          <w:rPr>
            <w:webHidden/>
          </w:rPr>
        </w:r>
        <w:r w:rsidR="00866D96">
          <w:rPr>
            <w:webHidden/>
          </w:rPr>
          <w:fldChar w:fldCharType="separate"/>
        </w:r>
        <w:r w:rsidR="00866D96">
          <w:rPr>
            <w:webHidden/>
          </w:rPr>
          <w:t>107</w:t>
        </w:r>
        <w:r w:rsidR="00866D96">
          <w:rPr>
            <w:webHidden/>
          </w:rPr>
          <w:fldChar w:fldCharType="end"/>
        </w:r>
      </w:hyperlink>
    </w:p>
    <w:p w14:paraId="06B1659D"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56" w:history="1">
        <w:r w:rsidR="00866D96" w:rsidRPr="00494621">
          <w:rPr>
            <w:rStyle w:val="Hyperlink"/>
          </w:rPr>
          <w:t>Annex 1: The SE4ALL initiative</w:t>
        </w:r>
        <w:r w:rsidR="00866D96">
          <w:rPr>
            <w:webHidden/>
          </w:rPr>
          <w:tab/>
        </w:r>
        <w:r w:rsidR="00866D96">
          <w:rPr>
            <w:webHidden/>
          </w:rPr>
          <w:fldChar w:fldCharType="begin"/>
        </w:r>
        <w:r w:rsidR="00866D96">
          <w:rPr>
            <w:webHidden/>
          </w:rPr>
          <w:instrText xml:space="preserve"> PAGEREF _Toc481614956 \h </w:instrText>
        </w:r>
        <w:r w:rsidR="00866D96">
          <w:rPr>
            <w:webHidden/>
          </w:rPr>
        </w:r>
        <w:r w:rsidR="00866D96">
          <w:rPr>
            <w:webHidden/>
          </w:rPr>
          <w:fldChar w:fldCharType="separate"/>
        </w:r>
        <w:r w:rsidR="00866D96">
          <w:rPr>
            <w:webHidden/>
          </w:rPr>
          <w:t>108</w:t>
        </w:r>
        <w:r w:rsidR="00866D96">
          <w:rPr>
            <w:webHidden/>
          </w:rPr>
          <w:fldChar w:fldCharType="end"/>
        </w:r>
      </w:hyperlink>
    </w:p>
    <w:p w14:paraId="5E93E537"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7" w:history="1">
        <w:r w:rsidR="00866D96" w:rsidRPr="00494621">
          <w:rPr>
            <w:rStyle w:val="Hyperlink"/>
          </w:rPr>
          <w:t>Introduction</w:t>
        </w:r>
        <w:r w:rsidR="00866D96">
          <w:rPr>
            <w:webHidden/>
          </w:rPr>
          <w:tab/>
        </w:r>
        <w:r w:rsidR="00866D96">
          <w:rPr>
            <w:webHidden/>
          </w:rPr>
          <w:fldChar w:fldCharType="begin"/>
        </w:r>
        <w:r w:rsidR="00866D96">
          <w:rPr>
            <w:webHidden/>
          </w:rPr>
          <w:instrText xml:space="preserve"> PAGEREF _Toc481614957 \h </w:instrText>
        </w:r>
        <w:r w:rsidR="00866D96">
          <w:rPr>
            <w:webHidden/>
          </w:rPr>
        </w:r>
        <w:r w:rsidR="00866D96">
          <w:rPr>
            <w:webHidden/>
          </w:rPr>
          <w:fldChar w:fldCharType="separate"/>
        </w:r>
        <w:r w:rsidR="00866D96">
          <w:rPr>
            <w:webHidden/>
          </w:rPr>
          <w:t>108</w:t>
        </w:r>
        <w:r w:rsidR="00866D96">
          <w:rPr>
            <w:webHidden/>
          </w:rPr>
          <w:fldChar w:fldCharType="end"/>
        </w:r>
      </w:hyperlink>
    </w:p>
    <w:p w14:paraId="6ACD5D1F"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8" w:history="1">
        <w:r w:rsidR="00866D96" w:rsidRPr="00494621">
          <w:rPr>
            <w:rStyle w:val="Hyperlink"/>
          </w:rPr>
          <w:t>AA and IP: Key steps for achieving SE4All objectives</w:t>
        </w:r>
        <w:r w:rsidR="00866D96">
          <w:rPr>
            <w:webHidden/>
          </w:rPr>
          <w:tab/>
        </w:r>
        <w:r w:rsidR="00866D96">
          <w:rPr>
            <w:webHidden/>
          </w:rPr>
          <w:fldChar w:fldCharType="begin"/>
        </w:r>
        <w:r w:rsidR="00866D96">
          <w:rPr>
            <w:webHidden/>
          </w:rPr>
          <w:instrText xml:space="preserve"> PAGEREF _Toc481614958 \h </w:instrText>
        </w:r>
        <w:r w:rsidR="00866D96">
          <w:rPr>
            <w:webHidden/>
          </w:rPr>
        </w:r>
        <w:r w:rsidR="00866D96">
          <w:rPr>
            <w:webHidden/>
          </w:rPr>
          <w:fldChar w:fldCharType="separate"/>
        </w:r>
        <w:r w:rsidR="00866D96">
          <w:rPr>
            <w:webHidden/>
          </w:rPr>
          <w:t>109</w:t>
        </w:r>
        <w:r w:rsidR="00866D96">
          <w:rPr>
            <w:webHidden/>
          </w:rPr>
          <w:fldChar w:fldCharType="end"/>
        </w:r>
      </w:hyperlink>
    </w:p>
    <w:p w14:paraId="637A6EE9"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59" w:history="1">
        <w:r w:rsidR="00866D96" w:rsidRPr="00494621">
          <w:rPr>
            <w:rStyle w:val="Hyperlink"/>
          </w:rPr>
          <w:t>The role of the AA and IP</w:t>
        </w:r>
        <w:r w:rsidR="00866D96">
          <w:rPr>
            <w:webHidden/>
          </w:rPr>
          <w:tab/>
        </w:r>
        <w:r w:rsidR="00866D96">
          <w:rPr>
            <w:webHidden/>
          </w:rPr>
          <w:fldChar w:fldCharType="begin"/>
        </w:r>
        <w:r w:rsidR="00866D96">
          <w:rPr>
            <w:webHidden/>
          </w:rPr>
          <w:instrText xml:space="preserve"> PAGEREF _Toc481614959 \h </w:instrText>
        </w:r>
        <w:r w:rsidR="00866D96">
          <w:rPr>
            <w:webHidden/>
          </w:rPr>
        </w:r>
        <w:r w:rsidR="00866D96">
          <w:rPr>
            <w:webHidden/>
          </w:rPr>
          <w:fldChar w:fldCharType="separate"/>
        </w:r>
        <w:r w:rsidR="00866D96">
          <w:rPr>
            <w:webHidden/>
          </w:rPr>
          <w:t>109</w:t>
        </w:r>
        <w:r w:rsidR="00866D96">
          <w:rPr>
            <w:webHidden/>
          </w:rPr>
          <w:fldChar w:fldCharType="end"/>
        </w:r>
      </w:hyperlink>
    </w:p>
    <w:p w14:paraId="6AFDDC33"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60" w:history="1">
        <w:r w:rsidR="00866D96" w:rsidRPr="00494621">
          <w:rPr>
            <w:rStyle w:val="Hyperlink"/>
          </w:rPr>
          <w:t>Annex 2: Stakeholders consulted in the development of AA</w:t>
        </w:r>
        <w:r w:rsidR="00866D96">
          <w:rPr>
            <w:webHidden/>
          </w:rPr>
          <w:tab/>
        </w:r>
        <w:r w:rsidR="00866D96">
          <w:rPr>
            <w:webHidden/>
          </w:rPr>
          <w:fldChar w:fldCharType="begin"/>
        </w:r>
        <w:r w:rsidR="00866D96">
          <w:rPr>
            <w:webHidden/>
          </w:rPr>
          <w:instrText xml:space="preserve"> PAGEREF _Toc481614960 \h </w:instrText>
        </w:r>
        <w:r w:rsidR="00866D96">
          <w:rPr>
            <w:webHidden/>
          </w:rPr>
        </w:r>
        <w:r w:rsidR="00866D96">
          <w:rPr>
            <w:webHidden/>
          </w:rPr>
          <w:fldChar w:fldCharType="separate"/>
        </w:r>
        <w:r w:rsidR="00866D96">
          <w:rPr>
            <w:webHidden/>
          </w:rPr>
          <w:t>111</w:t>
        </w:r>
        <w:r w:rsidR="00866D96">
          <w:rPr>
            <w:webHidden/>
          </w:rPr>
          <w:fldChar w:fldCharType="end"/>
        </w:r>
      </w:hyperlink>
    </w:p>
    <w:p w14:paraId="27F57E86"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61" w:history="1">
        <w:r w:rsidR="00866D96" w:rsidRPr="00494621">
          <w:rPr>
            <w:rStyle w:val="Hyperlink"/>
          </w:rPr>
          <w:t>Annex 3: SE4ALL implementation plan</w:t>
        </w:r>
        <w:r w:rsidR="00866D96">
          <w:rPr>
            <w:webHidden/>
          </w:rPr>
          <w:tab/>
        </w:r>
        <w:r w:rsidR="00866D96">
          <w:rPr>
            <w:webHidden/>
          </w:rPr>
          <w:fldChar w:fldCharType="begin"/>
        </w:r>
        <w:r w:rsidR="00866D96">
          <w:rPr>
            <w:webHidden/>
          </w:rPr>
          <w:instrText xml:space="preserve"> PAGEREF _Toc481614961 \h </w:instrText>
        </w:r>
        <w:r w:rsidR="00866D96">
          <w:rPr>
            <w:webHidden/>
          </w:rPr>
        </w:r>
        <w:r w:rsidR="00866D96">
          <w:rPr>
            <w:webHidden/>
          </w:rPr>
          <w:fldChar w:fldCharType="separate"/>
        </w:r>
        <w:r w:rsidR="00866D96">
          <w:rPr>
            <w:webHidden/>
          </w:rPr>
          <w:t>113</w:t>
        </w:r>
        <w:r w:rsidR="00866D96">
          <w:rPr>
            <w:webHidden/>
          </w:rPr>
          <w:fldChar w:fldCharType="end"/>
        </w:r>
      </w:hyperlink>
    </w:p>
    <w:p w14:paraId="1003A709" w14:textId="77777777" w:rsidR="00866D96" w:rsidRDefault="00DC7D8C">
      <w:pPr>
        <w:pStyle w:val="TOC1"/>
        <w:rPr>
          <w:rFonts w:asciiTheme="minorHAnsi" w:eastAsiaTheme="minorEastAsia" w:hAnsiTheme="minorHAnsi" w:cstheme="minorBidi"/>
          <w:b w:val="0"/>
          <w:smallCaps w:val="0"/>
          <w:color w:val="auto"/>
          <w:sz w:val="22"/>
          <w:szCs w:val="22"/>
          <w:lang w:val="fr-FR" w:eastAsia="fr-FR"/>
        </w:rPr>
      </w:pPr>
      <w:hyperlink w:anchor="_Toc481614962" w:history="1">
        <w:r w:rsidR="00866D96" w:rsidRPr="00494621">
          <w:rPr>
            <w:rStyle w:val="Hyperlink"/>
          </w:rPr>
          <w:t>Annex 4: References</w:t>
        </w:r>
        <w:r w:rsidR="00866D96">
          <w:rPr>
            <w:webHidden/>
          </w:rPr>
          <w:tab/>
        </w:r>
        <w:r w:rsidR="00866D96">
          <w:rPr>
            <w:webHidden/>
          </w:rPr>
          <w:fldChar w:fldCharType="begin"/>
        </w:r>
        <w:r w:rsidR="00866D96">
          <w:rPr>
            <w:webHidden/>
          </w:rPr>
          <w:instrText xml:space="preserve"> PAGEREF _Toc481614962 \h </w:instrText>
        </w:r>
        <w:r w:rsidR="00866D96">
          <w:rPr>
            <w:webHidden/>
          </w:rPr>
        </w:r>
        <w:r w:rsidR="00866D96">
          <w:rPr>
            <w:webHidden/>
          </w:rPr>
          <w:fldChar w:fldCharType="separate"/>
        </w:r>
        <w:r w:rsidR="00866D96">
          <w:rPr>
            <w:webHidden/>
          </w:rPr>
          <w:t>122</w:t>
        </w:r>
        <w:r w:rsidR="00866D96">
          <w:rPr>
            <w:webHidden/>
          </w:rPr>
          <w:fldChar w:fldCharType="end"/>
        </w:r>
      </w:hyperlink>
    </w:p>
    <w:p w14:paraId="772BBB44"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63" w:history="1">
        <w:r w:rsidR="00866D96" w:rsidRPr="00494621">
          <w:rPr>
            <w:rStyle w:val="Hyperlink"/>
          </w:rPr>
          <w:t>Legal framework and institutions</w:t>
        </w:r>
        <w:r w:rsidR="00866D96">
          <w:rPr>
            <w:webHidden/>
          </w:rPr>
          <w:tab/>
        </w:r>
        <w:r w:rsidR="00866D96">
          <w:rPr>
            <w:webHidden/>
          </w:rPr>
          <w:fldChar w:fldCharType="begin"/>
        </w:r>
        <w:r w:rsidR="00866D96">
          <w:rPr>
            <w:webHidden/>
          </w:rPr>
          <w:instrText xml:space="preserve"> PAGEREF _Toc481614963 \h </w:instrText>
        </w:r>
        <w:r w:rsidR="00866D96">
          <w:rPr>
            <w:webHidden/>
          </w:rPr>
        </w:r>
        <w:r w:rsidR="00866D96">
          <w:rPr>
            <w:webHidden/>
          </w:rPr>
          <w:fldChar w:fldCharType="separate"/>
        </w:r>
        <w:r w:rsidR="00866D96">
          <w:rPr>
            <w:webHidden/>
          </w:rPr>
          <w:t>122</w:t>
        </w:r>
        <w:r w:rsidR="00866D96">
          <w:rPr>
            <w:webHidden/>
          </w:rPr>
          <w:fldChar w:fldCharType="end"/>
        </w:r>
      </w:hyperlink>
    </w:p>
    <w:p w14:paraId="63BC05FA" w14:textId="77777777" w:rsidR="00866D96" w:rsidRDefault="00DC7D8C">
      <w:pPr>
        <w:pStyle w:val="TOC2"/>
        <w:rPr>
          <w:rFonts w:asciiTheme="minorHAnsi" w:eastAsiaTheme="minorEastAsia" w:hAnsiTheme="minorHAnsi" w:cstheme="minorBidi"/>
          <w:b w:val="0"/>
          <w:color w:val="auto"/>
          <w:sz w:val="22"/>
          <w:szCs w:val="22"/>
          <w:lang w:val="fr-FR" w:eastAsia="fr-FR"/>
        </w:rPr>
      </w:pPr>
      <w:hyperlink w:anchor="_Toc481614964" w:history="1">
        <w:r w:rsidR="00866D96" w:rsidRPr="00494621">
          <w:rPr>
            <w:rStyle w:val="Hyperlink"/>
          </w:rPr>
          <w:t>Bibliography</w:t>
        </w:r>
        <w:r w:rsidR="00866D96">
          <w:rPr>
            <w:webHidden/>
          </w:rPr>
          <w:tab/>
        </w:r>
        <w:r w:rsidR="00866D96">
          <w:rPr>
            <w:webHidden/>
          </w:rPr>
          <w:fldChar w:fldCharType="begin"/>
        </w:r>
        <w:r w:rsidR="00866D96">
          <w:rPr>
            <w:webHidden/>
          </w:rPr>
          <w:instrText xml:space="preserve"> PAGEREF _Toc481614964 \h </w:instrText>
        </w:r>
        <w:r w:rsidR="00866D96">
          <w:rPr>
            <w:webHidden/>
          </w:rPr>
        </w:r>
        <w:r w:rsidR="00866D96">
          <w:rPr>
            <w:webHidden/>
          </w:rPr>
          <w:fldChar w:fldCharType="separate"/>
        </w:r>
        <w:r w:rsidR="00866D96">
          <w:rPr>
            <w:webHidden/>
          </w:rPr>
          <w:t>123</w:t>
        </w:r>
        <w:r w:rsidR="00866D96">
          <w:rPr>
            <w:webHidden/>
          </w:rPr>
          <w:fldChar w:fldCharType="end"/>
        </w:r>
      </w:hyperlink>
    </w:p>
    <w:p w14:paraId="3F3E45C6" w14:textId="77777777" w:rsidR="00024F70" w:rsidRPr="006122EE" w:rsidRDefault="006341A4" w:rsidP="00024F70">
      <w:pPr>
        <w:pStyle w:val="TOCHeading"/>
      </w:pPr>
      <w:r w:rsidRPr="006122EE">
        <w:lastRenderedPageBreak/>
        <w:fldChar w:fldCharType="end"/>
      </w:r>
      <w:r w:rsidR="00024F70" w:rsidRPr="006122EE">
        <w:t xml:space="preserve"> List of Figures</w:t>
      </w:r>
    </w:p>
    <w:p w14:paraId="5307A3BB" w14:textId="77777777" w:rsidR="00866D96" w:rsidRDefault="00024F70">
      <w:pPr>
        <w:pStyle w:val="TableofFigures"/>
        <w:rPr>
          <w:rFonts w:asciiTheme="minorHAnsi" w:eastAsiaTheme="minorEastAsia" w:hAnsiTheme="minorHAnsi" w:cstheme="minorBidi"/>
          <w:i w:val="0"/>
          <w:color w:val="auto"/>
          <w:sz w:val="22"/>
          <w:szCs w:val="22"/>
          <w:lang w:val="fr-FR" w:eastAsia="fr-FR"/>
        </w:rPr>
      </w:pPr>
      <w:r w:rsidRPr="006122EE">
        <w:rPr>
          <w:rFonts w:cs="Arial"/>
          <w:noProof w:val="0"/>
          <w:szCs w:val="18"/>
        </w:rPr>
        <w:fldChar w:fldCharType="begin"/>
      </w:r>
      <w:r w:rsidRPr="00866D96">
        <w:rPr>
          <w:rFonts w:cs="Arial"/>
          <w:noProof w:val="0"/>
          <w:szCs w:val="18"/>
        </w:rPr>
        <w:instrText xml:space="preserve"> TOC \h \z \c "Figure" </w:instrText>
      </w:r>
      <w:r w:rsidRPr="006122EE">
        <w:rPr>
          <w:rFonts w:cs="Arial"/>
          <w:noProof w:val="0"/>
          <w:szCs w:val="18"/>
        </w:rPr>
        <w:fldChar w:fldCharType="separate"/>
      </w:r>
      <w:hyperlink w:anchor="_Toc481614965" w:history="1">
        <w:r w:rsidR="00866D96" w:rsidRPr="00353E04">
          <w:rPr>
            <w:rStyle w:val="Hyperlink"/>
          </w:rPr>
          <w:t>Figure 1: Energy consumption</w:t>
        </w:r>
        <w:r w:rsidR="00866D96">
          <w:rPr>
            <w:webHidden/>
          </w:rPr>
          <w:tab/>
        </w:r>
        <w:r w:rsidR="00866D96">
          <w:rPr>
            <w:webHidden/>
          </w:rPr>
          <w:fldChar w:fldCharType="begin"/>
        </w:r>
        <w:r w:rsidR="00866D96">
          <w:rPr>
            <w:webHidden/>
          </w:rPr>
          <w:instrText xml:space="preserve"> PAGEREF _Toc481614965 \h </w:instrText>
        </w:r>
        <w:r w:rsidR="00866D96">
          <w:rPr>
            <w:webHidden/>
          </w:rPr>
        </w:r>
        <w:r w:rsidR="00866D96">
          <w:rPr>
            <w:webHidden/>
          </w:rPr>
          <w:fldChar w:fldCharType="separate"/>
        </w:r>
        <w:r w:rsidR="00866D96">
          <w:rPr>
            <w:webHidden/>
          </w:rPr>
          <w:t>24</w:t>
        </w:r>
        <w:r w:rsidR="00866D96">
          <w:rPr>
            <w:webHidden/>
          </w:rPr>
          <w:fldChar w:fldCharType="end"/>
        </w:r>
      </w:hyperlink>
    </w:p>
    <w:p w14:paraId="67211EDD"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66" w:history="1">
        <w:r w:rsidR="00866D96" w:rsidRPr="00353E04">
          <w:rPr>
            <w:rStyle w:val="Hyperlink"/>
          </w:rPr>
          <w:t>Figure 2: Potential hydropower projects in Malawi</w:t>
        </w:r>
        <w:r w:rsidR="00866D96">
          <w:rPr>
            <w:webHidden/>
          </w:rPr>
          <w:tab/>
        </w:r>
        <w:r w:rsidR="00866D96">
          <w:rPr>
            <w:webHidden/>
          </w:rPr>
          <w:fldChar w:fldCharType="begin"/>
        </w:r>
        <w:r w:rsidR="00866D96">
          <w:rPr>
            <w:webHidden/>
          </w:rPr>
          <w:instrText xml:space="preserve"> PAGEREF _Toc481614966 \h </w:instrText>
        </w:r>
        <w:r w:rsidR="00866D96">
          <w:rPr>
            <w:webHidden/>
          </w:rPr>
        </w:r>
        <w:r w:rsidR="00866D96">
          <w:rPr>
            <w:webHidden/>
          </w:rPr>
          <w:fldChar w:fldCharType="separate"/>
        </w:r>
        <w:r w:rsidR="00866D96">
          <w:rPr>
            <w:webHidden/>
          </w:rPr>
          <w:t>26</w:t>
        </w:r>
        <w:r w:rsidR="00866D96">
          <w:rPr>
            <w:webHidden/>
          </w:rPr>
          <w:fldChar w:fldCharType="end"/>
        </w:r>
      </w:hyperlink>
    </w:p>
    <w:p w14:paraId="7CA9EDA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67" w:history="1">
        <w:r w:rsidR="00866D96" w:rsidRPr="00353E04">
          <w:rPr>
            <w:rStyle w:val="Hyperlink"/>
          </w:rPr>
          <w:t>Figure 3: MCC Infrastructure Project Investments</w:t>
        </w:r>
        <w:r w:rsidR="00866D96">
          <w:rPr>
            <w:webHidden/>
          </w:rPr>
          <w:tab/>
        </w:r>
        <w:r w:rsidR="00866D96">
          <w:rPr>
            <w:webHidden/>
          </w:rPr>
          <w:fldChar w:fldCharType="begin"/>
        </w:r>
        <w:r w:rsidR="00866D96">
          <w:rPr>
            <w:webHidden/>
          </w:rPr>
          <w:instrText xml:space="preserve"> PAGEREF _Toc481614967 \h </w:instrText>
        </w:r>
        <w:r w:rsidR="00866D96">
          <w:rPr>
            <w:webHidden/>
          </w:rPr>
        </w:r>
        <w:r w:rsidR="00866D96">
          <w:rPr>
            <w:webHidden/>
          </w:rPr>
          <w:fldChar w:fldCharType="separate"/>
        </w:r>
        <w:r w:rsidR="00866D96">
          <w:rPr>
            <w:webHidden/>
          </w:rPr>
          <w:t>26</w:t>
        </w:r>
        <w:r w:rsidR="00866D96">
          <w:rPr>
            <w:webHidden/>
          </w:rPr>
          <w:fldChar w:fldCharType="end"/>
        </w:r>
      </w:hyperlink>
    </w:p>
    <w:p w14:paraId="1E0E488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68" w:history="1">
        <w:r w:rsidR="00866D96" w:rsidRPr="00353E04">
          <w:rPr>
            <w:rStyle w:val="Hyperlink"/>
          </w:rPr>
          <w:t>Figure 4: Petroleum products supply based on total imports from 1999 to 2013</w:t>
        </w:r>
        <w:r w:rsidR="00866D96">
          <w:rPr>
            <w:webHidden/>
          </w:rPr>
          <w:tab/>
        </w:r>
        <w:r w:rsidR="00866D96">
          <w:rPr>
            <w:webHidden/>
          </w:rPr>
          <w:fldChar w:fldCharType="begin"/>
        </w:r>
        <w:r w:rsidR="00866D96">
          <w:rPr>
            <w:webHidden/>
          </w:rPr>
          <w:instrText xml:space="preserve"> PAGEREF _Toc481614968 \h </w:instrText>
        </w:r>
        <w:r w:rsidR="00866D96">
          <w:rPr>
            <w:webHidden/>
          </w:rPr>
        </w:r>
        <w:r w:rsidR="00866D96">
          <w:rPr>
            <w:webHidden/>
          </w:rPr>
          <w:fldChar w:fldCharType="separate"/>
        </w:r>
        <w:r w:rsidR="00866D96">
          <w:rPr>
            <w:webHidden/>
          </w:rPr>
          <w:t>27</w:t>
        </w:r>
        <w:r w:rsidR="00866D96">
          <w:rPr>
            <w:webHidden/>
          </w:rPr>
          <w:fldChar w:fldCharType="end"/>
        </w:r>
      </w:hyperlink>
    </w:p>
    <w:p w14:paraId="25013371"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69" w:history="1">
        <w:r w:rsidR="00866D96" w:rsidRPr="00353E04">
          <w:rPr>
            <w:rStyle w:val="Hyperlink"/>
          </w:rPr>
          <w:t>Figure 5: Fuel import projections</w:t>
        </w:r>
        <w:r w:rsidR="00866D96">
          <w:rPr>
            <w:webHidden/>
          </w:rPr>
          <w:tab/>
        </w:r>
        <w:r w:rsidR="00866D96">
          <w:rPr>
            <w:webHidden/>
          </w:rPr>
          <w:fldChar w:fldCharType="begin"/>
        </w:r>
        <w:r w:rsidR="00866D96">
          <w:rPr>
            <w:webHidden/>
          </w:rPr>
          <w:instrText xml:space="preserve"> PAGEREF _Toc481614969 \h </w:instrText>
        </w:r>
        <w:r w:rsidR="00866D96">
          <w:rPr>
            <w:webHidden/>
          </w:rPr>
        </w:r>
        <w:r w:rsidR="00866D96">
          <w:rPr>
            <w:webHidden/>
          </w:rPr>
          <w:fldChar w:fldCharType="separate"/>
        </w:r>
        <w:r w:rsidR="00866D96">
          <w:rPr>
            <w:webHidden/>
          </w:rPr>
          <w:t>27</w:t>
        </w:r>
        <w:r w:rsidR="00866D96">
          <w:rPr>
            <w:webHidden/>
          </w:rPr>
          <w:fldChar w:fldCharType="end"/>
        </w:r>
      </w:hyperlink>
    </w:p>
    <w:p w14:paraId="3A1F4C1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0" w:history="1">
        <w:r w:rsidR="00866D96" w:rsidRPr="00353E04">
          <w:rPr>
            <w:rStyle w:val="Hyperlink"/>
          </w:rPr>
          <w:t>Figure 6: Biomass Consumption in Malawi</w:t>
        </w:r>
        <w:r w:rsidR="00866D96">
          <w:rPr>
            <w:webHidden/>
          </w:rPr>
          <w:tab/>
        </w:r>
        <w:r w:rsidR="00866D96">
          <w:rPr>
            <w:webHidden/>
          </w:rPr>
          <w:fldChar w:fldCharType="begin"/>
        </w:r>
        <w:r w:rsidR="00866D96">
          <w:rPr>
            <w:webHidden/>
          </w:rPr>
          <w:instrText xml:space="preserve"> PAGEREF _Toc481614970 \h </w:instrText>
        </w:r>
        <w:r w:rsidR="00866D96">
          <w:rPr>
            <w:webHidden/>
          </w:rPr>
        </w:r>
        <w:r w:rsidR="00866D96">
          <w:rPr>
            <w:webHidden/>
          </w:rPr>
          <w:fldChar w:fldCharType="separate"/>
        </w:r>
        <w:r w:rsidR="00866D96">
          <w:rPr>
            <w:webHidden/>
          </w:rPr>
          <w:t>29</w:t>
        </w:r>
        <w:r w:rsidR="00866D96">
          <w:rPr>
            <w:webHidden/>
          </w:rPr>
          <w:fldChar w:fldCharType="end"/>
        </w:r>
      </w:hyperlink>
    </w:p>
    <w:p w14:paraId="5DB61618"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1" w:history="1">
        <w:r w:rsidR="00866D96" w:rsidRPr="00353E04">
          <w:rPr>
            <w:rStyle w:val="Hyperlink"/>
          </w:rPr>
          <w:t>Figure 7: 2030 target for grid extensions</w:t>
        </w:r>
        <w:r w:rsidR="00866D96">
          <w:rPr>
            <w:webHidden/>
          </w:rPr>
          <w:tab/>
        </w:r>
        <w:r w:rsidR="00866D96">
          <w:rPr>
            <w:webHidden/>
          </w:rPr>
          <w:fldChar w:fldCharType="begin"/>
        </w:r>
        <w:r w:rsidR="00866D96">
          <w:rPr>
            <w:webHidden/>
          </w:rPr>
          <w:instrText xml:space="preserve"> PAGEREF _Toc481614971 \h </w:instrText>
        </w:r>
        <w:r w:rsidR="00866D96">
          <w:rPr>
            <w:webHidden/>
          </w:rPr>
        </w:r>
        <w:r w:rsidR="00866D96">
          <w:rPr>
            <w:webHidden/>
          </w:rPr>
          <w:fldChar w:fldCharType="separate"/>
        </w:r>
        <w:r w:rsidR="00866D96">
          <w:rPr>
            <w:webHidden/>
          </w:rPr>
          <w:t>34</w:t>
        </w:r>
        <w:r w:rsidR="00866D96">
          <w:rPr>
            <w:webHidden/>
          </w:rPr>
          <w:fldChar w:fldCharType="end"/>
        </w:r>
      </w:hyperlink>
    </w:p>
    <w:p w14:paraId="2D7A8278"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r:id="rId12" w:anchor="_Toc481614972" w:history="1">
        <w:r w:rsidR="00866D96" w:rsidRPr="00353E04">
          <w:rPr>
            <w:rStyle w:val="Hyperlink"/>
          </w:rPr>
          <w:t>Figure 8: Available Generating Capacity, MW, 2014</w:t>
        </w:r>
        <w:r w:rsidR="00866D96">
          <w:rPr>
            <w:webHidden/>
          </w:rPr>
          <w:tab/>
        </w:r>
        <w:r w:rsidR="00866D96">
          <w:rPr>
            <w:webHidden/>
          </w:rPr>
          <w:fldChar w:fldCharType="begin"/>
        </w:r>
        <w:r w:rsidR="00866D96">
          <w:rPr>
            <w:webHidden/>
          </w:rPr>
          <w:instrText xml:space="preserve"> PAGEREF _Toc481614972 \h </w:instrText>
        </w:r>
        <w:r w:rsidR="00866D96">
          <w:rPr>
            <w:webHidden/>
          </w:rPr>
        </w:r>
        <w:r w:rsidR="00866D96">
          <w:rPr>
            <w:webHidden/>
          </w:rPr>
          <w:fldChar w:fldCharType="separate"/>
        </w:r>
        <w:r w:rsidR="00866D96">
          <w:rPr>
            <w:webHidden/>
          </w:rPr>
          <w:t>39</w:t>
        </w:r>
        <w:r w:rsidR="00866D96">
          <w:rPr>
            <w:webHidden/>
          </w:rPr>
          <w:fldChar w:fldCharType="end"/>
        </w:r>
      </w:hyperlink>
    </w:p>
    <w:p w14:paraId="4FEBF0B6"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3" w:history="1">
        <w:r w:rsidR="00866D96" w:rsidRPr="00353E04">
          <w:rPr>
            <w:rStyle w:val="Hyperlink"/>
          </w:rPr>
          <w:t>Figure 9: Anticipated 2025 Capacity from Energy Policy Paper, Year 2025</w:t>
        </w:r>
        <w:r w:rsidR="00866D96">
          <w:rPr>
            <w:webHidden/>
          </w:rPr>
          <w:tab/>
        </w:r>
        <w:r w:rsidR="00866D96">
          <w:rPr>
            <w:webHidden/>
          </w:rPr>
          <w:fldChar w:fldCharType="begin"/>
        </w:r>
        <w:r w:rsidR="00866D96">
          <w:rPr>
            <w:webHidden/>
          </w:rPr>
          <w:instrText xml:space="preserve"> PAGEREF _Toc481614973 \h </w:instrText>
        </w:r>
        <w:r w:rsidR="00866D96">
          <w:rPr>
            <w:webHidden/>
          </w:rPr>
        </w:r>
        <w:r w:rsidR="00866D96">
          <w:rPr>
            <w:webHidden/>
          </w:rPr>
          <w:fldChar w:fldCharType="separate"/>
        </w:r>
        <w:r w:rsidR="00866D96">
          <w:rPr>
            <w:webHidden/>
          </w:rPr>
          <w:t>42</w:t>
        </w:r>
        <w:r w:rsidR="00866D96">
          <w:rPr>
            <w:webHidden/>
          </w:rPr>
          <w:fldChar w:fldCharType="end"/>
        </w:r>
      </w:hyperlink>
    </w:p>
    <w:p w14:paraId="297E5C05"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4" w:history="1">
        <w:r w:rsidR="00866D96" w:rsidRPr="00353E04">
          <w:rPr>
            <w:rStyle w:val="Hyperlink"/>
          </w:rPr>
          <w:t>Figure 10: Anticipated Trajectory of New Power Supplies from Energy Policy Paper, MW</w:t>
        </w:r>
        <w:r w:rsidR="00866D96">
          <w:rPr>
            <w:webHidden/>
          </w:rPr>
          <w:tab/>
        </w:r>
        <w:r w:rsidR="00866D96">
          <w:rPr>
            <w:webHidden/>
          </w:rPr>
          <w:fldChar w:fldCharType="begin"/>
        </w:r>
        <w:r w:rsidR="00866D96">
          <w:rPr>
            <w:webHidden/>
          </w:rPr>
          <w:instrText xml:space="preserve"> PAGEREF _Toc481614974 \h </w:instrText>
        </w:r>
        <w:r w:rsidR="00866D96">
          <w:rPr>
            <w:webHidden/>
          </w:rPr>
        </w:r>
        <w:r w:rsidR="00866D96">
          <w:rPr>
            <w:webHidden/>
          </w:rPr>
          <w:fldChar w:fldCharType="separate"/>
        </w:r>
        <w:r w:rsidR="00866D96">
          <w:rPr>
            <w:webHidden/>
          </w:rPr>
          <w:t>42</w:t>
        </w:r>
        <w:r w:rsidR="00866D96">
          <w:rPr>
            <w:webHidden/>
          </w:rPr>
          <w:fldChar w:fldCharType="end"/>
        </w:r>
      </w:hyperlink>
    </w:p>
    <w:p w14:paraId="6F9D06DA"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5" w:history="1">
        <w:r w:rsidR="00866D96" w:rsidRPr="00353E04">
          <w:rPr>
            <w:rStyle w:val="Hyperlink"/>
          </w:rPr>
          <w:t>Figure 11: Renewable Energy Targets Achieved by 2030, MW</w:t>
        </w:r>
        <w:r w:rsidR="00866D96">
          <w:rPr>
            <w:webHidden/>
          </w:rPr>
          <w:tab/>
        </w:r>
        <w:r w:rsidR="00866D96">
          <w:rPr>
            <w:webHidden/>
          </w:rPr>
          <w:fldChar w:fldCharType="begin"/>
        </w:r>
        <w:r w:rsidR="00866D96">
          <w:rPr>
            <w:webHidden/>
          </w:rPr>
          <w:instrText xml:space="preserve"> PAGEREF _Toc481614975 \h </w:instrText>
        </w:r>
        <w:r w:rsidR="00866D96">
          <w:rPr>
            <w:webHidden/>
          </w:rPr>
        </w:r>
        <w:r w:rsidR="00866D96">
          <w:rPr>
            <w:webHidden/>
          </w:rPr>
          <w:fldChar w:fldCharType="separate"/>
        </w:r>
        <w:r w:rsidR="00866D96">
          <w:rPr>
            <w:webHidden/>
          </w:rPr>
          <w:t>44</w:t>
        </w:r>
        <w:r w:rsidR="00866D96">
          <w:rPr>
            <w:webHidden/>
          </w:rPr>
          <w:fldChar w:fldCharType="end"/>
        </w:r>
      </w:hyperlink>
    </w:p>
    <w:p w14:paraId="761CCDA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6" w:history="1">
        <w:r w:rsidR="00866D96" w:rsidRPr="00353E04">
          <w:rPr>
            <w:rStyle w:val="Hyperlink"/>
          </w:rPr>
          <w:t>Figure 12: Installed Generating Trajectory Including RE Targets, MW</w:t>
        </w:r>
        <w:r w:rsidR="00866D96">
          <w:rPr>
            <w:webHidden/>
          </w:rPr>
          <w:tab/>
        </w:r>
        <w:r w:rsidR="00866D96">
          <w:rPr>
            <w:webHidden/>
          </w:rPr>
          <w:fldChar w:fldCharType="begin"/>
        </w:r>
        <w:r w:rsidR="00866D96">
          <w:rPr>
            <w:webHidden/>
          </w:rPr>
          <w:instrText xml:space="preserve"> PAGEREF _Toc481614976 \h </w:instrText>
        </w:r>
        <w:r w:rsidR="00866D96">
          <w:rPr>
            <w:webHidden/>
          </w:rPr>
        </w:r>
        <w:r w:rsidR="00866D96">
          <w:rPr>
            <w:webHidden/>
          </w:rPr>
          <w:fldChar w:fldCharType="separate"/>
        </w:r>
        <w:r w:rsidR="00866D96">
          <w:rPr>
            <w:webHidden/>
          </w:rPr>
          <w:t>45</w:t>
        </w:r>
        <w:r w:rsidR="00866D96">
          <w:rPr>
            <w:webHidden/>
          </w:rPr>
          <w:fldChar w:fldCharType="end"/>
        </w:r>
      </w:hyperlink>
    </w:p>
    <w:p w14:paraId="4A09A42E"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7" w:history="1">
        <w:r w:rsidR="00866D96" w:rsidRPr="00353E04">
          <w:rPr>
            <w:rStyle w:val="Hyperlink"/>
          </w:rPr>
          <w:t xml:space="preserve">Figure 13: Installed Generating Capacity in 2030 based on Energy Policy Paper plus </w:t>
        </w:r>
        <w:r w:rsidR="00866D96" w:rsidRPr="00353E04">
          <w:rPr>
            <w:rStyle w:val="Hyperlink"/>
            <w:lang w:eastAsia="en-US"/>
          </w:rPr>
          <w:t>SE4ALL</w:t>
        </w:r>
        <w:r w:rsidR="00866D96" w:rsidRPr="00353E04">
          <w:rPr>
            <w:rStyle w:val="Hyperlink"/>
          </w:rPr>
          <w:t xml:space="preserve"> RE Targets</w:t>
        </w:r>
        <w:r w:rsidR="00866D96">
          <w:rPr>
            <w:webHidden/>
          </w:rPr>
          <w:tab/>
        </w:r>
        <w:r w:rsidR="00866D96">
          <w:rPr>
            <w:webHidden/>
          </w:rPr>
          <w:fldChar w:fldCharType="begin"/>
        </w:r>
        <w:r w:rsidR="00866D96">
          <w:rPr>
            <w:webHidden/>
          </w:rPr>
          <w:instrText xml:space="preserve"> PAGEREF _Toc481614977 \h </w:instrText>
        </w:r>
        <w:r w:rsidR="00866D96">
          <w:rPr>
            <w:webHidden/>
          </w:rPr>
        </w:r>
        <w:r w:rsidR="00866D96">
          <w:rPr>
            <w:webHidden/>
          </w:rPr>
          <w:fldChar w:fldCharType="separate"/>
        </w:r>
        <w:r w:rsidR="00866D96">
          <w:rPr>
            <w:webHidden/>
          </w:rPr>
          <w:t>45</w:t>
        </w:r>
        <w:r w:rsidR="00866D96">
          <w:rPr>
            <w:webHidden/>
          </w:rPr>
          <w:fldChar w:fldCharType="end"/>
        </w:r>
      </w:hyperlink>
    </w:p>
    <w:p w14:paraId="6EEC5AF0"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8" w:history="1">
        <w:r w:rsidR="00866D96" w:rsidRPr="00353E04">
          <w:rPr>
            <w:rStyle w:val="Hyperlink"/>
          </w:rPr>
          <w:t>Figure 14: Energy supply by sector</w:t>
        </w:r>
        <w:r w:rsidR="00866D96">
          <w:rPr>
            <w:webHidden/>
          </w:rPr>
          <w:tab/>
        </w:r>
        <w:r w:rsidR="00866D96">
          <w:rPr>
            <w:webHidden/>
          </w:rPr>
          <w:fldChar w:fldCharType="begin"/>
        </w:r>
        <w:r w:rsidR="00866D96">
          <w:rPr>
            <w:webHidden/>
          </w:rPr>
          <w:instrText xml:space="preserve"> PAGEREF _Toc481614978 \h </w:instrText>
        </w:r>
        <w:r w:rsidR="00866D96">
          <w:rPr>
            <w:webHidden/>
          </w:rPr>
        </w:r>
        <w:r w:rsidR="00866D96">
          <w:rPr>
            <w:webHidden/>
          </w:rPr>
          <w:fldChar w:fldCharType="separate"/>
        </w:r>
        <w:r w:rsidR="00866D96">
          <w:rPr>
            <w:webHidden/>
          </w:rPr>
          <w:t>47</w:t>
        </w:r>
        <w:r w:rsidR="00866D96">
          <w:rPr>
            <w:webHidden/>
          </w:rPr>
          <w:fldChar w:fldCharType="end"/>
        </w:r>
      </w:hyperlink>
    </w:p>
    <w:p w14:paraId="7C69AE68"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79" w:history="1">
        <w:r w:rsidR="00866D96" w:rsidRPr="00353E04">
          <w:rPr>
            <w:rStyle w:val="Hyperlink"/>
          </w:rPr>
          <w:t>Figure 15: National importations of petroleum products between 1999 and 2013 (million litres)</w:t>
        </w:r>
        <w:r w:rsidR="00866D96">
          <w:rPr>
            <w:webHidden/>
          </w:rPr>
          <w:tab/>
        </w:r>
        <w:r w:rsidR="00866D96">
          <w:rPr>
            <w:webHidden/>
          </w:rPr>
          <w:fldChar w:fldCharType="begin"/>
        </w:r>
        <w:r w:rsidR="00866D96">
          <w:rPr>
            <w:webHidden/>
          </w:rPr>
          <w:instrText xml:space="preserve"> PAGEREF _Toc481614979 \h </w:instrText>
        </w:r>
        <w:r w:rsidR="00866D96">
          <w:rPr>
            <w:webHidden/>
          </w:rPr>
        </w:r>
        <w:r w:rsidR="00866D96">
          <w:rPr>
            <w:webHidden/>
          </w:rPr>
          <w:fldChar w:fldCharType="separate"/>
        </w:r>
        <w:r w:rsidR="00866D96">
          <w:rPr>
            <w:webHidden/>
          </w:rPr>
          <w:t>55</w:t>
        </w:r>
        <w:r w:rsidR="00866D96">
          <w:rPr>
            <w:webHidden/>
          </w:rPr>
          <w:fldChar w:fldCharType="end"/>
        </w:r>
      </w:hyperlink>
    </w:p>
    <w:p w14:paraId="7D54CA7B"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0" w:history="1">
        <w:r w:rsidR="00866D96" w:rsidRPr="00353E04">
          <w:rPr>
            <w:rStyle w:val="Hyperlink"/>
          </w:rPr>
          <w:t>Figure 16: Expected biodiesel production of BERL through 2030 (million litres)</w:t>
        </w:r>
        <w:r w:rsidR="00866D96">
          <w:rPr>
            <w:webHidden/>
          </w:rPr>
          <w:tab/>
        </w:r>
        <w:r w:rsidR="00866D96">
          <w:rPr>
            <w:webHidden/>
          </w:rPr>
          <w:fldChar w:fldCharType="begin"/>
        </w:r>
        <w:r w:rsidR="00866D96">
          <w:rPr>
            <w:webHidden/>
          </w:rPr>
          <w:instrText xml:space="preserve"> PAGEREF _Toc481614980 \h </w:instrText>
        </w:r>
        <w:r w:rsidR="00866D96">
          <w:rPr>
            <w:webHidden/>
          </w:rPr>
        </w:r>
        <w:r w:rsidR="00866D96">
          <w:rPr>
            <w:webHidden/>
          </w:rPr>
          <w:fldChar w:fldCharType="separate"/>
        </w:r>
        <w:r w:rsidR="00866D96">
          <w:rPr>
            <w:webHidden/>
          </w:rPr>
          <w:t>57</w:t>
        </w:r>
        <w:r w:rsidR="00866D96">
          <w:rPr>
            <w:webHidden/>
          </w:rPr>
          <w:fldChar w:fldCharType="end"/>
        </w:r>
      </w:hyperlink>
    </w:p>
    <w:p w14:paraId="38E8D6E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1" w:history="1">
        <w:r w:rsidR="00866D96" w:rsidRPr="00353E04">
          <w:rPr>
            <w:rStyle w:val="Hyperlink"/>
          </w:rPr>
          <w:t>Figure 17: Petroleum products importations since 1999 and projection through 2030 compared to biofuel production levels since 2012 and targets through 2030 (million litres)</w:t>
        </w:r>
        <w:r w:rsidR="00866D96">
          <w:rPr>
            <w:webHidden/>
          </w:rPr>
          <w:tab/>
        </w:r>
        <w:r w:rsidR="00866D96">
          <w:rPr>
            <w:webHidden/>
          </w:rPr>
          <w:fldChar w:fldCharType="begin"/>
        </w:r>
        <w:r w:rsidR="00866D96">
          <w:rPr>
            <w:webHidden/>
          </w:rPr>
          <w:instrText xml:space="preserve"> PAGEREF _Toc481614981 \h </w:instrText>
        </w:r>
        <w:r w:rsidR="00866D96">
          <w:rPr>
            <w:webHidden/>
          </w:rPr>
        </w:r>
        <w:r w:rsidR="00866D96">
          <w:rPr>
            <w:webHidden/>
          </w:rPr>
          <w:fldChar w:fldCharType="separate"/>
        </w:r>
        <w:r w:rsidR="00866D96">
          <w:rPr>
            <w:webHidden/>
          </w:rPr>
          <w:t>59</w:t>
        </w:r>
        <w:r w:rsidR="00866D96">
          <w:rPr>
            <w:webHidden/>
          </w:rPr>
          <w:fldChar w:fldCharType="end"/>
        </w:r>
      </w:hyperlink>
    </w:p>
    <w:p w14:paraId="57885BDD"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2" w:history="1">
        <w:r w:rsidR="00866D96" w:rsidRPr="00353E04">
          <w:rPr>
            <w:rStyle w:val="Hyperlink"/>
          </w:rPr>
          <w:t>Figure 18: Rail network (Railroad Development Corporation, 2016)</w:t>
        </w:r>
        <w:r w:rsidR="00866D96">
          <w:rPr>
            <w:webHidden/>
          </w:rPr>
          <w:tab/>
        </w:r>
        <w:r w:rsidR="00866D96">
          <w:rPr>
            <w:webHidden/>
          </w:rPr>
          <w:fldChar w:fldCharType="begin"/>
        </w:r>
        <w:r w:rsidR="00866D96">
          <w:rPr>
            <w:webHidden/>
          </w:rPr>
          <w:instrText xml:space="preserve"> PAGEREF _Toc481614982 \h </w:instrText>
        </w:r>
        <w:r w:rsidR="00866D96">
          <w:rPr>
            <w:webHidden/>
          </w:rPr>
        </w:r>
        <w:r w:rsidR="00866D96">
          <w:rPr>
            <w:webHidden/>
          </w:rPr>
          <w:fldChar w:fldCharType="separate"/>
        </w:r>
        <w:r w:rsidR="00866D96">
          <w:rPr>
            <w:webHidden/>
          </w:rPr>
          <w:t>62</w:t>
        </w:r>
        <w:r w:rsidR="00866D96">
          <w:rPr>
            <w:webHidden/>
          </w:rPr>
          <w:fldChar w:fldCharType="end"/>
        </w:r>
      </w:hyperlink>
    </w:p>
    <w:p w14:paraId="25391D3B"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3" w:history="1">
        <w:r w:rsidR="00866D96" w:rsidRPr="00353E04">
          <w:rPr>
            <w:rStyle w:val="Hyperlink"/>
          </w:rPr>
          <w:t>Figure 19: Malawi EE Fund – proposed structure and business cycle</w:t>
        </w:r>
        <w:r w:rsidR="00866D96">
          <w:rPr>
            <w:webHidden/>
          </w:rPr>
          <w:tab/>
        </w:r>
        <w:r w:rsidR="00866D96">
          <w:rPr>
            <w:webHidden/>
          </w:rPr>
          <w:fldChar w:fldCharType="begin"/>
        </w:r>
        <w:r w:rsidR="00866D96">
          <w:rPr>
            <w:webHidden/>
          </w:rPr>
          <w:instrText xml:space="preserve"> PAGEREF _Toc481614983 \h </w:instrText>
        </w:r>
        <w:r w:rsidR="00866D96">
          <w:rPr>
            <w:webHidden/>
          </w:rPr>
        </w:r>
        <w:r w:rsidR="00866D96">
          <w:rPr>
            <w:webHidden/>
          </w:rPr>
          <w:fldChar w:fldCharType="separate"/>
        </w:r>
        <w:r w:rsidR="00866D96">
          <w:rPr>
            <w:webHidden/>
          </w:rPr>
          <w:t>84</w:t>
        </w:r>
        <w:r w:rsidR="00866D96">
          <w:rPr>
            <w:webHidden/>
          </w:rPr>
          <w:fldChar w:fldCharType="end"/>
        </w:r>
      </w:hyperlink>
    </w:p>
    <w:p w14:paraId="1B232226"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4" w:history="1">
        <w:r w:rsidR="00866D96" w:rsidRPr="00353E04">
          <w:rPr>
            <w:rStyle w:val="Hyperlink"/>
          </w:rPr>
          <w:t>Figure 20: Relationship among different parts of a MER framework and the AA</w:t>
        </w:r>
        <w:r w:rsidR="00866D96">
          <w:rPr>
            <w:webHidden/>
          </w:rPr>
          <w:tab/>
        </w:r>
        <w:r w:rsidR="00866D96">
          <w:rPr>
            <w:webHidden/>
          </w:rPr>
          <w:fldChar w:fldCharType="begin"/>
        </w:r>
        <w:r w:rsidR="00866D96">
          <w:rPr>
            <w:webHidden/>
          </w:rPr>
          <w:instrText xml:space="preserve"> PAGEREF _Toc481614984 \h </w:instrText>
        </w:r>
        <w:r w:rsidR="00866D96">
          <w:rPr>
            <w:webHidden/>
          </w:rPr>
        </w:r>
        <w:r w:rsidR="00866D96">
          <w:rPr>
            <w:webHidden/>
          </w:rPr>
          <w:fldChar w:fldCharType="separate"/>
        </w:r>
        <w:r w:rsidR="00866D96">
          <w:rPr>
            <w:webHidden/>
          </w:rPr>
          <w:t>104</w:t>
        </w:r>
        <w:r w:rsidR="00866D96">
          <w:rPr>
            <w:webHidden/>
          </w:rPr>
          <w:fldChar w:fldCharType="end"/>
        </w:r>
      </w:hyperlink>
    </w:p>
    <w:p w14:paraId="2DE1CABF"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5" w:history="1">
        <w:r w:rsidR="00866D96" w:rsidRPr="00353E04">
          <w:rPr>
            <w:rStyle w:val="Hyperlink"/>
          </w:rPr>
          <w:t>Figure 21: Action Agenda and Investment Prospectus linkages</w:t>
        </w:r>
        <w:r w:rsidR="00866D96">
          <w:rPr>
            <w:webHidden/>
          </w:rPr>
          <w:tab/>
        </w:r>
        <w:r w:rsidR="00866D96">
          <w:rPr>
            <w:webHidden/>
          </w:rPr>
          <w:fldChar w:fldCharType="begin"/>
        </w:r>
        <w:r w:rsidR="00866D96">
          <w:rPr>
            <w:webHidden/>
          </w:rPr>
          <w:instrText xml:space="preserve"> PAGEREF _Toc481614985 \h </w:instrText>
        </w:r>
        <w:r w:rsidR="00866D96">
          <w:rPr>
            <w:webHidden/>
          </w:rPr>
        </w:r>
        <w:r w:rsidR="00866D96">
          <w:rPr>
            <w:webHidden/>
          </w:rPr>
          <w:fldChar w:fldCharType="separate"/>
        </w:r>
        <w:r w:rsidR="00866D96">
          <w:rPr>
            <w:webHidden/>
          </w:rPr>
          <w:t>107</w:t>
        </w:r>
        <w:r w:rsidR="00866D96">
          <w:rPr>
            <w:webHidden/>
          </w:rPr>
          <w:fldChar w:fldCharType="end"/>
        </w:r>
      </w:hyperlink>
    </w:p>
    <w:p w14:paraId="4A2BCB0A" w14:textId="77777777" w:rsidR="00024F70" w:rsidRPr="006122EE" w:rsidRDefault="00024F70" w:rsidP="00024F70">
      <w:r w:rsidRPr="006122EE">
        <w:fldChar w:fldCharType="end"/>
      </w:r>
    </w:p>
    <w:p w14:paraId="0D192DAE" w14:textId="77777777" w:rsidR="00024F70" w:rsidRPr="006122EE" w:rsidRDefault="00024F70" w:rsidP="00024F70">
      <w:pPr>
        <w:pStyle w:val="TOCHeading"/>
        <w:rPr>
          <w:i/>
        </w:rPr>
      </w:pPr>
      <w:r w:rsidRPr="006122EE">
        <w:lastRenderedPageBreak/>
        <w:t>List of Tables</w:t>
      </w:r>
    </w:p>
    <w:p w14:paraId="19FA2708" w14:textId="77777777" w:rsidR="00866D96" w:rsidRDefault="00024F70">
      <w:pPr>
        <w:pStyle w:val="TableofFigures"/>
        <w:rPr>
          <w:rFonts w:asciiTheme="minorHAnsi" w:eastAsiaTheme="minorEastAsia" w:hAnsiTheme="minorHAnsi" w:cstheme="minorBidi"/>
          <w:i w:val="0"/>
          <w:color w:val="auto"/>
          <w:sz w:val="22"/>
          <w:szCs w:val="22"/>
          <w:lang w:val="fr-FR" w:eastAsia="fr-FR"/>
        </w:rPr>
      </w:pPr>
      <w:r w:rsidRPr="006122EE">
        <w:rPr>
          <w:rFonts w:cs="Arial"/>
          <w:noProof w:val="0"/>
          <w:szCs w:val="18"/>
        </w:rPr>
        <w:fldChar w:fldCharType="begin"/>
      </w:r>
      <w:r w:rsidRPr="00866D96">
        <w:rPr>
          <w:rFonts w:cs="Arial"/>
          <w:noProof w:val="0"/>
          <w:szCs w:val="18"/>
        </w:rPr>
        <w:instrText xml:space="preserve"> TOC \h \z \c "Table" </w:instrText>
      </w:r>
      <w:r w:rsidRPr="006122EE">
        <w:rPr>
          <w:rFonts w:cs="Arial"/>
          <w:noProof w:val="0"/>
          <w:szCs w:val="18"/>
        </w:rPr>
        <w:fldChar w:fldCharType="separate"/>
      </w:r>
      <w:hyperlink w:anchor="_Toc481614986" w:history="1">
        <w:r w:rsidR="00866D96" w:rsidRPr="00485932">
          <w:rPr>
            <w:rStyle w:val="Hyperlink"/>
          </w:rPr>
          <w:t>Table 1: Targets on electric cookers, LPG stoves and efficient wood stoves</w:t>
        </w:r>
        <w:r w:rsidR="00866D96">
          <w:rPr>
            <w:webHidden/>
          </w:rPr>
          <w:tab/>
        </w:r>
        <w:r w:rsidR="00866D96">
          <w:rPr>
            <w:webHidden/>
          </w:rPr>
          <w:fldChar w:fldCharType="begin"/>
        </w:r>
        <w:r w:rsidR="00866D96">
          <w:rPr>
            <w:webHidden/>
          </w:rPr>
          <w:instrText xml:space="preserve"> PAGEREF _Toc481614986 \h </w:instrText>
        </w:r>
        <w:r w:rsidR="00866D96">
          <w:rPr>
            <w:webHidden/>
          </w:rPr>
        </w:r>
        <w:r w:rsidR="00866D96">
          <w:rPr>
            <w:webHidden/>
          </w:rPr>
          <w:fldChar w:fldCharType="separate"/>
        </w:r>
        <w:r w:rsidR="00866D96">
          <w:rPr>
            <w:webHidden/>
          </w:rPr>
          <w:t>10</w:t>
        </w:r>
        <w:r w:rsidR="00866D96">
          <w:rPr>
            <w:webHidden/>
          </w:rPr>
          <w:fldChar w:fldCharType="end"/>
        </w:r>
      </w:hyperlink>
    </w:p>
    <w:p w14:paraId="2CB827F0"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7" w:history="1">
        <w:r w:rsidR="00866D96" w:rsidRPr="00485932">
          <w:rPr>
            <w:rStyle w:val="Hyperlink"/>
          </w:rPr>
          <w:t>Table 2: Targets on solar water heaters</w:t>
        </w:r>
        <w:r w:rsidR="00866D96">
          <w:rPr>
            <w:webHidden/>
          </w:rPr>
          <w:tab/>
        </w:r>
        <w:r w:rsidR="00866D96">
          <w:rPr>
            <w:webHidden/>
          </w:rPr>
          <w:fldChar w:fldCharType="begin"/>
        </w:r>
        <w:r w:rsidR="00866D96">
          <w:rPr>
            <w:webHidden/>
          </w:rPr>
          <w:instrText xml:space="preserve"> PAGEREF _Toc481614987 \h </w:instrText>
        </w:r>
        <w:r w:rsidR="00866D96">
          <w:rPr>
            <w:webHidden/>
          </w:rPr>
        </w:r>
        <w:r w:rsidR="00866D96">
          <w:rPr>
            <w:webHidden/>
          </w:rPr>
          <w:fldChar w:fldCharType="separate"/>
        </w:r>
        <w:r w:rsidR="00866D96">
          <w:rPr>
            <w:webHidden/>
          </w:rPr>
          <w:t>10</w:t>
        </w:r>
        <w:r w:rsidR="00866D96">
          <w:rPr>
            <w:webHidden/>
          </w:rPr>
          <w:fldChar w:fldCharType="end"/>
        </w:r>
      </w:hyperlink>
    </w:p>
    <w:p w14:paraId="2FE0E759"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8" w:history="1">
        <w:r w:rsidR="00866D96" w:rsidRPr="00485932">
          <w:rPr>
            <w:rStyle w:val="Hyperlink"/>
          </w:rPr>
          <w:t>Table 3: Targets on electricity access</w:t>
        </w:r>
        <w:r w:rsidR="00866D96">
          <w:rPr>
            <w:webHidden/>
          </w:rPr>
          <w:tab/>
        </w:r>
        <w:r w:rsidR="00866D96">
          <w:rPr>
            <w:webHidden/>
          </w:rPr>
          <w:fldChar w:fldCharType="begin"/>
        </w:r>
        <w:r w:rsidR="00866D96">
          <w:rPr>
            <w:webHidden/>
          </w:rPr>
          <w:instrText xml:space="preserve"> PAGEREF _Toc481614988 \h </w:instrText>
        </w:r>
        <w:r w:rsidR="00866D96">
          <w:rPr>
            <w:webHidden/>
          </w:rPr>
        </w:r>
        <w:r w:rsidR="00866D96">
          <w:rPr>
            <w:webHidden/>
          </w:rPr>
          <w:fldChar w:fldCharType="separate"/>
        </w:r>
        <w:r w:rsidR="00866D96">
          <w:rPr>
            <w:webHidden/>
          </w:rPr>
          <w:t>11</w:t>
        </w:r>
        <w:r w:rsidR="00866D96">
          <w:rPr>
            <w:webHidden/>
          </w:rPr>
          <w:fldChar w:fldCharType="end"/>
        </w:r>
      </w:hyperlink>
    </w:p>
    <w:p w14:paraId="62180DE8"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89" w:history="1">
        <w:r w:rsidR="00866D96" w:rsidRPr="00485932">
          <w:rPr>
            <w:rStyle w:val="Hyperlink"/>
          </w:rPr>
          <w:t>Table 4: Renewable Energy Baseline and 2030 Targets</w:t>
        </w:r>
        <w:r w:rsidR="00866D96">
          <w:rPr>
            <w:webHidden/>
          </w:rPr>
          <w:tab/>
        </w:r>
        <w:r w:rsidR="00866D96">
          <w:rPr>
            <w:webHidden/>
          </w:rPr>
          <w:fldChar w:fldCharType="begin"/>
        </w:r>
        <w:r w:rsidR="00866D96">
          <w:rPr>
            <w:webHidden/>
          </w:rPr>
          <w:instrText xml:space="preserve"> PAGEREF _Toc481614989 \h </w:instrText>
        </w:r>
        <w:r w:rsidR="00866D96">
          <w:rPr>
            <w:webHidden/>
          </w:rPr>
        </w:r>
        <w:r w:rsidR="00866D96">
          <w:rPr>
            <w:webHidden/>
          </w:rPr>
          <w:fldChar w:fldCharType="separate"/>
        </w:r>
        <w:r w:rsidR="00866D96">
          <w:rPr>
            <w:webHidden/>
          </w:rPr>
          <w:t>11</w:t>
        </w:r>
        <w:r w:rsidR="00866D96">
          <w:rPr>
            <w:webHidden/>
          </w:rPr>
          <w:fldChar w:fldCharType="end"/>
        </w:r>
      </w:hyperlink>
    </w:p>
    <w:p w14:paraId="4FDA6F8C"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0" w:history="1">
        <w:r w:rsidR="00866D96" w:rsidRPr="00485932">
          <w:rPr>
            <w:rStyle w:val="Hyperlink"/>
          </w:rPr>
          <w:t>Table 5: Energy Efficiency Targets</w:t>
        </w:r>
        <w:r w:rsidR="00866D96">
          <w:rPr>
            <w:webHidden/>
          </w:rPr>
          <w:tab/>
        </w:r>
        <w:r w:rsidR="00866D96">
          <w:rPr>
            <w:webHidden/>
          </w:rPr>
          <w:fldChar w:fldCharType="begin"/>
        </w:r>
        <w:r w:rsidR="00866D96">
          <w:rPr>
            <w:webHidden/>
          </w:rPr>
          <w:instrText xml:space="preserve"> PAGEREF _Toc481614990 \h </w:instrText>
        </w:r>
        <w:r w:rsidR="00866D96">
          <w:rPr>
            <w:webHidden/>
          </w:rPr>
        </w:r>
        <w:r w:rsidR="00866D96">
          <w:rPr>
            <w:webHidden/>
          </w:rPr>
          <w:fldChar w:fldCharType="separate"/>
        </w:r>
        <w:r w:rsidR="00866D96">
          <w:rPr>
            <w:webHidden/>
          </w:rPr>
          <w:t>11</w:t>
        </w:r>
        <w:r w:rsidR="00866D96">
          <w:rPr>
            <w:webHidden/>
          </w:rPr>
          <w:fldChar w:fldCharType="end"/>
        </w:r>
      </w:hyperlink>
    </w:p>
    <w:p w14:paraId="09F627C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1" w:history="1">
        <w:r w:rsidR="00866D96" w:rsidRPr="00485932">
          <w:rPr>
            <w:rStyle w:val="Hyperlink"/>
          </w:rPr>
          <w:t>Table 6: Targets on alternative fuels</w:t>
        </w:r>
        <w:r w:rsidR="00866D96">
          <w:rPr>
            <w:webHidden/>
          </w:rPr>
          <w:tab/>
        </w:r>
        <w:r w:rsidR="00866D96">
          <w:rPr>
            <w:webHidden/>
          </w:rPr>
          <w:fldChar w:fldCharType="begin"/>
        </w:r>
        <w:r w:rsidR="00866D96">
          <w:rPr>
            <w:webHidden/>
          </w:rPr>
          <w:instrText xml:space="preserve"> PAGEREF _Toc481614991 \h </w:instrText>
        </w:r>
        <w:r w:rsidR="00866D96">
          <w:rPr>
            <w:webHidden/>
          </w:rPr>
        </w:r>
        <w:r w:rsidR="00866D96">
          <w:rPr>
            <w:webHidden/>
          </w:rPr>
          <w:fldChar w:fldCharType="separate"/>
        </w:r>
        <w:r w:rsidR="00866D96">
          <w:rPr>
            <w:webHidden/>
          </w:rPr>
          <w:t>12</w:t>
        </w:r>
        <w:r w:rsidR="00866D96">
          <w:rPr>
            <w:webHidden/>
          </w:rPr>
          <w:fldChar w:fldCharType="end"/>
        </w:r>
      </w:hyperlink>
    </w:p>
    <w:p w14:paraId="4360AF9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2" w:history="1">
        <w:r w:rsidR="00866D96" w:rsidRPr="00485932">
          <w:rPr>
            <w:rStyle w:val="Hyperlink"/>
          </w:rPr>
          <w:t>Table 7: Target on urban transportation</w:t>
        </w:r>
        <w:r w:rsidR="00866D96">
          <w:rPr>
            <w:webHidden/>
          </w:rPr>
          <w:tab/>
        </w:r>
        <w:r w:rsidR="00866D96">
          <w:rPr>
            <w:webHidden/>
          </w:rPr>
          <w:fldChar w:fldCharType="begin"/>
        </w:r>
        <w:r w:rsidR="00866D96">
          <w:rPr>
            <w:webHidden/>
          </w:rPr>
          <w:instrText xml:space="preserve"> PAGEREF _Toc481614992 \h </w:instrText>
        </w:r>
        <w:r w:rsidR="00866D96">
          <w:rPr>
            <w:webHidden/>
          </w:rPr>
        </w:r>
        <w:r w:rsidR="00866D96">
          <w:rPr>
            <w:webHidden/>
          </w:rPr>
          <w:fldChar w:fldCharType="separate"/>
        </w:r>
        <w:r w:rsidR="00866D96">
          <w:rPr>
            <w:webHidden/>
          </w:rPr>
          <w:t>12</w:t>
        </w:r>
        <w:r w:rsidR="00866D96">
          <w:rPr>
            <w:webHidden/>
          </w:rPr>
          <w:fldChar w:fldCharType="end"/>
        </w:r>
      </w:hyperlink>
    </w:p>
    <w:p w14:paraId="6F3C494E"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3" w:history="1">
        <w:r w:rsidR="00866D96" w:rsidRPr="00485932">
          <w:rPr>
            <w:rStyle w:val="Hyperlink"/>
          </w:rPr>
          <w:t>Table 8: Energy demand by fuel type</w:t>
        </w:r>
        <w:r w:rsidR="00866D96">
          <w:rPr>
            <w:webHidden/>
          </w:rPr>
          <w:tab/>
        </w:r>
        <w:r w:rsidR="00866D96">
          <w:rPr>
            <w:webHidden/>
          </w:rPr>
          <w:fldChar w:fldCharType="begin"/>
        </w:r>
        <w:r w:rsidR="00866D96">
          <w:rPr>
            <w:webHidden/>
          </w:rPr>
          <w:instrText xml:space="preserve"> PAGEREF _Toc481614993 \h </w:instrText>
        </w:r>
        <w:r w:rsidR="00866D96">
          <w:rPr>
            <w:webHidden/>
          </w:rPr>
        </w:r>
        <w:r w:rsidR="00866D96">
          <w:rPr>
            <w:webHidden/>
          </w:rPr>
          <w:fldChar w:fldCharType="separate"/>
        </w:r>
        <w:r w:rsidR="00866D96">
          <w:rPr>
            <w:webHidden/>
          </w:rPr>
          <w:t>23</w:t>
        </w:r>
        <w:r w:rsidR="00866D96">
          <w:rPr>
            <w:webHidden/>
          </w:rPr>
          <w:fldChar w:fldCharType="end"/>
        </w:r>
      </w:hyperlink>
    </w:p>
    <w:p w14:paraId="76D52A4C"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4" w:history="1">
        <w:r w:rsidR="00866D96" w:rsidRPr="00485932">
          <w:rPr>
            <w:rStyle w:val="Hyperlink"/>
          </w:rPr>
          <w:t>Table 9: Energy mix projections</w:t>
        </w:r>
        <w:r w:rsidR="00866D96">
          <w:rPr>
            <w:webHidden/>
          </w:rPr>
          <w:tab/>
        </w:r>
        <w:r w:rsidR="00866D96">
          <w:rPr>
            <w:webHidden/>
          </w:rPr>
          <w:fldChar w:fldCharType="begin"/>
        </w:r>
        <w:r w:rsidR="00866D96">
          <w:rPr>
            <w:webHidden/>
          </w:rPr>
          <w:instrText xml:space="preserve"> PAGEREF _Toc481614994 \h </w:instrText>
        </w:r>
        <w:r w:rsidR="00866D96">
          <w:rPr>
            <w:webHidden/>
          </w:rPr>
        </w:r>
        <w:r w:rsidR="00866D96">
          <w:rPr>
            <w:webHidden/>
          </w:rPr>
          <w:fldChar w:fldCharType="separate"/>
        </w:r>
        <w:r w:rsidR="00866D96">
          <w:rPr>
            <w:webHidden/>
          </w:rPr>
          <w:t>24</w:t>
        </w:r>
        <w:r w:rsidR="00866D96">
          <w:rPr>
            <w:webHidden/>
          </w:rPr>
          <w:fldChar w:fldCharType="end"/>
        </w:r>
      </w:hyperlink>
    </w:p>
    <w:p w14:paraId="6AC4944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5" w:history="1">
        <w:r w:rsidR="00866D96" w:rsidRPr="00485932">
          <w:rPr>
            <w:rStyle w:val="Hyperlink"/>
          </w:rPr>
          <w:t>Table 10: Projections on peak demand, capacity requirement and ESCOM's supply capacity</w:t>
        </w:r>
        <w:r w:rsidR="00866D96">
          <w:rPr>
            <w:webHidden/>
          </w:rPr>
          <w:tab/>
        </w:r>
        <w:r w:rsidR="00866D96">
          <w:rPr>
            <w:webHidden/>
          </w:rPr>
          <w:fldChar w:fldCharType="begin"/>
        </w:r>
        <w:r w:rsidR="00866D96">
          <w:rPr>
            <w:webHidden/>
          </w:rPr>
          <w:instrText xml:space="preserve"> PAGEREF _Toc481614995 \h </w:instrText>
        </w:r>
        <w:r w:rsidR="00866D96">
          <w:rPr>
            <w:webHidden/>
          </w:rPr>
        </w:r>
        <w:r w:rsidR="00866D96">
          <w:rPr>
            <w:webHidden/>
          </w:rPr>
          <w:fldChar w:fldCharType="separate"/>
        </w:r>
        <w:r w:rsidR="00866D96">
          <w:rPr>
            <w:webHidden/>
          </w:rPr>
          <w:t>25</w:t>
        </w:r>
        <w:r w:rsidR="00866D96">
          <w:rPr>
            <w:webHidden/>
          </w:rPr>
          <w:fldChar w:fldCharType="end"/>
        </w:r>
      </w:hyperlink>
    </w:p>
    <w:p w14:paraId="12794C93"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6" w:history="1">
        <w:r w:rsidR="00866D96" w:rsidRPr="00485932">
          <w:rPr>
            <w:rStyle w:val="Hyperlink"/>
          </w:rPr>
          <w:t>Table 11: Fuel use distribution</w:t>
        </w:r>
        <w:r w:rsidR="00866D96">
          <w:rPr>
            <w:webHidden/>
          </w:rPr>
          <w:tab/>
        </w:r>
        <w:r w:rsidR="00866D96">
          <w:rPr>
            <w:webHidden/>
          </w:rPr>
          <w:fldChar w:fldCharType="begin"/>
        </w:r>
        <w:r w:rsidR="00866D96">
          <w:rPr>
            <w:webHidden/>
          </w:rPr>
          <w:instrText xml:space="preserve"> PAGEREF _Toc481614996 \h </w:instrText>
        </w:r>
        <w:r w:rsidR="00866D96">
          <w:rPr>
            <w:webHidden/>
          </w:rPr>
        </w:r>
        <w:r w:rsidR="00866D96">
          <w:rPr>
            <w:webHidden/>
          </w:rPr>
          <w:fldChar w:fldCharType="separate"/>
        </w:r>
        <w:r w:rsidR="00866D96">
          <w:rPr>
            <w:webHidden/>
          </w:rPr>
          <w:t>28</w:t>
        </w:r>
        <w:r w:rsidR="00866D96">
          <w:rPr>
            <w:webHidden/>
          </w:rPr>
          <w:fldChar w:fldCharType="end"/>
        </w:r>
      </w:hyperlink>
    </w:p>
    <w:p w14:paraId="527B62B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7" w:history="1">
        <w:r w:rsidR="00866D96" w:rsidRPr="00485932">
          <w:rPr>
            <w:rStyle w:val="Hyperlink"/>
          </w:rPr>
          <w:t>Table 12: Proposed targets for Energy Access through 2030</w:t>
        </w:r>
        <w:r w:rsidR="00866D96">
          <w:rPr>
            <w:webHidden/>
          </w:rPr>
          <w:tab/>
        </w:r>
        <w:r w:rsidR="00866D96">
          <w:rPr>
            <w:webHidden/>
          </w:rPr>
          <w:fldChar w:fldCharType="begin"/>
        </w:r>
        <w:r w:rsidR="00866D96">
          <w:rPr>
            <w:webHidden/>
          </w:rPr>
          <w:instrText xml:space="preserve"> PAGEREF _Toc481614997 \h </w:instrText>
        </w:r>
        <w:r w:rsidR="00866D96">
          <w:rPr>
            <w:webHidden/>
          </w:rPr>
        </w:r>
        <w:r w:rsidR="00866D96">
          <w:rPr>
            <w:webHidden/>
          </w:rPr>
          <w:fldChar w:fldCharType="separate"/>
        </w:r>
        <w:r w:rsidR="00866D96">
          <w:rPr>
            <w:webHidden/>
          </w:rPr>
          <w:t>31</w:t>
        </w:r>
        <w:r w:rsidR="00866D96">
          <w:rPr>
            <w:webHidden/>
          </w:rPr>
          <w:fldChar w:fldCharType="end"/>
        </w:r>
      </w:hyperlink>
    </w:p>
    <w:p w14:paraId="6286F2FA"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8" w:history="1">
        <w:r w:rsidR="00866D96" w:rsidRPr="00485932">
          <w:rPr>
            <w:rStyle w:val="Hyperlink"/>
          </w:rPr>
          <w:t>Table 13: Customers connected to electricity in Malawi (2015)</w:t>
        </w:r>
        <w:r w:rsidR="00866D96">
          <w:rPr>
            <w:webHidden/>
          </w:rPr>
          <w:tab/>
        </w:r>
        <w:r w:rsidR="00866D96">
          <w:rPr>
            <w:webHidden/>
          </w:rPr>
          <w:fldChar w:fldCharType="begin"/>
        </w:r>
        <w:r w:rsidR="00866D96">
          <w:rPr>
            <w:webHidden/>
          </w:rPr>
          <w:instrText xml:space="preserve"> PAGEREF _Toc481614998 \h </w:instrText>
        </w:r>
        <w:r w:rsidR="00866D96">
          <w:rPr>
            <w:webHidden/>
          </w:rPr>
        </w:r>
        <w:r w:rsidR="00866D96">
          <w:rPr>
            <w:webHidden/>
          </w:rPr>
          <w:fldChar w:fldCharType="separate"/>
        </w:r>
        <w:r w:rsidR="00866D96">
          <w:rPr>
            <w:webHidden/>
          </w:rPr>
          <w:t>33</w:t>
        </w:r>
        <w:r w:rsidR="00866D96">
          <w:rPr>
            <w:webHidden/>
          </w:rPr>
          <w:fldChar w:fldCharType="end"/>
        </w:r>
      </w:hyperlink>
    </w:p>
    <w:p w14:paraId="6E243B4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4999" w:history="1">
        <w:r w:rsidR="00866D96" w:rsidRPr="00485932">
          <w:rPr>
            <w:rStyle w:val="Hyperlink"/>
          </w:rPr>
          <w:t>Table 14: Access rates</w:t>
        </w:r>
        <w:r w:rsidR="00866D96">
          <w:rPr>
            <w:webHidden/>
          </w:rPr>
          <w:tab/>
        </w:r>
        <w:r w:rsidR="00866D96">
          <w:rPr>
            <w:webHidden/>
          </w:rPr>
          <w:fldChar w:fldCharType="begin"/>
        </w:r>
        <w:r w:rsidR="00866D96">
          <w:rPr>
            <w:webHidden/>
          </w:rPr>
          <w:instrText xml:space="preserve"> PAGEREF _Toc481614999 \h </w:instrText>
        </w:r>
        <w:r w:rsidR="00866D96">
          <w:rPr>
            <w:webHidden/>
          </w:rPr>
        </w:r>
        <w:r w:rsidR="00866D96">
          <w:rPr>
            <w:webHidden/>
          </w:rPr>
          <w:fldChar w:fldCharType="separate"/>
        </w:r>
        <w:r w:rsidR="00866D96">
          <w:rPr>
            <w:webHidden/>
          </w:rPr>
          <w:t>33</w:t>
        </w:r>
        <w:r w:rsidR="00866D96">
          <w:rPr>
            <w:webHidden/>
          </w:rPr>
          <w:fldChar w:fldCharType="end"/>
        </w:r>
      </w:hyperlink>
    </w:p>
    <w:p w14:paraId="7F02360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0" w:history="1">
        <w:r w:rsidR="00866D96" w:rsidRPr="00485932">
          <w:rPr>
            <w:rStyle w:val="Hyperlink"/>
          </w:rPr>
          <w:t>Table 15: Grid extension targets – SE4ALL</w:t>
        </w:r>
        <w:r w:rsidR="00866D96">
          <w:rPr>
            <w:webHidden/>
          </w:rPr>
          <w:tab/>
        </w:r>
        <w:r w:rsidR="00866D96">
          <w:rPr>
            <w:webHidden/>
          </w:rPr>
          <w:fldChar w:fldCharType="begin"/>
        </w:r>
        <w:r w:rsidR="00866D96">
          <w:rPr>
            <w:webHidden/>
          </w:rPr>
          <w:instrText xml:space="preserve"> PAGEREF _Toc481615000 \h </w:instrText>
        </w:r>
        <w:r w:rsidR="00866D96">
          <w:rPr>
            <w:webHidden/>
          </w:rPr>
        </w:r>
        <w:r w:rsidR="00866D96">
          <w:rPr>
            <w:webHidden/>
          </w:rPr>
          <w:fldChar w:fldCharType="separate"/>
        </w:r>
        <w:r w:rsidR="00866D96">
          <w:rPr>
            <w:webHidden/>
          </w:rPr>
          <w:t>34</w:t>
        </w:r>
        <w:r w:rsidR="00866D96">
          <w:rPr>
            <w:webHidden/>
          </w:rPr>
          <w:fldChar w:fldCharType="end"/>
        </w:r>
      </w:hyperlink>
    </w:p>
    <w:p w14:paraId="12DFAFD8"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1" w:history="1">
        <w:r w:rsidR="00866D96" w:rsidRPr="00485932">
          <w:rPr>
            <w:rStyle w:val="Hyperlink"/>
          </w:rPr>
          <w:t>Table 16: Grid extension targets - BAU</w:t>
        </w:r>
        <w:r w:rsidR="00866D96">
          <w:rPr>
            <w:webHidden/>
          </w:rPr>
          <w:tab/>
        </w:r>
        <w:r w:rsidR="00866D96">
          <w:rPr>
            <w:webHidden/>
          </w:rPr>
          <w:fldChar w:fldCharType="begin"/>
        </w:r>
        <w:r w:rsidR="00866D96">
          <w:rPr>
            <w:webHidden/>
          </w:rPr>
          <w:instrText xml:space="preserve"> PAGEREF _Toc481615001 \h </w:instrText>
        </w:r>
        <w:r w:rsidR="00866D96">
          <w:rPr>
            <w:webHidden/>
          </w:rPr>
        </w:r>
        <w:r w:rsidR="00866D96">
          <w:rPr>
            <w:webHidden/>
          </w:rPr>
          <w:fldChar w:fldCharType="separate"/>
        </w:r>
        <w:r w:rsidR="00866D96">
          <w:rPr>
            <w:webHidden/>
          </w:rPr>
          <w:t>34</w:t>
        </w:r>
        <w:r w:rsidR="00866D96">
          <w:rPr>
            <w:webHidden/>
          </w:rPr>
          <w:fldChar w:fldCharType="end"/>
        </w:r>
      </w:hyperlink>
    </w:p>
    <w:p w14:paraId="2A69AA5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2" w:history="1">
        <w:r w:rsidR="00866D96" w:rsidRPr="00485932">
          <w:rPr>
            <w:rStyle w:val="Hyperlink"/>
          </w:rPr>
          <w:t>Table 17: Grid extension targets - Gap</w:t>
        </w:r>
        <w:r w:rsidR="00866D96">
          <w:rPr>
            <w:webHidden/>
          </w:rPr>
          <w:tab/>
        </w:r>
        <w:r w:rsidR="00866D96">
          <w:rPr>
            <w:webHidden/>
          </w:rPr>
          <w:fldChar w:fldCharType="begin"/>
        </w:r>
        <w:r w:rsidR="00866D96">
          <w:rPr>
            <w:webHidden/>
          </w:rPr>
          <w:instrText xml:space="preserve"> PAGEREF _Toc481615002 \h </w:instrText>
        </w:r>
        <w:r w:rsidR="00866D96">
          <w:rPr>
            <w:webHidden/>
          </w:rPr>
        </w:r>
        <w:r w:rsidR="00866D96">
          <w:rPr>
            <w:webHidden/>
          </w:rPr>
          <w:fldChar w:fldCharType="separate"/>
        </w:r>
        <w:r w:rsidR="00866D96">
          <w:rPr>
            <w:webHidden/>
          </w:rPr>
          <w:t>35</w:t>
        </w:r>
        <w:r w:rsidR="00866D96">
          <w:rPr>
            <w:webHidden/>
          </w:rPr>
          <w:fldChar w:fldCharType="end"/>
        </w:r>
      </w:hyperlink>
    </w:p>
    <w:p w14:paraId="32B8A04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3" w:history="1">
        <w:r w:rsidR="00866D96" w:rsidRPr="00485932">
          <w:rPr>
            <w:rStyle w:val="Hyperlink"/>
          </w:rPr>
          <w:t>Table 18: Off grid targets</w:t>
        </w:r>
        <w:r w:rsidR="00866D96">
          <w:rPr>
            <w:webHidden/>
          </w:rPr>
          <w:tab/>
        </w:r>
        <w:r w:rsidR="00866D96">
          <w:rPr>
            <w:webHidden/>
          </w:rPr>
          <w:fldChar w:fldCharType="begin"/>
        </w:r>
        <w:r w:rsidR="00866D96">
          <w:rPr>
            <w:webHidden/>
          </w:rPr>
          <w:instrText xml:space="preserve"> PAGEREF _Toc481615003 \h </w:instrText>
        </w:r>
        <w:r w:rsidR="00866D96">
          <w:rPr>
            <w:webHidden/>
          </w:rPr>
        </w:r>
        <w:r w:rsidR="00866D96">
          <w:rPr>
            <w:webHidden/>
          </w:rPr>
          <w:fldChar w:fldCharType="separate"/>
        </w:r>
        <w:r w:rsidR="00866D96">
          <w:rPr>
            <w:webHidden/>
          </w:rPr>
          <w:t>37</w:t>
        </w:r>
        <w:r w:rsidR="00866D96">
          <w:rPr>
            <w:webHidden/>
          </w:rPr>
          <w:fldChar w:fldCharType="end"/>
        </w:r>
      </w:hyperlink>
    </w:p>
    <w:p w14:paraId="6FE9810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4" w:history="1">
        <w:r w:rsidR="00866D96" w:rsidRPr="00485932">
          <w:rPr>
            <w:rStyle w:val="Hyperlink"/>
          </w:rPr>
          <w:t>Table 19: Installed Electric Generation Units, MW, 2014</w:t>
        </w:r>
        <w:r w:rsidR="00866D96">
          <w:rPr>
            <w:webHidden/>
          </w:rPr>
          <w:tab/>
        </w:r>
        <w:r w:rsidR="00866D96">
          <w:rPr>
            <w:webHidden/>
          </w:rPr>
          <w:fldChar w:fldCharType="begin"/>
        </w:r>
        <w:r w:rsidR="00866D96">
          <w:rPr>
            <w:webHidden/>
          </w:rPr>
          <w:instrText xml:space="preserve"> PAGEREF _Toc481615004 \h </w:instrText>
        </w:r>
        <w:r w:rsidR="00866D96">
          <w:rPr>
            <w:webHidden/>
          </w:rPr>
        </w:r>
        <w:r w:rsidR="00866D96">
          <w:rPr>
            <w:webHidden/>
          </w:rPr>
          <w:fldChar w:fldCharType="separate"/>
        </w:r>
        <w:r w:rsidR="00866D96">
          <w:rPr>
            <w:webHidden/>
          </w:rPr>
          <w:t>39</w:t>
        </w:r>
        <w:r w:rsidR="00866D96">
          <w:rPr>
            <w:webHidden/>
          </w:rPr>
          <w:fldChar w:fldCharType="end"/>
        </w:r>
      </w:hyperlink>
    </w:p>
    <w:p w14:paraId="6C0712EC"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5" w:history="1">
        <w:r w:rsidR="00866D96" w:rsidRPr="00485932">
          <w:rPr>
            <w:rStyle w:val="Hyperlink"/>
          </w:rPr>
          <w:t>Table 20: Government-Planned Electricity Generation Projects Planned for 2015 - 2025</w:t>
        </w:r>
        <w:r w:rsidR="00866D96">
          <w:rPr>
            <w:webHidden/>
          </w:rPr>
          <w:tab/>
        </w:r>
        <w:r w:rsidR="00866D96">
          <w:rPr>
            <w:webHidden/>
          </w:rPr>
          <w:fldChar w:fldCharType="begin"/>
        </w:r>
        <w:r w:rsidR="00866D96">
          <w:rPr>
            <w:webHidden/>
          </w:rPr>
          <w:instrText xml:space="preserve"> PAGEREF _Toc481615005 \h </w:instrText>
        </w:r>
        <w:r w:rsidR="00866D96">
          <w:rPr>
            <w:webHidden/>
          </w:rPr>
        </w:r>
        <w:r w:rsidR="00866D96">
          <w:rPr>
            <w:webHidden/>
          </w:rPr>
          <w:fldChar w:fldCharType="separate"/>
        </w:r>
        <w:r w:rsidR="00866D96">
          <w:rPr>
            <w:webHidden/>
          </w:rPr>
          <w:t>40</w:t>
        </w:r>
        <w:r w:rsidR="00866D96">
          <w:rPr>
            <w:webHidden/>
          </w:rPr>
          <w:fldChar w:fldCharType="end"/>
        </w:r>
      </w:hyperlink>
    </w:p>
    <w:p w14:paraId="666DE8D5"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6" w:history="1">
        <w:r w:rsidR="00866D96" w:rsidRPr="00485932">
          <w:rPr>
            <w:rStyle w:val="Hyperlink"/>
          </w:rPr>
          <w:t>Table 21: Pipeline of Independent Power Projects (November 2015)</w:t>
        </w:r>
        <w:r w:rsidR="00866D96">
          <w:rPr>
            <w:webHidden/>
          </w:rPr>
          <w:tab/>
        </w:r>
        <w:r w:rsidR="00866D96">
          <w:rPr>
            <w:webHidden/>
          </w:rPr>
          <w:fldChar w:fldCharType="begin"/>
        </w:r>
        <w:r w:rsidR="00866D96">
          <w:rPr>
            <w:webHidden/>
          </w:rPr>
          <w:instrText xml:space="preserve"> PAGEREF _Toc481615006 \h </w:instrText>
        </w:r>
        <w:r w:rsidR="00866D96">
          <w:rPr>
            <w:webHidden/>
          </w:rPr>
        </w:r>
        <w:r w:rsidR="00866D96">
          <w:rPr>
            <w:webHidden/>
          </w:rPr>
          <w:fldChar w:fldCharType="separate"/>
        </w:r>
        <w:r w:rsidR="00866D96">
          <w:rPr>
            <w:webHidden/>
          </w:rPr>
          <w:t>43</w:t>
        </w:r>
        <w:r w:rsidR="00866D96">
          <w:rPr>
            <w:webHidden/>
          </w:rPr>
          <w:fldChar w:fldCharType="end"/>
        </w:r>
      </w:hyperlink>
    </w:p>
    <w:p w14:paraId="218A326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7" w:history="1">
        <w:r w:rsidR="00866D96" w:rsidRPr="00485932">
          <w:rPr>
            <w:rStyle w:val="Hyperlink"/>
          </w:rPr>
          <w:t>Table 22: Malawi Energy intensity Btu/2005 US Dollar of GDP</w:t>
        </w:r>
        <w:r w:rsidR="00866D96">
          <w:rPr>
            <w:webHidden/>
          </w:rPr>
          <w:tab/>
        </w:r>
        <w:r w:rsidR="00866D96">
          <w:rPr>
            <w:webHidden/>
          </w:rPr>
          <w:fldChar w:fldCharType="begin"/>
        </w:r>
        <w:r w:rsidR="00866D96">
          <w:rPr>
            <w:webHidden/>
          </w:rPr>
          <w:instrText xml:space="preserve"> PAGEREF _Toc481615007 \h </w:instrText>
        </w:r>
        <w:r w:rsidR="00866D96">
          <w:rPr>
            <w:webHidden/>
          </w:rPr>
        </w:r>
        <w:r w:rsidR="00866D96">
          <w:rPr>
            <w:webHidden/>
          </w:rPr>
          <w:fldChar w:fldCharType="separate"/>
        </w:r>
        <w:r w:rsidR="00866D96">
          <w:rPr>
            <w:webHidden/>
          </w:rPr>
          <w:t>47</w:t>
        </w:r>
        <w:r w:rsidR="00866D96">
          <w:rPr>
            <w:webHidden/>
          </w:rPr>
          <w:fldChar w:fldCharType="end"/>
        </w:r>
      </w:hyperlink>
    </w:p>
    <w:p w14:paraId="4DBBAEDF"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8" w:history="1">
        <w:r w:rsidR="00866D96" w:rsidRPr="00485932">
          <w:rPr>
            <w:rStyle w:val="Hyperlink"/>
          </w:rPr>
          <w:t>Table 23: ESCOM current electricity tariff</w:t>
        </w:r>
        <w:r w:rsidR="00866D96">
          <w:rPr>
            <w:webHidden/>
          </w:rPr>
          <w:tab/>
        </w:r>
        <w:r w:rsidR="00866D96">
          <w:rPr>
            <w:webHidden/>
          </w:rPr>
          <w:fldChar w:fldCharType="begin"/>
        </w:r>
        <w:r w:rsidR="00866D96">
          <w:rPr>
            <w:webHidden/>
          </w:rPr>
          <w:instrText xml:space="preserve"> PAGEREF _Toc481615008 \h </w:instrText>
        </w:r>
        <w:r w:rsidR="00866D96">
          <w:rPr>
            <w:webHidden/>
          </w:rPr>
        </w:r>
        <w:r w:rsidR="00866D96">
          <w:rPr>
            <w:webHidden/>
          </w:rPr>
          <w:fldChar w:fldCharType="separate"/>
        </w:r>
        <w:r w:rsidR="00866D96">
          <w:rPr>
            <w:webHidden/>
          </w:rPr>
          <w:t>48</w:t>
        </w:r>
        <w:r w:rsidR="00866D96">
          <w:rPr>
            <w:webHidden/>
          </w:rPr>
          <w:fldChar w:fldCharType="end"/>
        </w:r>
      </w:hyperlink>
    </w:p>
    <w:p w14:paraId="34306F9D"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09" w:history="1">
        <w:r w:rsidR="00866D96" w:rsidRPr="00485932">
          <w:rPr>
            <w:rStyle w:val="Hyperlink"/>
          </w:rPr>
          <w:t>Table 24: Malawi target energy intensity projection 2015-2030</w:t>
        </w:r>
        <w:r w:rsidR="00866D96">
          <w:rPr>
            <w:webHidden/>
          </w:rPr>
          <w:tab/>
        </w:r>
        <w:r w:rsidR="00866D96">
          <w:rPr>
            <w:webHidden/>
          </w:rPr>
          <w:fldChar w:fldCharType="begin"/>
        </w:r>
        <w:r w:rsidR="00866D96">
          <w:rPr>
            <w:webHidden/>
          </w:rPr>
          <w:instrText xml:space="preserve"> PAGEREF _Toc481615009 \h </w:instrText>
        </w:r>
        <w:r w:rsidR="00866D96">
          <w:rPr>
            <w:webHidden/>
          </w:rPr>
        </w:r>
        <w:r w:rsidR="00866D96">
          <w:rPr>
            <w:webHidden/>
          </w:rPr>
          <w:fldChar w:fldCharType="separate"/>
        </w:r>
        <w:r w:rsidR="00866D96">
          <w:rPr>
            <w:webHidden/>
          </w:rPr>
          <w:t>52</w:t>
        </w:r>
        <w:r w:rsidR="00866D96">
          <w:rPr>
            <w:webHidden/>
          </w:rPr>
          <w:fldChar w:fldCharType="end"/>
        </w:r>
      </w:hyperlink>
    </w:p>
    <w:p w14:paraId="4136A244"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0" w:history="1">
        <w:r w:rsidR="00866D96" w:rsidRPr="00485932">
          <w:rPr>
            <w:rStyle w:val="Hyperlink"/>
          </w:rPr>
          <w:t>Table 25: Target number of solar powered water heaters by 2030</w:t>
        </w:r>
        <w:r w:rsidR="00866D96">
          <w:rPr>
            <w:webHidden/>
          </w:rPr>
          <w:tab/>
        </w:r>
        <w:r w:rsidR="00866D96">
          <w:rPr>
            <w:webHidden/>
          </w:rPr>
          <w:fldChar w:fldCharType="begin"/>
        </w:r>
        <w:r w:rsidR="00866D96">
          <w:rPr>
            <w:webHidden/>
          </w:rPr>
          <w:instrText xml:space="preserve"> PAGEREF _Toc481615010 \h </w:instrText>
        </w:r>
        <w:r w:rsidR="00866D96">
          <w:rPr>
            <w:webHidden/>
          </w:rPr>
        </w:r>
        <w:r w:rsidR="00866D96">
          <w:rPr>
            <w:webHidden/>
          </w:rPr>
          <w:fldChar w:fldCharType="separate"/>
        </w:r>
        <w:r w:rsidR="00866D96">
          <w:rPr>
            <w:webHidden/>
          </w:rPr>
          <w:t>52</w:t>
        </w:r>
        <w:r w:rsidR="00866D96">
          <w:rPr>
            <w:webHidden/>
          </w:rPr>
          <w:fldChar w:fldCharType="end"/>
        </w:r>
      </w:hyperlink>
    </w:p>
    <w:p w14:paraId="67FBE870"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1" w:history="1">
        <w:r w:rsidR="00866D96" w:rsidRPr="00485932">
          <w:rPr>
            <w:rStyle w:val="Hyperlink"/>
          </w:rPr>
          <w:t>Table 26: Target for pre-paid/smart meters installations</w:t>
        </w:r>
        <w:r w:rsidR="00866D96">
          <w:rPr>
            <w:webHidden/>
          </w:rPr>
          <w:tab/>
        </w:r>
        <w:r w:rsidR="00866D96">
          <w:rPr>
            <w:webHidden/>
          </w:rPr>
          <w:fldChar w:fldCharType="begin"/>
        </w:r>
        <w:r w:rsidR="00866D96">
          <w:rPr>
            <w:webHidden/>
          </w:rPr>
          <w:instrText xml:space="preserve"> PAGEREF _Toc481615011 \h </w:instrText>
        </w:r>
        <w:r w:rsidR="00866D96">
          <w:rPr>
            <w:webHidden/>
          </w:rPr>
        </w:r>
        <w:r w:rsidR="00866D96">
          <w:rPr>
            <w:webHidden/>
          </w:rPr>
          <w:fldChar w:fldCharType="separate"/>
        </w:r>
        <w:r w:rsidR="00866D96">
          <w:rPr>
            <w:webHidden/>
          </w:rPr>
          <w:t>53</w:t>
        </w:r>
        <w:r w:rsidR="00866D96">
          <w:rPr>
            <w:webHidden/>
          </w:rPr>
          <w:fldChar w:fldCharType="end"/>
        </w:r>
      </w:hyperlink>
    </w:p>
    <w:p w14:paraId="4610F371"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2" w:history="1">
        <w:r w:rsidR="00866D96" w:rsidRPr="00485932">
          <w:rPr>
            <w:rStyle w:val="Hyperlink"/>
          </w:rPr>
          <w:t>Table 27: Target number of efficient bulbs</w:t>
        </w:r>
        <w:r w:rsidR="00866D96">
          <w:rPr>
            <w:webHidden/>
          </w:rPr>
          <w:tab/>
        </w:r>
        <w:r w:rsidR="00866D96">
          <w:rPr>
            <w:webHidden/>
          </w:rPr>
          <w:fldChar w:fldCharType="begin"/>
        </w:r>
        <w:r w:rsidR="00866D96">
          <w:rPr>
            <w:webHidden/>
          </w:rPr>
          <w:instrText xml:space="preserve"> PAGEREF _Toc481615012 \h </w:instrText>
        </w:r>
        <w:r w:rsidR="00866D96">
          <w:rPr>
            <w:webHidden/>
          </w:rPr>
        </w:r>
        <w:r w:rsidR="00866D96">
          <w:rPr>
            <w:webHidden/>
          </w:rPr>
          <w:fldChar w:fldCharType="separate"/>
        </w:r>
        <w:r w:rsidR="00866D96">
          <w:rPr>
            <w:webHidden/>
          </w:rPr>
          <w:t>53</w:t>
        </w:r>
        <w:r w:rsidR="00866D96">
          <w:rPr>
            <w:webHidden/>
          </w:rPr>
          <w:fldChar w:fldCharType="end"/>
        </w:r>
      </w:hyperlink>
    </w:p>
    <w:p w14:paraId="13581F54"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3" w:history="1">
        <w:r w:rsidR="00866D96" w:rsidRPr="00485932">
          <w:rPr>
            <w:rStyle w:val="Hyperlink"/>
          </w:rPr>
          <w:t>Table 28: Efficient tobacco curing barns target</w:t>
        </w:r>
        <w:r w:rsidR="00866D96">
          <w:rPr>
            <w:webHidden/>
          </w:rPr>
          <w:tab/>
        </w:r>
        <w:r w:rsidR="00866D96">
          <w:rPr>
            <w:webHidden/>
          </w:rPr>
          <w:fldChar w:fldCharType="begin"/>
        </w:r>
        <w:r w:rsidR="00866D96">
          <w:rPr>
            <w:webHidden/>
          </w:rPr>
          <w:instrText xml:space="preserve"> PAGEREF _Toc481615013 \h </w:instrText>
        </w:r>
        <w:r w:rsidR="00866D96">
          <w:rPr>
            <w:webHidden/>
          </w:rPr>
        </w:r>
        <w:r w:rsidR="00866D96">
          <w:rPr>
            <w:webHidden/>
          </w:rPr>
          <w:fldChar w:fldCharType="separate"/>
        </w:r>
        <w:r w:rsidR="00866D96">
          <w:rPr>
            <w:webHidden/>
          </w:rPr>
          <w:t>53</w:t>
        </w:r>
        <w:r w:rsidR="00866D96">
          <w:rPr>
            <w:webHidden/>
          </w:rPr>
          <w:fldChar w:fldCharType="end"/>
        </w:r>
      </w:hyperlink>
    </w:p>
    <w:p w14:paraId="36B694DC"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4" w:history="1">
        <w:r w:rsidR="00866D96" w:rsidRPr="00485932">
          <w:rPr>
            <w:rStyle w:val="Hyperlink"/>
          </w:rPr>
          <w:t>Table 29: Transmission and distribution losses targets</w:t>
        </w:r>
        <w:r w:rsidR="00866D96">
          <w:rPr>
            <w:webHidden/>
          </w:rPr>
          <w:tab/>
        </w:r>
        <w:r w:rsidR="00866D96">
          <w:rPr>
            <w:webHidden/>
          </w:rPr>
          <w:fldChar w:fldCharType="begin"/>
        </w:r>
        <w:r w:rsidR="00866D96">
          <w:rPr>
            <w:webHidden/>
          </w:rPr>
          <w:instrText xml:space="preserve"> PAGEREF _Toc481615014 \h </w:instrText>
        </w:r>
        <w:r w:rsidR="00866D96">
          <w:rPr>
            <w:webHidden/>
          </w:rPr>
        </w:r>
        <w:r w:rsidR="00866D96">
          <w:rPr>
            <w:webHidden/>
          </w:rPr>
          <w:fldChar w:fldCharType="separate"/>
        </w:r>
        <w:r w:rsidR="00866D96">
          <w:rPr>
            <w:webHidden/>
          </w:rPr>
          <w:t>54</w:t>
        </w:r>
        <w:r w:rsidR="00866D96">
          <w:rPr>
            <w:webHidden/>
          </w:rPr>
          <w:fldChar w:fldCharType="end"/>
        </w:r>
      </w:hyperlink>
    </w:p>
    <w:p w14:paraId="1579905E"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5" w:history="1">
        <w:r w:rsidR="00866D96" w:rsidRPr="00485932">
          <w:rPr>
            <w:rStyle w:val="Hyperlink"/>
          </w:rPr>
          <w:t>Table 30: Malawi ethanol production since 2007 and projections to 2030</w:t>
        </w:r>
        <w:r w:rsidR="00866D96">
          <w:rPr>
            <w:webHidden/>
          </w:rPr>
          <w:tab/>
        </w:r>
        <w:r w:rsidR="00866D96">
          <w:rPr>
            <w:webHidden/>
          </w:rPr>
          <w:fldChar w:fldCharType="begin"/>
        </w:r>
        <w:r w:rsidR="00866D96">
          <w:rPr>
            <w:webHidden/>
          </w:rPr>
          <w:instrText xml:space="preserve"> PAGEREF _Toc481615015 \h </w:instrText>
        </w:r>
        <w:r w:rsidR="00866D96">
          <w:rPr>
            <w:webHidden/>
          </w:rPr>
        </w:r>
        <w:r w:rsidR="00866D96">
          <w:rPr>
            <w:webHidden/>
          </w:rPr>
          <w:fldChar w:fldCharType="separate"/>
        </w:r>
        <w:r w:rsidR="00866D96">
          <w:rPr>
            <w:webHidden/>
          </w:rPr>
          <w:t>56</w:t>
        </w:r>
        <w:r w:rsidR="00866D96">
          <w:rPr>
            <w:webHidden/>
          </w:rPr>
          <w:fldChar w:fldCharType="end"/>
        </w:r>
      </w:hyperlink>
    </w:p>
    <w:p w14:paraId="73A434D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6" w:history="1">
        <w:r w:rsidR="00866D96" w:rsidRPr="00485932">
          <w:rPr>
            <w:rStyle w:val="Hyperlink"/>
          </w:rPr>
          <w:t>Table 31: Population of road vehicles in urban areas, in 2014, by type of vehicle</w:t>
        </w:r>
        <w:r w:rsidR="00866D96">
          <w:rPr>
            <w:webHidden/>
          </w:rPr>
          <w:tab/>
        </w:r>
        <w:r w:rsidR="00866D96">
          <w:rPr>
            <w:webHidden/>
          </w:rPr>
          <w:fldChar w:fldCharType="begin"/>
        </w:r>
        <w:r w:rsidR="00866D96">
          <w:rPr>
            <w:webHidden/>
          </w:rPr>
          <w:instrText xml:space="preserve"> PAGEREF _Toc481615016 \h </w:instrText>
        </w:r>
        <w:r w:rsidR="00866D96">
          <w:rPr>
            <w:webHidden/>
          </w:rPr>
        </w:r>
        <w:r w:rsidR="00866D96">
          <w:rPr>
            <w:webHidden/>
          </w:rPr>
          <w:fldChar w:fldCharType="separate"/>
        </w:r>
        <w:r w:rsidR="00866D96">
          <w:rPr>
            <w:webHidden/>
          </w:rPr>
          <w:t>61</w:t>
        </w:r>
        <w:r w:rsidR="00866D96">
          <w:rPr>
            <w:webHidden/>
          </w:rPr>
          <w:fldChar w:fldCharType="end"/>
        </w:r>
      </w:hyperlink>
    </w:p>
    <w:p w14:paraId="7D8B51D9"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7" w:history="1">
        <w:r w:rsidR="00866D96" w:rsidRPr="00485932">
          <w:rPr>
            <w:rStyle w:val="Hyperlink"/>
          </w:rPr>
          <w:t>Table 32: Relevant nexus targets</w:t>
        </w:r>
        <w:r w:rsidR="00866D96">
          <w:rPr>
            <w:webHidden/>
          </w:rPr>
          <w:tab/>
        </w:r>
        <w:r w:rsidR="00866D96">
          <w:rPr>
            <w:webHidden/>
          </w:rPr>
          <w:fldChar w:fldCharType="begin"/>
        </w:r>
        <w:r w:rsidR="00866D96">
          <w:rPr>
            <w:webHidden/>
          </w:rPr>
          <w:instrText xml:space="preserve"> PAGEREF _Toc481615017 \h </w:instrText>
        </w:r>
        <w:r w:rsidR="00866D96">
          <w:rPr>
            <w:webHidden/>
          </w:rPr>
        </w:r>
        <w:r w:rsidR="00866D96">
          <w:rPr>
            <w:webHidden/>
          </w:rPr>
          <w:fldChar w:fldCharType="separate"/>
        </w:r>
        <w:r w:rsidR="00866D96">
          <w:rPr>
            <w:webHidden/>
          </w:rPr>
          <w:t>66</w:t>
        </w:r>
        <w:r w:rsidR="00866D96">
          <w:rPr>
            <w:webHidden/>
          </w:rPr>
          <w:fldChar w:fldCharType="end"/>
        </w:r>
      </w:hyperlink>
    </w:p>
    <w:p w14:paraId="64CFF1E2"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8" w:history="1">
        <w:r w:rsidR="00866D96" w:rsidRPr="00485932">
          <w:rPr>
            <w:rStyle w:val="Hyperlink"/>
          </w:rPr>
          <w:t>Table 33: Summary of priority actions on Energy Access</w:t>
        </w:r>
        <w:r w:rsidR="00866D96">
          <w:rPr>
            <w:webHidden/>
          </w:rPr>
          <w:tab/>
        </w:r>
        <w:r w:rsidR="00866D96">
          <w:rPr>
            <w:webHidden/>
          </w:rPr>
          <w:fldChar w:fldCharType="begin"/>
        </w:r>
        <w:r w:rsidR="00866D96">
          <w:rPr>
            <w:webHidden/>
          </w:rPr>
          <w:instrText xml:space="preserve"> PAGEREF _Toc481615018 \h </w:instrText>
        </w:r>
        <w:r w:rsidR="00866D96">
          <w:rPr>
            <w:webHidden/>
          </w:rPr>
        </w:r>
        <w:r w:rsidR="00866D96">
          <w:rPr>
            <w:webHidden/>
          </w:rPr>
          <w:fldChar w:fldCharType="separate"/>
        </w:r>
        <w:r w:rsidR="00866D96">
          <w:rPr>
            <w:webHidden/>
          </w:rPr>
          <w:t>71</w:t>
        </w:r>
        <w:r w:rsidR="00866D96">
          <w:rPr>
            <w:webHidden/>
          </w:rPr>
          <w:fldChar w:fldCharType="end"/>
        </w:r>
      </w:hyperlink>
    </w:p>
    <w:p w14:paraId="187F554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19" w:history="1">
        <w:r w:rsidR="00866D96" w:rsidRPr="00485932">
          <w:rPr>
            <w:rStyle w:val="Hyperlink"/>
          </w:rPr>
          <w:t>Table 34: Summary of priority actions on Renewable Energy</w:t>
        </w:r>
        <w:r w:rsidR="00866D96">
          <w:rPr>
            <w:webHidden/>
          </w:rPr>
          <w:tab/>
        </w:r>
        <w:r w:rsidR="00866D96">
          <w:rPr>
            <w:webHidden/>
          </w:rPr>
          <w:fldChar w:fldCharType="begin"/>
        </w:r>
        <w:r w:rsidR="00866D96">
          <w:rPr>
            <w:webHidden/>
          </w:rPr>
          <w:instrText xml:space="preserve"> PAGEREF _Toc481615019 \h </w:instrText>
        </w:r>
        <w:r w:rsidR="00866D96">
          <w:rPr>
            <w:webHidden/>
          </w:rPr>
        </w:r>
        <w:r w:rsidR="00866D96">
          <w:rPr>
            <w:webHidden/>
          </w:rPr>
          <w:fldChar w:fldCharType="separate"/>
        </w:r>
        <w:r w:rsidR="00866D96">
          <w:rPr>
            <w:webHidden/>
          </w:rPr>
          <w:t>78</w:t>
        </w:r>
        <w:r w:rsidR="00866D96">
          <w:rPr>
            <w:webHidden/>
          </w:rPr>
          <w:fldChar w:fldCharType="end"/>
        </w:r>
      </w:hyperlink>
    </w:p>
    <w:p w14:paraId="67F74707"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0" w:history="1">
        <w:r w:rsidR="00866D96" w:rsidRPr="00485932">
          <w:rPr>
            <w:rStyle w:val="Hyperlink"/>
          </w:rPr>
          <w:t>Table 35: Summary of priority actions on Energy Efficiency</w:t>
        </w:r>
        <w:r w:rsidR="00866D96">
          <w:rPr>
            <w:webHidden/>
          </w:rPr>
          <w:tab/>
        </w:r>
        <w:r w:rsidR="00866D96">
          <w:rPr>
            <w:webHidden/>
          </w:rPr>
          <w:fldChar w:fldCharType="begin"/>
        </w:r>
        <w:r w:rsidR="00866D96">
          <w:rPr>
            <w:webHidden/>
          </w:rPr>
          <w:instrText xml:space="preserve"> PAGEREF _Toc481615020 \h </w:instrText>
        </w:r>
        <w:r w:rsidR="00866D96">
          <w:rPr>
            <w:webHidden/>
          </w:rPr>
        </w:r>
        <w:r w:rsidR="00866D96">
          <w:rPr>
            <w:webHidden/>
          </w:rPr>
          <w:fldChar w:fldCharType="separate"/>
        </w:r>
        <w:r w:rsidR="00866D96">
          <w:rPr>
            <w:webHidden/>
          </w:rPr>
          <w:t>86</w:t>
        </w:r>
        <w:r w:rsidR="00866D96">
          <w:rPr>
            <w:webHidden/>
          </w:rPr>
          <w:fldChar w:fldCharType="end"/>
        </w:r>
      </w:hyperlink>
    </w:p>
    <w:p w14:paraId="146CC744"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1" w:history="1">
        <w:r w:rsidR="00866D96" w:rsidRPr="00485932">
          <w:rPr>
            <w:rStyle w:val="Hyperlink"/>
          </w:rPr>
          <w:t>Table 36: Composition of the Biofuels Coordinating Committee</w:t>
        </w:r>
        <w:r w:rsidR="00866D96">
          <w:rPr>
            <w:webHidden/>
          </w:rPr>
          <w:tab/>
        </w:r>
        <w:r w:rsidR="00866D96">
          <w:rPr>
            <w:webHidden/>
          </w:rPr>
          <w:fldChar w:fldCharType="begin"/>
        </w:r>
        <w:r w:rsidR="00866D96">
          <w:rPr>
            <w:webHidden/>
          </w:rPr>
          <w:instrText xml:space="preserve"> PAGEREF _Toc481615021 \h </w:instrText>
        </w:r>
        <w:r w:rsidR="00866D96">
          <w:rPr>
            <w:webHidden/>
          </w:rPr>
        </w:r>
        <w:r w:rsidR="00866D96">
          <w:rPr>
            <w:webHidden/>
          </w:rPr>
          <w:fldChar w:fldCharType="separate"/>
        </w:r>
        <w:r w:rsidR="00866D96">
          <w:rPr>
            <w:webHidden/>
          </w:rPr>
          <w:t>87</w:t>
        </w:r>
        <w:r w:rsidR="00866D96">
          <w:rPr>
            <w:webHidden/>
          </w:rPr>
          <w:fldChar w:fldCharType="end"/>
        </w:r>
      </w:hyperlink>
    </w:p>
    <w:p w14:paraId="2C252883"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2" w:history="1">
        <w:r w:rsidR="00866D96" w:rsidRPr="00485932">
          <w:rPr>
            <w:rStyle w:val="Hyperlink"/>
          </w:rPr>
          <w:t>Table 37: Required land for cultivations of jatropha and sugarcane</w:t>
        </w:r>
        <w:r w:rsidR="00866D96">
          <w:rPr>
            <w:webHidden/>
          </w:rPr>
          <w:tab/>
        </w:r>
        <w:r w:rsidR="00866D96">
          <w:rPr>
            <w:webHidden/>
          </w:rPr>
          <w:fldChar w:fldCharType="begin"/>
        </w:r>
        <w:r w:rsidR="00866D96">
          <w:rPr>
            <w:webHidden/>
          </w:rPr>
          <w:instrText xml:space="preserve"> PAGEREF _Toc481615022 \h </w:instrText>
        </w:r>
        <w:r w:rsidR="00866D96">
          <w:rPr>
            <w:webHidden/>
          </w:rPr>
        </w:r>
        <w:r w:rsidR="00866D96">
          <w:rPr>
            <w:webHidden/>
          </w:rPr>
          <w:fldChar w:fldCharType="separate"/>
        </w:r>
        <w:r w:rsidR="00866D96">
          <w:rPr>
            <w:webHidden/>
          </w:rPr>
          <w:t>89</w:t>
        </w:r>
        <w:r w:rsidR="00866D96">
          <w:rPr>
            <w:webHidden/>
          </w:rPr>
          <w:fldChar w:fldCharType="end"/>
        </w:r>
      </w:hyperlink>
    </w:p>
    <w:p w14:paraId="288FF4E5"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3" w:history="1">
        <w:r w:rsidR="00866D96" w:rsidRPr="00485932">
          <w:rPr>
            <w:rStyle w:val="Hyperlink"/>
          </w:rPr>
          <w:t>Table 38: Alternative fuels priority actions</w:t>
        </w:r>
        <w:r w:rsidR="00866D96">
          <w:rPr>
            <w:webHidden/>
          </w:rPr>
          <w:tab/>
        </w:r>
        <w:r w:rsidR="00866D96">
          <w:rPr>
            <w:webHidden/>
          </w:rPr>
          <w:fldChar w:fldCharType="begin"/>
        </w:r>
        <w:r w:rsidR="00866D96">
          <w:rPr>
            <w:webHidden/>
          </w:rPr>
          <w:instrText xml:space="preserve"> PAGEREF _Toc481615023 \h </w:instrText>
        </w:r>
        <w:r w:rsidR="00866D96">
          <w:rPr>
            <w:webHidden/>
          </w:rPr>
        </w:r>
        <w:r w:rsidR="00866D96">
          <w:rPr>
            <w:webHidden/>
          </w:rPr>
          <w:fldChar w:fldCharType="separate"/>
        </w:r>
        <w:r w:rsidR="00866D96">
          <w:rPr>
            <w:webHidden/>
          </w:rPr>
          <w:t>91</w:t>
        </w:r>
        <w:r w:rsidR="00866D96">
          <w:rPr>
            <w:webHidden/>
          </w:rPr>
          <w:fldChar w:fldCharType="end"/>
        </w:r>
      </w:hyperlink>
    </w:p>
    <w:p w14:paraId="35B2BDB9"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4" w:history="1">
        <w:r w:rsidR="00866D96" w:rsidRPr="00485932">
          <w:rPr>
            <w:rStyle w:val="Hyperlink"/>
          </w:rPr>
          <w:t>Table 39: Composition of the Urban Transportation Coordinating Committee</w:t>
        </w:r>
        <w:r w:rsidR="00866D96">
          <w:rPr>
            <w:webHidden/>
          </w:rPr>
          <w:tab/>
        </w:r>
        <w:r w:rsidR="00866D96">
          <w:rPr>
            <w:webHidden/>
          </w:rPr>
          <w:fldChar w:fldCharType="begin"/>
        </w:r>
        <w:r w:rsidR="00866D96">
          <w:rPr>
            <w:webHidden/>
          </w:rPr>
          <w:instrText xml:space="preserve"> PAGEREF _Toc481615024 \h </w:instrText>
        </w:r>
        <w:r w:rsidR="00866D96">
          <w:rPr>
            <w:webHidden/>
          </w:rPr>
        </w:r>
        <w:r w:rsidR="00866D96">
          <w:rPr>
            <w:webHidden/>
          </w:rPr>
          <w:fldChar w:fldCharType="separate"/>
        </w:r>
        <w:r w:rsidR="00866D96">
          <w:rPr>
            <w:webHidden/>
          </w:rPr>
          <w:t>92</w:t>
        </w:r>
        <w:r w:rsidR="00866D96">
          <w:rPr>
            <w:webHidden/>
          </w:rPr>
          <w:fldChar w:fldCharType="end"/>
        </w:r>
      </w:hyperlink>
    </w:p>
    <w:p w14:paraId="25253574"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5" w:history="1">
        <w:r w:rsidR="00866D96" w:rsidRPr="00485932">
          <w:rPr>
            <w:rStyle w:val="Hyperlink"/>
          </w:rPr>
          <w:t>Table 40: Summary of priority actions on urban transportation</w:t>
        </w:r>
        <w:r w:rsidR="00866D96">
          <w:rPr>
            <w:webHidden/>
          </w:rPr>
          <w:tab/>
        </w:r>
        <w:r w:rsidR="00866D96">
          <w:rPr>
            <w:webHidden/>
          </w:rPr>
          <w:fldChar w:fldCharType="begin"/>
        </w:r>
        <w:r w:rsidR="00866D96">
          <w:rPr>
            <w:webHidden/>
          </w:rPr>
          <w:instrText xml:space="preserve"> PAGEREF _Toc481615025 \h </w:instrText>
        </w:r>
        <w:r w:rsidR="00866D96">
          <w:rPr>
            <w:webHidden/>
          </w:rPr>
        </w:r>
        <w:r w:rsidR="00866D96">
          <w:rPr>
            <w:webHidden/>
          </w:rPr>
          <w:fldChar w:fldCharType="separate"/>
        </w:r>
        <w:r w:rsidR="00866D96">
          <w:rPr>
            <w:webHidden/>
          </w:rPr>
          <w:t>98</w:t>
        </w:r>
        <w:r w:rsidR="00866D96">
          <w:rPr>
            <w:webHidden/>
          </w:rPr>
          <w:fldChar w:fldCharType="end"/>
        </w:r>
      </w:hyperlink>
    </w:p>
    <w:p w14:paraId="1F80756A"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6" w:history="1">
        <w:r w:rsidR="00866D96" w:rsidRPr="00485932">
          <w:rPr>
            <w:rStyle w:val="Hyperlink"/>
          </w:rPr>
          <w:t>Table 41: Illustrative list of indicators for the SE4ALL initiative</w:t>
        </w:r>
        <w:r w:rsidR="00866D96">
          <w:rPr>
            <w:webHidden/>
          </w:rPr>
          <w:tab/>
        </w:r>
        <w:r w:rsidR="00866D96">
          <w:rPr>
            <w:webHidden/>
          </w:rPr>
          <w:fldChar w:fldCharType="begin"/>
        </w:r>
        <w:r w:rsidR="00866D96">
          <w:rPr>
            <w:webHidden/>
          </w:rPr>
          <w:instrText xml:space="preserve"> PAGEREF _Toc481615026 \h </w:instrText>
        </w:r>
        <w:r w:rsidR="00866D96">
          <w:rPr>
            <w:webHidden/>
          </w:rPr>
        </w:r>
        <w:r w:rsidR="00866D96">
          <w:rPr>
            <w:webHidden/>
          </w:rPr>
          <w:fldChar w:fldCharType="separate"/>
        </w:r>
        <w:r w:rsidR="00866D96">
          <w:rPr>
            <w:webHidden/>
          </w:rPr>
          <w:t>105</w:t>
        </w:r>
        <w:r w:rsidR="00866D96">
          <w:rPr>
            <w:webHidden/>
          </w:rPr>
          <w:fldChar w:fldCharType="end"/>
        </w:r>
      </w:hyperlink>
    </w:p>
    <w:p w14:paraId="1E2527EB"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7" w:history="1">
        <w:r w:rsidR="00866D96" w:rsidRPr="00485932">
          <w:rPr>
            <w:rStyle w:val="Hyperlink"/>
          </w:rPr>
          <w:t>Table 42: Key components for Measuring Access to Household Electricity Services under the GTF</w:t>
        </w:r>
        <w:r w:rsidR="00866D96">
          <w:rPr>
            <w:webHidden/>
          </w:rPr>
          <w:tab/>
        </w:r>
        <w:r w:rsidR="00866D96">
          <w:rPr>
            <w:webHidden/>
          </w:rPr>
          <w:fldChar w:fldCharType="begin"/>
        </w:r>
        <w:r w:rsidR="00866D96">
          <w:rPr>
            <w:webHidden/>
          </w:rPr>
          <w:instrText xml:space="preserve"> PAGEREF _Toc481615027 \h </w:instrText>
        </w:r>
        <w:r w:rsidR="00866D96">
          <w:rPr>
            <w:webHidden/>
          </w:rPr>
        </w:r>
        <w:r w:rsidR="00866D96">
          <w:rPr>
            <w:webHidden/>
          </w:rPr>
          <w:fldChar w:fldCharType="separate"/>
        </w:r>
        <w:r w:rsidR="00866D96">
          <w:rPr>
            <w:webHidden/>
          </w:rPr>
          <w:t>106</w:t>
        </w:r>
        <w:r w:rsidR="00866D96">
          <w:rPr>
            <w:webHidden/>
          </w:rPr>
          <w:fldChar w:fldCharType="end"/>
        </w:r>
      </w:hyperlink>
    </w:p>
    <w:p w14:paraId="127935FF"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8" w:history="1">
        <w:r w:rsidR="00866D96" w:rsidRPr="00485932">
          <w:rPr>
            <w:rStyle w:val="Hyperlink"/>
          </w:rPr>
          <w:t>Table 43: Implementation of priority actions: Energy Access</w:t>
        </w:r>
        <w:r w:rsidR="00866D96">
          <w:rPr>
            <w:webHidden/>
          </w:rPr>
          <w:tab/>
        </w:r>
        <w:r w:rsidR="00866D96">
          <w:rPr>
            <w:webHidden/>
          </w:rPr>
          <w:fldChar w:fldCharType="begin"/>
        </w:r>
        <w:r w:rsidR="00866D96">
          <w:rPr>
            <w:webHidden/>
          </w:rPr>
          <w:instrText xml:space="preserve"> PAGEREF _Toc481615028 \h </w:instrText>
        </w:r>
        <w:r w:rsidR="00866D96">
          <w:rPr>
            <w:webHidden/>
          </w:rPr>
        </w:r>
        <w:r w:rsidR="00866D96">
          <w:rPr>
            <w:webHidden/>
          </w:rPr>
          <w:fldChar w:fldCharType="separate"/>
        </w:r>
        <w:r w:rsidR="00866D96">
          <w:rPr>
            <w:webHidden/>
          </w:rPr>
          <w:t>113</w:t>
        </w:r>
        <w:r w:rsidR="00866D96">
          <w:rPr>
            <w:webHidden/>
          </w:rPr>
          <w:fldChar w:fldCharType="end"/>
        </w:r>
      </w:hyperlink>
    </w:p>
    <w:p w14:paraId="4F192006"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29" w:history="1">
        <w:r w:rsidR="00866D96" w:rsidRPr="00485932">
          <w:rPr>
            <w:rStyle w:val="Hyperlink"/>
          </w:rPr>
          <w:t>Table 44: Implementation of priority actions: Renewable Energy</w:t>
        </w:r>
        <w:r w:rsidR="00866D96">
          <w:rPr>
            <w:webHidden/>
          </w:rPr>
          <w:tab/>
        </w:r>
        <w:r w:rsidR="00866D96">
          <w:rPr>
            <w:webHidden/>
          </w:rPr>
          <w:fldChar w:fldCharType="begin"/>
        </w:r>
        <w:r w:rsidR="00866D96">
          <w:rPr>
            <w:webHidden/>
          </w:rPr>
          <w:instrText xml:space="preserve"> PAGEREF _Toc481615029 \h </w:instrText>
        </w:r>
        <w:r w:rsidR="00866D96">
          <w:rPr>
            <w:webHidden/>
          </w:rPr>
        </w:r>
        <w:r w:rsidR="00866D96">
          <w:rPr>
            <w:webHidden/>
          </w:rPr>
          <w:fldChar w:fldCharType="separate"/>
        </w:r>
        <w:r w:rsidR="00866D96">
          <w:rPr>
            <w:webHidden/>
          </w:rPr>
          <w:t>115</w:t>
        </w:r>
        <w:r w:rsidR="00866D96">
          <w:rPr>
            <w:webHidden/>
          </w:rPr>
          <w:fldChar w:fldCharType="end"/>
        </w:r>
      </w:hyperlink>
    </w:p>
    <w:p w14:paraId="11EE5C5A"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30" w:history="1">
        <w:r w:rsidR="00866D96" w:rsidRPr="00485932">
          <w:rPr>
            <w:rStyle w:val="Hyperlink"/>
          </w:rPr>
          <w:t>Table 45: Implementation of priority actions: Energy Efficiency</w:t>
        </w:r>
        <w:r w:rsidR="00866D96">
          <w:rPr>
            <w:webHidden/>
          </w:rPr>
          <w:tab/>
        </w:r>
        <w:r w:rsidR="00866D96">
          <w:rPr>
            <w:webHidden/>
          </w:rPr>
          <w:fldChar w:fldCharType="begin"/>
        </w:r>
        <w:r w:rsidR="00866D96">
          <w:rPr>
            <w:webHidden/>
          </w:rPr>
          <w:instrText xml:space="preserve"> PAGEREF _Toc481615030 \h </w:instrText>
        </w:r>
        <w:r w:rsidR="00866D96">
          <w:rPr>
            <w:webHidden/>
          </w:rPr>
        </w:r>
        <w:r w:rsidR="00866D96">
          <w:rPr>
            <w:webHidden/>
          </w:rPr>
          <w:fldChar w:fldCharType="separate"/>
        </w:r>
        <w:r w:rsidR="00866D96">
          <w:rPr>
            <w:webHidden/>
          </w:rPr>
          <w:t>117</w:t>
        </w:r>
        <w:r w:rsidR="00866D96">
          <w:rPr>
            <w:webHidden/>
          </w:rPr>
          <w:fldChar w:fldCharType="end"/>
        </w:r>
      </w:hyperlink>
    </w:p>
    <w:p w14:paraId="005997D4"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31" w:history="1">
        <w:r w:rsidR="00866D96" w:rsidRPr="00485932">
          <w:rPr>
            <w:rStyle w:val="Hyperlink"/>
          </w:rPr>
          <w:t>Table 46: Implementation of priority actions on alternative fuels</w:t>
        </w:r>
        <w:r w:rsidR="00866D96">
          <w:rPr>
            <w:webHidden/>
          </w:rPr>
          <w:tab/>
        </w:r>
        <w:r w:rsidR="00866D96">
          <w:rPr>
            <w:webHidden/>
          </w:rPr>
          <w:fldChar w:fldCharType="begin"/>
        </w:r>
        <w:r w:rsidR="00866D96">
          <w:rPr>
            <w:webHidden/>
          </w:rPr>
          <w:instrText xml:space="preserve"> PAGEREF _Toc481615031 \h </w:instrText>
        </w:r>
        <w:r w:rsidR="00866D96">
          <w:rPr>
            <w:webHidden/>
          </w:rPr>
        </w:r>
        <w:r w:rsidR="00866D96">
          <w:rPr>
            <w:webHidden/>
          </w:rPr>
          <w:fldChar w:fldCharType="separate"/>
        </w:r>
        <w:r w:rsidR="00866D96">
          <w:rPr>
            <w:webHidden/>
          </w:rPr>
          <w:t>118</w:t>
        </w:r>
        <w:r w:rsidR="00866D96">
          <w:rPr>
            <w:webHidden/>
          </w:rPr>
          <w:fldChar w:fldCharType="end"/>
        </w:r>
      </w:hyperlink>
    </w:p>
    <w:p w14:paraId="08225D29" w14:textId="77777777" w:rsidR="00866D96" w:rsidRDefault="00DC7D8C">
      <w:pPr>
        <w:pStyle w:val="TableofFigures"/>
        <w:rPr>
          <w:rFonts w:asciiTheme="minorHAnsi" w:eastAsiaTheme="minorEastAsia" w:hAnsiTheme="minorHAnsi" w:cstheme="minorBidi"/>
          <w:i w:val="0"/>
          <w:color w:val="auto"/>
          <w:sz w:val="22"/>
          <w:szCs w:val="22"/>
          <w:lang w:val="fr-FR" w:eastAsia="fr-FR"/>
        </w:rPr>
      </w:pPr>
      <w:hyperlink w:anchor="_Toc481615032" w:history="1">
        <w:r w:rsidR="00866D96" w:rsidRPr="00485932">
          <w:rPr>
            <w:rStyle w:val="Hyperlink"/>
          </w:rPr>
          <w:t>Table 47: Implementation of priority actions on urban transportation</w:t>
        </w:r>
        <w:r w:rsidR="00866D96">
          <w:rPr>
            <w:webHidden/>
          </w:rPr>
          <w:tab/>
        </w:r>
        <w:r w:rsidR="00866D96">
          <w:rPr>
            <w:webHidden/>
          </w:rPr>
          <w:fldChar w:fldCharType="begin"/>
        </w:r>
        <w:r w:rsidR="00866D96">
          <w:rPr>
            <w:webHidden/>
          </w:rPr>
          <w:instrText xml:space="preserve"> PAGEREF _Toc481615032 \h </w:instrText>
        </w:r>
        <w:r w:rsidR="00866D96">
          <w:rPr>
            <w:webHidden/>
          </w:rPr>
        </w:r>
        <w:r w:rsidR="00866D96">
          <w:rPr>
            <w:webHidden/>
          </w:rPr>
          <w:fldChar w:fldCharType="separate"/>
        </w:r>
        <w:r w:rsidR="00866D96">
          <w:rPr>
            <w:webHidden/>
          </w:rPr>
          <w:t>119</w:t>
        </w:r>
        <w:r w:rsidR="00866D96">
          <w:rPr>
            <w:webHidden/>
          </w:rPr>
          <w:fldChar w:fldCharType="end"/>
        </w:r>
      </w:hyperlink>
    </w:p>
    <w:p w14:paraId="295CA9C4" w14:textId="77777777" w:rsidR="00024F70" w:rsidRPr="006122EE" w:rsidRDefault="00024F70" w:rsidP="00024F70">
      <w:pPr>
        <w:pStyle w:val="TOCHeading"/>
      </w:pPr>
      <w:r w:rsidRPr="006122EE">
        <w:lastRenderedPageBreak/>
        <w:fldChar w:fldCharType="end"/>
      </w:r>
      <w:r w:rsidRPr="006122EE">
        <w:t xml:space="preserve"> List of Acronyms</w:t>
      </w:r>
    </w:p>
    <w:tbl>
      <w:tblPr>
        <w:tblStyle w:val="TableGrid"/>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6020"/>
      </w:tblGrid>
      <w:tr w:rsidR="00024F70" w:rsidRPr="006122EE" w14:paraId="10C5AAE3" w14:textId="77777777" w:rsidTr="00024F70">
        <w:trPr>
          <w:jc w:val="left"/>
        </w:trPr>
        <w:tc>
          <w:tcPr>
            <w:tcW w:w="0" w:type="auto"/>
            <w:vAlign w:val="center"/>
          </w:tcPr>
          <w:p w14:paraId="62E98B13" w14:textId="77777777" w:rsidR="00024F70" w:rsidRPr="006122EE" w:rsidRDefault="00024F70" w:rsidP="001B637B">
            <w:pPr>
              <w:spacing w:before="60" w:after="60" w:line="240" w:lineRule="auto"/>
            </w:pPr>
            <w:r w:rsidRPr="006122EE">
              <w:t>AA</w:t>
            </w:r>
          </w:p>
        </w:tc>
        <w:tc>
          <w:tcPr>
            <w:tcW w:w="0" w:type="auto"/>
            <w:vAlign w:val="center"/>
          </w:tcPr>
          <w:p w14:paraId="3489426A" w14:textId="77777777" w:rsidR="00024F70" w:rsidRPr="006122EE" w:rsidRDefault="00024F70" w:rsidP="001B637B">
            <w:pPr>
              <w:spacing w:before="60" w:after="60" w:line="240" w:lineRule="auto"/>
            </w:pPr>
            <w:r w:rsidRPr="006122EE">
              <w:tab/>
            </w:r>
            <w:r w:rsidRPr="006122EE">
              <w:tab/>
              <w:t>Action Agenda</w:t>
            </w:r>
          </w:p>
        </w:tc>
      </w:tr>
      <w:tr w:rsidR="00024F70" w:rsidRPr="006122EE" w14:paraId="1F3E6451" w14:textId="77777777" w:rsidTr="00024F70">
        <w:trPr>
          <w:jc w:val="left"/>
        </w:trPr>
        <w:tc>
          <w:tcPr>
            <w:tcW w:w="0" w:type="auto"/>
            <w:vAlign w:val="center"/>
          </w:tcPr>
          <w:p w14:paraId="0A3979CB" w14:textId="77777777" w:rsidR="00024F70" w:rsidRPr="006122EE" w:rsidRDefault="00024F70" w:rsidP="001B637B">
            <w:pPr>
              <w:spacing w:before="60" w:after="60" w:line="240" w:lineRule="auto"/>
            </w:pPr>
            <w:r w:rsidRPr="006122EE">
              <w:t>AfDB</w:t>
            </w:r>
          </w:p>
        </w:tc>
        <w:tc>
          <w:tcPr>
            <w:tcW w:w="0" w:type="auto"/>
            <w:vAlign w:val="center"/>
          </w:tcPr>
          <w:p w14:paraId="5A02247B" w14:textId="77777777" w:rsidR="00024F70" w:rsidRPr="006122EE" w:rsidRDefault="00024F70" w:rsidP="001B637B">
            <w:pPr>
              <w:spacing w:before="60" w:after="60" w:line="240" w:lineRule="auto"/>
            </w:pPr>
            <w:r w:rsidRPr="006122EE">
              <w:t>African Development Bank</w:t>
            </w:r>
          </w:p>
        </w:tc>
      </w:tr>
      <w:tr w:rsidR="00024F70" w:rsidRPr="006122EE" w14:paraId="0C204F4F" w14:textId="77777777" w:rsidTr="00024F70">
        <w:trPr>
          <w:jc w:val="left"/>
        </w:trPr>
        <w:tc>
          <w:tcPr>
            <w:tcW w:w="0" w:type="auto"/>
            <w:vAlign w:val="center"/>
          </w:tcPr>
          <w:p w14:paraId="379B44E7" w14:textId="77777777" w:rsidR="00024F70" w:rsidRPr="006122EE" w:rsidRDefault="00024F70" w:rsidP="001B637B">
            <w:pPr>
              <w:spacing w:before="60" w:after="60" w:line="240" w:lineRule="auto"/>
            </w:pPr>
            <w:r w:rsidRPr="006122EE">
              <w:t>AMI</w:t>
            </w:r>
            <w:r w:rsidRPr="006122EE">
              <w:tab/>
            </w:r>
            <w:r w:rsidRPr="006122EE">
              <w:tab/>
            </w:r>
          </w:p>
        </w:tc>
        <w:tc>
          <w:tcPr>
            <w:tcW w:w="0" w:type="auto"/>
            <w:vAlign w:val="center"/>
          </w:tcPr>
          <w:p w14:paraId="5AAF24B6" w14:textId="77777777" w:rsidR="00024F70" w:rsidRPr="006122EE" w:rsidRDefault="00024F70" w:rsidP="001B637B">
            <w:pPr>
              <w:spacing w:before="60" w:after="60" w:line="240" w:lineRule="auto"/>
            </w:pPr>
            <w:r w:rsidRPr="006122EE">
              <w:t>Advanced Metering Infrastructure</w:t>
            </w:r>
          </w:p>
        </w:tc>
      </w:tr>
      <w:tr w:rsidR="00024F70" w:rsidRPr="006122EE" w14:paraId="3E230165" w14:textId="77777777" w:rsidTr="00024F70">
        <w:trPr>
          <w:jc w:val="left"/>
        </w:trPr>
        <w:tc>
          <w:tcPr>
            <w:tcW w:w="0" w:type="auto"/>
            <w:vAlign w:val="center"/>
          </w:tcPr>
          <w:p w14:paraId="4E8F4079" w14:textId="77777777" w:rsidR="00024F70" w:rsidRPr="006122EE" w:rsidRDefault="00024F70" w:rsidP="001B637B">
            <w:pPr>
              <w:spacing w:before="60" w:after="60" w:line="240" w:lineRule="auto"/>
            </w:pPr>
            <w:r w:rsidRPr="006122EE">
              <w:t>BAU</w:t>
            </w:r>
          </w:p>
        </w:tc>
        <w:tc>
          <w:tcPr>
            <w:tcW w:w="0" w:type="auto"/>
            <w:vAlign w:val="center"/>
          </w:tcPr>
          <w:p w14:paraId="68A93354" w14:textId="77777777" w:rsidR="00024F70" w:rsidRPr="006122EE" w:rsidRDefault="00024F70" w:rsidP="001B637B">
            <w:pPr>
              <w:spacing w:before="60" w:after="60" w:line="240" w:lineRule="auto"/>
            </w:pPr>
            <w:r w:rsidRPr="006122EE">
              <w:tab/>
            </w:r>
            <w:r w:rsidRPr="006122EE">
              <w:tab/>
              <w:t>Business as usual</w:t>
            </w:r>
          </w:p>
        </w:tc>
      </w:tr>
      <w:tr w:rsidR="00C33DCE" w:rsidRPr="006122EE" w14:paraId="3C0E238C" w14:textId="77777777" w:rsidTr="00024F70">
        <w:trPr>
          <w:jc w:val="left"/>
        </w:trPr>
        <w:tc>
          <w:tcPr>
            <w:tcW w:w="0" w:type="auto"/>
            <w:vAlign w:val="center"/>
          </w:tcPr>
          <w:p w14:paraId="5FF95E66" w14:textId="77777777" w:rsidR="00C33DCE" w:rsidRPr="006122EE" w:rsidRDefault="00C33DCE" w:rsidP="001B637B">
            <w:pPr>
              <w:spacing w:before="60" w:after="60" w:line="240" w:lineRule="auto"/>
            </w:pPr>
            <w:r w:rsidRPr="006122EE">
              <w:rPr>
                <w:lang w:eastAsia="fr-FR"/>
              </w:rPr>
              <w:t>BERL</w:t>
            </w:r>
          </w:p>
        </w:tc>
        <w:tc>
          <w:tcPr>
            <w:tcW w:w="0" w:type="auto"/>
            <w:vAlign w:val="center"/>
          </w:tcPr>
          <w:p w14:paraId="7CA75FAB" w14:textId="77777777" w:rsidR="00C33DCE" w:rsidRPr="006122EE" w:rsidRDefault="00C33DCE" w:rsidP="001B637B">
            <w:pPr>
              <w:spacing w:before="60" w:after="60" w:line="240" w:lineRule="auto"/>
            </w:pPr>
            <w:r w:rsidRPr="006122EE">
              <w:rPr>
                <w:lang w:eastAsia="fr-FR"/>
              </w:rPr>
              <w:t>Bio Energy Resources Ltd</w:t>
            </w:r>
          </w:p>
        </w:tc>
      </w:tr>
      <w:tr w:rsidR="00024F70" w:rsidRPr="006122EE" w14:paraId="75E7889C" w14:textId="77777777" w:rsidTr="00024F70">
        <w:trPr>
          <w:jc w:val="left"/>
        </w:trPr>
        <w:tc>
          <w:tcPr>
            <w:tcW w:w="0" w:type="auto"/>
            <w:vAlign w:val="center"/>
          </w:tcPr>
          <w:p w14:paraId="05769897" w14:textId="77777777" w:rsidR="00024F70" w:rsidRPr="006122EE" w:rsidRDefault="00024F70" w:rsidP="001B637B">
            <w:pPr>
              <w:spacing w:before="60" w:after="60" w:line="240" w:lineRule="auto"/>
            </w:pPr>
            <w:r w:rsidRPr="006122EE">
              <w:t>CFL</w:t>
            </w:r>
          </w:p>
        </w:tc>
        <w:tc>
          <w:tcPr>
            <w:tcW w:w="0" w:type="auto"/>
            <w:vAlign w:val="center"/>
          </w:tcPr>
          <w:p w14:paraId="31C88D75" w14:textId="77777777" w:rsidR="00024F70" w:rsidRPr="006122EE" w:rsidRDefault="00024F70" w:rsidP="001B637B">
            <w:pPr>
              <w:spacing w:before="60" w:after="60" w:line="240" w:lineRule="auto"/>
            </w:pPr>
            <w:r w:rsidRPr="006122EE">
              <w:tab/>
            </w:r>
            <w:r w:rsidRPr="006122EE">
              <w:tab/>
              <w:t>Compact fluorescent lamp</w:t>
            </w:r>
          </w:p>
        </w:tc>
      </w:tr>
      <w:tr w:rsidR="00024F70" w:rsidRPr="006122EE" w14:paraId="0611B1A2" w14:textId="77777777" w:rsidTr="00024F70">
        <w:trPr>
          <w:jc w:val="left"/>
        </w:trPr>
        <w:tc>
          <w:tcPr>
            <w:tcW w:w="0" w:type="auto"/>
            <w:vAlign w:val="center"/>
          </w:tcPr>
          <w:p w14:paraId="4E70B0F9" w14:textId="77777777" w:rsidR="00024F70" w:rsidRPr="006122EE" w:rsidRDefault="00024F70" w:rsidP="001B637B">
            <w:pPr>
              <w:spacing w:before="60" w:after="60" w:line="240" w:lineRule="auto"/>
            </w:pPr>
            <w:r w:rsidRPr="006122EE">
              <w:t>CHP</w:t>
            </w:r>
          </w:p>
        </w:tc>
        <w:tc>
          <w:tcPr>
            <w:tcW w:w="0" w:type="auto"/>
            <w:vAlign w:val="center"/>
          </w:tcPr>
          <w:p w14:paraId="5442144D" w14:textId="77777777" w:rsidR="00024F70" w:rsidRPr="006122EE" w:rsidRDefault="00024F70" w:rsidP="001B637B">
            <w:pPr>
              <w:spacing w:before="60" w:after="60" w:line="240" w:lineRule="auto"/>
            </w:pPr>
            <w:r w:rsidRPr="006122EE">
              <w:tab/>
            </w:r>
            <w:r w:rsidRPr="006122EE">
              <w:tab/>
              <w:t>Combined heat and power</w:t>
            </w:r>
          </w:p>
        </w:tc>
      </w:tr>
      <w:tr w:rsidR="00024F70" w:rsidRPr="006122EE" w14:paraId="001D0D3B" w14:textId="77777777" w:rsidTr="00024F70">
        <w:trPr>
          <w:jc w:val="left"/>
        </w:trPr>
        <w:tc>
          <w:tcPr>
            <w:tcW w:w="0" w:type="auto"/>
            <w:vAlign w:val="center"/>
          </w:tcPr>
          <w:p w14:paraId="6FD8374A" w14:textId="77777777" w:rsidR="00024F70" w:rsidRPr="006122EE" w:rsidRDefault="00024F70" w:rsidP="001B637B">
            <w:pPr>
              <w:spacing w:before="60" w:after="60" w:line="240" w:lineRule="auto"/>
            </w:pPr>
            <w:r w:rsidRPr="006122EE">
              <w:t>CNG</w:t>
            </w:r>
          </w:p>
        </w:tc>
        <w:tc>
          <w:tcPr>
            <w:tcW w:w="0" w:type="auto"/>
            <w:vAlign w:val="center"/>
          </w:tcPr>
          <w:p w14:paraId="54CE0EDD" w14:textId="77777777" w:rsidR="00024F70" w:rsidRPr="006122EE" w:rsidRDefault="00024F70" w:rsidP="001B637B">
            <w:pPr>
              <w:spacing w:before="60" w:after="60" w:line="240" w:lineRule="auto"/>
            </w:pPr>
            <w:r w:rsidRPr="006122EE">
              <w:tab/>
            </w:r>
            <w:r w:rsidRPr="006122EE">
              <w:tab/>
              <w:t>Compressed natural gas</w:t>
            </w:r>
          </w:p>
        </w:tc>
      </w:tr>
      <w:tr w:rsidR="00024F70" w:rsidRPr="006122EE" w14:paraId="0693CE42" w14:textId="77777777" w:rsidTr="00024F70">
        <w:trPr>
          <w:jc w:val="left"/>
        </w:trPr>
        <w:tc>
          <w:tcPr>
            <w:tcW w:w="0" w:type="auto"/>
            <w:vAlign w:val="center"/>
          </w:tcPr>
          <w:p w14:paraId="759134D9" w14:textId="77777777" w:rsidR="00024F70" w:rsidRPr="006122EE" w:rsidRDefault="00024F70" w:rsidP="001B637B">
            <w:pPr>
              <w:spacing w:before="60" w:after="60" w:line="240" w:lineRule="auto"/>
            </w:pPr>
            <w:r w:rsidRPr="006122EE">
              <w:t>CSP</w:t>
            </w:r>
          </w:p>
        </w:tc>
        <w:tc>
          <w:tcPr>
            <w:tcW w:w="0" w:type="auto"/>
            <w:vAlign w:val="center"/>
          </w:tcPr>
          <w:p w14:paraId="5EA54D50" w14:textId="77777777" w:rsidR="00024F70" w:rsidRPr="006122EE" w:rsidRDefault="00024F70" w:rsidP="001B637B">
            <w:pPr>
              <w:spacing w:before="60" w:after="60" w:line="240" w:lineRule="auto"/>
            </w:pPr>
            <w:r w:rsidRPr="006122EE">
              <w:tab/>
            </w:r>
            <w:r w:rsidRPr="006122EE">
              <w:tab/>
              <w:t>Concentrating solar power</w:t>
            </w:r>
          </w:p>
        </w:tc>
      </w:tr>
      <w:tr w:rsidR="00024F70" w:rsidRPr="006122EE" w14:paraId="5852DEBA" w14:textId="77777777" w:rsidTr="00024F70">
        <w:trPr>
          <w:jc w:val="left"/>
        </w:trPr>
        <w:tc>
          <w:tcPr>
            <w:tcW w:w="0" w:type="auto"/>
            <w:vAlign w:val="center"/>
          </w:tcPr>
          <w:p w14:paraId="6F5C656F" w14:textId="77777777" w:rsidR="00024F70" w:rsidRPr="006122EE" w:rsidRDefault="00024F70" w:rsidP="001B637B">
            <w:pPr>
              <w:spacing w:before="60" w:after="60" w:line="240" w:lineRule="auto"/>
            </w:pPr>
            <w:r w:rsidRPr="006122EE">
              <w:t>DNA</w:t>
            </w:r>
          </w:p>
        </w:tc>
        <w:tc>
          <w:tcPr>
            <w:tcW w:w="0" w:type="auto"/>
            <w:vAlign w:val="center"/>
          </w:tcPr>
          <w:p w14:paraId="46AC3AA6" w14:textId="77777777" w:rsidR="00024F70" w:rsidRPr="006122EE" w:rsidRDefault="00024F70" w:rsidP="001B637B">
            <w:pPr>
              <w:spacing w:before="60" w:after="60" w:line="240" w:lineRule="auto"/>
            </w:pPr>
            <w:r w:rsidRPr="006122EE">
              <w:tab/>
            </w:r>
            <w:r w:rsidRPr="006122EE">
              <w:tab/>
              <w:t>Designated National Authority</w:t>
            </w:r>
          </w:p>
        </w:tc>
      </w:tr>
      <w:tr w:rsidR="00024F70" w:rsidRPr="006122EE" w14:paraId="630AB3BD" w14:textId="77777777" w:rsidTr="00024F70">
        <w:trPr>
          <w:jc w:val="left"/>
        </w:trPr>
        <w:tc>
          <w:tcPr>
            <w:tcW w:w="0" w:type="auto"/>
            <w:vAlign w:val="center"/>
          </w:tcPr>
          <w:p w14:paraId="7E375909" w14:textId="77777777" w:rsidR="001B637B" w:rsidRDefault="001B637B" w:rsidP="001B637B">
            <w:pPr>
              <w:spacing w:before="60" w:after="60" w:line="276" w:lineRule="auto"/>
            </w:pPr>
            <w:r>
              <w:t>DOEA</w:t>
            </w:r>
          </w:p>
          <w:p w14:paraId="2C5FBBD0" w14:textId="77777777" w:rsidR="001B637B" w:rsidRDefault="001B637B" w:rsidP="001B637B">
            <w:pPr>
              <w:spacing w:before="60" w:after="60" w:line="276" w:lineRule="auto"/>
            </w:pPr>
            <w:r>
              <w:t>DOF</w:t>
            </w:r>
          </w:p>
          <w:p w14:paraId="6FB4D2AE" w14:textId="77777777" w:rsidR="00024F70" w:rsidRPr="006122EE" w:rsidRDefault="00024F70" w:rsidP="001B637B">
            <w:pPr>
              <w:spacing w:before="60" w:after="60" w:line="276" w:lineRule="auto"/>
            </w:pPr>
            <w:r w:rsidRPr="006122EE">
              <w:t>DSM</w:t>
            </w:r>
          </w:p>
        </w:tc>
        <w:tc>
          <w:tcPr>
            <w:tcW w:w="0" w:type="auto"/>
            <w:vAlign w:val="center"/>
          </w:tcPr>
          <w:p w14:paraId="07035F4A" w14:textId="77777777" w:rsidR="001B637B" w:rsidRDefault="00024F70" w:rsidP="001B637B">
            <w:pPr>
              <w:spacing w:before="60" w:after="60" w:line="276" w:lineRule="auto"/>
            </w:pPr>
            <w:r w:rsidRPr="006122EE">
              <w:tab/>
            </w:r>
            <w:r w:rsidRPr="006122EE">
              <w:tab/>
            </w:r>
            <w:r w:rsidR="001B637B">
              <w:t>Department of Energy Affairs</w:t>
            </w:r>
          </w:p>
          <w:p w14:paraId="276B59F3" w14:textId="77777777" w:rsidR="001B637B" w:rsidRDefault="001B637B" w:rsidP="001B637B">
            <w:pPr>
              <w:spacing w:before="60" w:after="60" w:line="276" w:lineRule="auto"/>
            </w:pPr>
            <w:r>
              <w:t>Department of Forestry</w:t>
            </w:r>
          </w:p>
          <w:p w14:paraId="5C667E5E" w14:textId="77777777" w:rsidR="00024F70" w:rsidRPr="006122EE" w:rsidRDefault="00024F70" w:rsidP="001B637B">
            <w:pPr>
              <w:spacing w:before="60" w:after="60" w:line="276" w:lineRule="auto"/>
            </w:pPr>
            <w:r w:rsidRPr="006122EE">
              <w:t>Demand-side management</w:t>
            </w:r>
          </w:p>
        </w:tc>
      </w:tr>
      <w:tr w:rsidR="00024F70" w:rsidRPr="006122EE" w14:paraId="1C260B76" w14:textId="77777777" w:rsidTr="00024F70">
        <w:trPr>
          <w:jc w:val="left"/>
        </w:trPr>
        <w:tc>
          <w:tcPr>
            <w:tcW w:w="0" w:type="auto"/>
            <w:vAlign w:val="center"/>
          </w:tcPr>
          <w:p w14:paraId="2C9E4077" w14:textId="77777777" w:rsidR="00024F70" w:rsidRPr="006122EE" w:rsidRDefault="00024F70" w:rsidP="001B637B">
            <w:pPr>
              <w:spacing w:before="60" w:after="60" w:line="240" w:lineRule="auto"/>
            </w:pPr>
            <w:r w:rsidRPr="006122EE">
              <w:t>EE</w:t>
            </w:r>
            <w:r w:rsidRPr="006122EE">
              <w:tab/>
            </w:r>
            <w:r w:rsidRPr="006122EE">
              <w:tab/>
            </w:r>
          </w:p>
        </w:tc>
        <w:tc>
          <w:tcPr>
            <w:tcW w:w="0" w:type="auto"/>
            <w:vAlign w:val="center"/>
          </w:tcPr>
          <w:p w14:paraId="4E1BD0CC" w14:textId="77777777" w:rsidR="00024F70" w:rsidRPr="006122EE" w:rsidRDefault="00024F70" w:rsidP="001B637B">
            <w:pPr>
              <w:spacing w:before="60" w:after="60" w:line="240" w:lineRule="auto"/>
            </w:pPr>
            <w:r w:rsidRPr="006122EE">
              <w:t>Energy efficiency</w:t>
            </w:r>
          </w:p>
        </w:tc>
      </w:tr>
      <w:tr w:rsidR="00DB4718" w:rsidRPr="006122EE" w14:paraId="47BED952" w14:textId="77777777" w:rsidTr="00024F70">
        <w:trPr>
          <w:jc w:val="left"/>
        </w:trPr>
        <w:tc>
          <w:tcPr>
            <w:tcW w:w="0" w:type="auto"/>
            <w:vAlign w:val="center"/>
          </w:tcPr>
          <w:p w14:paraId="7A92702D" w14:textId="77777777" w:rsidR="00DB4718" w:rsidRPr="006122EE" w:rsidRDefault="00DB4718" w:rsidP="001B637B">
            <w:pPr>
              <w:spacing w:before="60" w:after="60" w:line="240" w:lineRule="auto"/>
            </w:pPr>
            <w:r w:rsidRPr="006122EE">
              <w:t>EGENCO</w:t>
            </w:r>
          </w:p>
        </w:tc>
        <w:tc>
          <w:tcPr>
            <w:tcW w:w="0" w:type="auto"/>
            <w:vAlign w:val="center"/>
          </w:tcPr>
          <w:p w14:paraId="5EE66508" w14:textId="77777777" w:rsidR="00DB4718" w:rsidRPr="006122EE" w:rsidRDefault="00DB4718" w:rsidP="001B637B">
            <w:pPr>
              <w:spacing w:before="60" w:after="60" w:line="240" w:lineRule="auto"/>
            </w:pPr>
            <w:r w:rsidRPr="006122EE">
              <w:t>Electricity Generation Company</w:t>
            </w:r>
          </w:p>
        </w:tc>
      </w:tr>
      <w:tr w:rsidR="00024F70" w:rsidRPr="006122EE" w14:paraId="57447306" w14:textId="77777777" w:rsidTr="00024F70">
        <w:trPr>
          <w:jc w:val="left"/>
        </w:trPr>
        <w:tc>
          <w:tcPr>
            <w:tcW w:w="0" w:type="auto"/>
            <w:vAlign w:val="center"/>
          </w:tcPr>
          <w:p w14:paraId="7FA3EA77" w14:textId="77777777" w:rsidR="00024F70" w:rsidRPr="006122EE" w:rsidRDefault="00024F70" w:rsidP="001B637B">
            <w:pPr>
              <w:spacing w:before="60" w:after="60" w:line="240" w:lineRule="auto"/>
            </w:pPr>
            <w:r w:rsidRPr="006122EE">
              <w:t>EPC</w:t>
            </w:r>
            <w:r w:rsidRPr="006122EE">
              <w:tab/>
            </w:r>
            <w:r w:rsidRPr="006122EE">
              <w:tab/>
            </w:r>
          </w:p>
        </w:tc>
        <w:tc>
          <w:tcPr>
            <w:tcW w:w="0" w:type="auto"/>
            <w:vAlign w:val="center"/>
          </w:tcPr>
          <w:p w14:paraId="4E66C29A" w14:textId="77777777" w:rsidR="00024F70" w:rsidRPr="006122EE" w:rsidRDefault="00024F70" w:rsidP="001B637B">
            <w:pPr>
              <w:spacing w:before="60" w:after="60" w:line="240" w:lineRule="auto"/>
            </w:pPr>
            <w:r w:rsidRPr="006122EE">
              <w:t>Engineering, procurement &amp; construction</w:t>
            </w:r>
          </w:p>
        </w:tc>
      </w:tr>
      <w:tr w:rsidR="00C33DCE" w:rsidRPr="006122EE" w14:paraId="60FA4904" w14:textId="77777777" w:rsidTr="00024F70">
        <w:trPr>
          <w:jc w:val="left"/>
        </w:trPr>
        <w:tc>
          <w:tcPr>
            <w:tcW w:w="0" w:type="auto"/>
            <w:vAlign w:val="center"/>
          </w:tcPr>
          <w:p w14:paraId="77FD884A" w14:textId="77777777" w:rsidR="00C33DCE" w:rsidRPr="006122EE" w:rsidRDefault="00C33DCE" w:rsidP="001B637B">
            <w:pPr>
              <w:spacing w:before="60" w:after="60" w:line="240" w:lineRule="auto"/>
            </w:pPr>
            <w:r w:rsidRPr="006122EE">
              <w:t>ETHCO</w:t>
            </w:r>
          </w:p>
        </w:tc>
        <w:tc>
          <w:tcPr>
            <w:tcW w:w="0" w:type="auto"/>
            <w:vAlign w:val="center"/>
          </w:tcPr>
          <w:p w14:paraId="54627A4A" w14:textId="77777777" w:rsidR="00C33DCE" w:rsidRPr="006122EE" w:rsidRDefault="00C33DCE" w:rsidP="001B637B">
            <w:pPr>
              <w:spacing w:before="60" w:after="60" w:line="240" w:lineRule="auto"/>
            </w:pPr>
            <w:r w:rsidRPr="006122EE">
              <w:t>Ethanol Company Ltd</w:t>
            </w:r>
          </w:p>
        </w:tc>
      </w:tr>
      <w:tr w:rsidR="00024F70" w:rsidRPr="006122EE" w14:paraId="7EB66251" w14:textId="77777777" w:rsidTr="00024F70">
        <w:trPr>
          <w:jc w:val="left"/>
        </w:trPr>
        <w:tc>
          <w:tcPr>
            <w:tcW w:w="0" w:type="auto"/>
            <w:vAlign w:val="center"/>
          </w:tcPr>
          <w:p w14:paraId="7CCFFA03" w14:textId="77777777" w:rsidR="00024F70" w:rsidRPr="006122EE" w:rsidRDefault="00024F70" w:rsidP="001B637B">
            <w:pPr>
              <w:spacing w:before="60" w:after="60" w:line="240" w:lineRule="auto"/>
            </w:pPr>
            <w:r w:rsidRPr="006122EE">
              <w:t>EV</w:t>
            </w:r>
          </w:p>
        </w:tc>
        <w:tc>
          <w:tcPr>
            <w:tcW w:w="0" w:type="auto"/>
            <w:vAlign w:val="center"/>
          </w:tcPr>
          <w:p w14:paraId="51B743F1" w14:textId="77777777" w:rsidR="00024F70" w:rsidRPr="006122EE" w:rsidRDefault="00024F70" w:rsidP="001B637B">
            <w:pPr>
              <w:spacing w:before="60" w:after="60" w:line="240" w:lineRule="auto"/>
            </w:pPr>
            <w:r w:rsidRPr="006122EE">
              <w:tab/>
            </w:r>
            <w:r w:rsidRPr="006122EE">
              <w:tab/>
              <w:t>Electric vehicle</w:t>
            </w:r>
          </w:p>
        </w:tc>
      </w:tr>
      <w:tr w:rsidR="00DF3416" w:rsidRPr="006122EE" w14:paraId="76B2397C" w14:textId="77777777" w:rsidTr="00024F70">
        <w:trPr>
          <w:jc w:val="left"/>
        </w:trPr>
        <w:tc>
          <w:tcPr>
            <w:tcW w:w="0" w:type="auto"/>
            <w:vAlign w:val="center"/>
          </w:tcPr>
          <w:p w14:paraId="35E6C19A" w14:textId="77777777" w:rsidR="00DF3416" w:rsidRPr="006122EE" w:rsidRDefault="00DF3416" w:rsidP="001B637B">
            <w:pPr>
              <w:spacing w:before="60" w:after="60" w:line="240" w:lineRule="auto"/>
            </w:pPr>
            <w:r w:rsidRPr="006122EE">
              <w:t>EDVP</w:t>
            </w:r>
          </w:p>
        </w:tc>
        <w:tc>
          <w:tcPr>
            <w:tcW w:w="0" w:type="auto"/>
            <w:vAlign w:val="center"/>
          </w:tcPr>
          <w:p w14:paraId="709DF44E" w14:textId="77777777" w:rsidR="00DF3416" w:rsidRPr="006122EE" w:rsidRDefault="00DF3416" w:rsidP="001B637B">
            <w:pPr>
              <w:spacing w:before="60" w:after="60" w:line="240" w:lineRule="auto"/>
            </w:pPr>
            <w:r w:rsidRPr="006122EE">
              <w:t>Ethanol Driven Vehicle Project</w:t>
            </w:r>
          </w:p>
        </w:tc>
      </w:tr>
      <w:tr w:rsidR="00024F70" w:rsidRPr="006122EE" w14:paraId="55654CBF" w14:textId="77777777" w:rsidTr="00024F70">
        <w:trPr>
          <w:jc w:val="left"/>
        </w:trPr>
        <w:tc>
          <w:tcPr>
            <w:tcW w:w="0" w:type="auto"/>
            <w:vAlign w:val="center"/>
          </w:tcPr>
          <w:p w14:paraId="2E5452A4" w14:textId="77777777" w:rsidR="00024F70" w:rsidRPr="006122EE" w:rsidRDefault="00024F70" w:rsidP="001B637B">
            <w:pPr>
              <w:spacing w:before="60" w:after="60" w:line="240" w:lineRule="auto"/>
            </w:pPr>
            <w:r w:rsidRPr="006122EE">
              <w:t>GCF</w:t>
            </w:r>
          </w:p>
        </w:tc>
        <w:tc>
          <w:tcPr>
            <w:tcW w:w="0" w:type="auto"/>
            <w:vAlign w:val="center"/>
          </w:tcPr>
          <w:p w14:paraId="73F33C82" w14:textId="77777777" w:rsidR="00024F70" w:rsidRPr="006122EE" w:rsidRDefault="00024F70" w:rsidP="001B637B">
            <w:pPr>
              <w:spacing w:before="60" w:after="60" w:line="240" w:lineRule="auto"/>
            </w:pPr>
            <w:r w:rsidRPr="006122EE">
              <w:tab/>
            </w:r>
            <w:r w:rsidRPr="006122EE">
              <w:tab/>
              <w:t>Green Climate Fund</w:t>
            </w:r>
          </w:p>
        </w:tc>
      </w:tr>
      <w:tr w:rsidR="00024F70" w:rsidRPr="006122EE" w14:paraId="6F56A2EC" w14:textId="77777777" w:rsidTr="00024F70">
        <w:trPr>
          <w:jc w:val="left"/>
        </w:trPr>
        <w:tc>
          <w:tcPr>
            <w:tcW w:w="0" w:type="auto"/>
            <w:vAlign w:val="center"/>
          </w:tcPr>
          <w:p w14:paraId="2A3E2F9A" w14:textId="77777777" w:rsidR="00024F70" w:rsidRPr="006122EE" w:rsidRDefault="00024F70" w:rsidP="001B637B">
            <w:pPr>
              <w:spacing w:before="60" w:after="60" w:line="240" w:lineRule="auto"/>
            </w:pPr>
            <w:r w:rsidRPr="006122EE">
              <w:t>GDP</w:t>
            </w:r>
          </w:p>
        </w:tc>
        <w:tc>
          <w:tcPr>
            <w:tcW w:w="0" w:type="auto"/>
            <w:vAlign w:val="center"/>
          </w:tcPr>
          <w:p w14:paraId="2EB4F639" w14:textId="77777777" w:rsidR="00024F70" w:rsidRPr="006122EE" w:rsidRDefault="00024F70" w:rsidP="001B637B">
            <w:pPr>
              <w:spacing w:before="60" w:after="60" w:line="240" w:lineRule="auto"/>
            </w:pPr>
            <w:r w:rsidRPr="006122EE">
              <w:tab/>
            </w:r>
            <w:r w:rsidRPr="006122EE">
              <w:tab/>
              <w:t>Gross Domestic Product</w:t>
            </w:r>
          </w:p>
        </w:tc>
      </w:tr>
      <w:tr w:rsidR="00024F70" w:rsidRPr="006122EE" w14:paraId="447432C4" w14:textId="77777777" w:rsidTr="00024F70">
        <w:trPr>
          <w:jc w:val="left"/>
        </w:trPr>
        <w:tc>
          <w:tcPr>
            <w:tcW w:w="0" w:type="auto"/>
            <w:vAlign w:val="center"/>
          </w:tcPr>
          <w:p w14:paraId="69B53D1B" w14:textId="77777777" w:rsidR="00024F70" w:rsidRPr="006122EE" w:rsidRDefault="00024F70" w:rsidP="001B637B">
            <w:pPr>
              <w:spacing w:before="60" w:after="60" w:line="240" w:lineRule="auto"/>
            </w:pPr>
            <w:r w:rsidRPr="006122EE">
              <w:t>GFEI</w:t>
            </w:r>
          </w:p>
        </w:tc>
        <w:tc>
          <w:tcPr>
            <w:tcW w:w="0" w:type="auto"/>
            <w:vAlign w:val="center"/>
          </w:tcPr>
          <w:p w14:paraId="68F61AEF" w14:textId="77777777" w:rsidR="00024F70" w:rsidRPr="006122EE" w:rsidRDefault="00024F70" w:rsidP="001B637B">
            <w:pPr>
              <w:spacing w:before="60" w:after="60" w:line="240" w:lineRule="auto"/>
            </w:pPr>
            <w:r w:rsidRPr="006122EE">
              <w:tab/>
            </w:r>
            <w:r w:rsidRPr="006122EE">
              <w:tab/>
              <w:t>Global Fuel Economy Initiative</w:t>
            </w:r>
          </w:p>
        </w:tc>
      </w:tr>
      <w:tr w:rsidR="00024F70" w:rsidRPr="006122EE" w14:paraId="47E506BD" w14:textId="77777777" w:rsidTr="00024F70">
        <w:trPr>
          <w:jc w:val="left"/>
        </w:trPr>
        <w:tc>
          <w:tcPr>
            <w:tcW w:w="0" w:type="auto"/>
            <w:vAlign w:val="center"/>
          </w:tcPr>
          <w:p w14:paraId="38CC7147" w14:textId="77777777" w:rsidR="00024F70" w:rsidRPr="006122EE" w:rsidRDefault="00024F70" w:rsidP="001B637B">
            <w:pPr>
              <w:spacing w:before="60" w:after="60" w:line="240" w:lineRule="auto"/>
            </w:pPr>
            <w:r w:rsidRPr="006122EE">
              <w:t>GHG</w:t>
            </w:r>
          </w:p>
        </w:tc>
        <w:tc>
          <w:tcPr>
            <w:tcW w:w="0" w:type="auto"/>
            <w:vAlign w:val="center"/>
          </w:tcPr>
          <w:p w14:paraId="16229619" w14:textId="77777777" w:rsidR="00024F70" w:rsidRPr="006122EE" w:rsidRDefault="00024F70" w:rsidP="001B637B">
            <w:pPr>
              <w:spacing w:before="60" w:after="60" w:line="240" w:lineRule="auto"/>
            </w:pPr>
            <w:r w:rsidRPr="006122EE">
              <w:tab/>
            </w:r>
            <w:r w:rsidRPr="006122EE">
              <w:tab/>
              <w:t>Greenhouse gas</w:t>
            </w:r>
          </w:p>
        </w:tc>
      </w:tr>
      <w:tr w:rsidR="00024F70" w:rsidRPr="006122EE" w14:paraId="63AF6269" w14:textId="77777777" w:rsidTr="00024F70">
        <w:trPr>
          <w:jc w:val="left"/>
        </w:trPr>
        <w:tc>
          <w:tcPr>
            <w:tcW w:w="0" w:type="auto"/>
            <w:vAlign w:val="center"/>
          </w:tcPr>
          <w:p w14:paraId="38404957" w14:textId="77777777" w:rsidR="00024F70" w:rsidRPr="006122EE" w:rsidRDefault="00024F70" w:rsidP="001B637B">
            <w:pPr>
              <w:spacing w:before="60" w:after="60" w:line="240" w:lineRule="auto"/>
            </w:pPr>
            <w:r w:rsidRPr="006122EE">
              <w:t>GIS</w:t>
            </w:r>
          </w:p>
        </w:tc>
        <w:tc>
          <w:tcPr>
            <w:tcW w:w="0" w:type="auto"/>
            <w:vAlign w:val="center"/>
          </w:tcPr>
          <w:p w14:paraId="154A6FCA" w14:textId="77777777" w:rsidR="00024F70" w:rsidRPr="006122EE" w:rsidRDefault="00024F70" w:rsidP="001B637B">
            <w:pPr>
              <w:spacing w:before="60" w:after="60" w:line="240" w:lineRule="auto"/>
            </w:pPr>
            <w:r w:rsidRPr="006122EE">
              <w:t>Geographic information system</w:t>
            </w:r>
          </w:p>
        </w:tc>
      </w:tr>
      <w:tr w:rsidR="00DF3416" w:rsidRPr="006122EE" w14:paraId="72EBE3ED" w14:textId="77777777" w:rsidTr="00024F70">
        <w:trPr>
          <w:jc w:val="left"/>
        </w:trPr>
        <w:tc>
          <w:tcPr>
            <w:tcW w:w="0" w:type="auto"/>
            <w:vAlign w:val="center"/>
          </w:tcPr>
          <w:p w14:paraId="5A5F41AA" w14:textId="77777777" w:rsidR="00DF3416" w:rsidRPr="006122EE" w:rsidRDefault="00DF3416" w:rsidP="001B637B">
            <w:pPr>
              <w:spacing w:before="60" w:after="60" w:line="240" w:lineRule="auto"/>
            </w:pPr>
            <w:r w:rsidRPr="006122EE">
              <w:rPr>
                <w:lang w:eastAsia="en-US"/>
              </w:rPr>
              <w:t>GFEI</w:t>
            </w:r>
          </w:p>
        </w:tc>
        <w:tc>
          <w:tcPr>
            <w:tcW w:w="0" w:type="auto"/>
            <w:vAlign w:val="center"/>
          </w:tcPr>
          <w:p w14:paraId="136709B3" w14:textId="77777777" w:rsidR="00DF3416" w:rsidRPr="006122EE" w:rsidRDefault="00DF3416" w:rsidP="001B637B">
            <w:pPr>
              <w:spacing w:before="60" w:after="60" w:line="240" w:lineRule="auto"/>
            </w:pPr>
            <w:r w:rsidRPr="006122EE">
              <w:rPr>
                <w:lang w:eastAsia="en-US"/>
              </w:rPr>
              <w:t>Global Fuel Economy Initiative</w:t>
            </w:r>
          </w:p>
        </w:tc>
      </w:tr>
      <w:tr w:rsidR="00024F70" w:rsidRPr="006122EE" w14:paraId="46461F39" w14:textId="77777777" w:rsidTr="00024F70">
        <w:trPr>
          <w:jc w:val="left"/>
        </w:trPr>
        <w:tc>
          <w:tcPr>
            <w:tcW w:w="0" w:type="auto"/>
            <w:vAlign w:val="center"/>
          </w:tcPr>
          <w:p w14:paraId="5E93FB60" w14:textId="77777777" w:rsidR="00024F70" w:rsidRPr="006122EE" w:rsidRDefault="00024F70" w:rsidP="001B637B">
            <w:pPr>
              <w:spacing w:before="60" w:after="60" w:line="240" w:lineRule="auto"/>
            </w:pPr>
            <w:r w:rsidRPr="006122EE">
              <w:t>GWh</w:t>
            </w:r>
          </w:p>
        </w:tc>
        <w:tc>
          <w:tcPr>
            <w:tcW w:w="0" w:type="auto"/>
            <w:vAlign w:val="center"/>
          </w:tcPr>
          <w:p w14:paraId="6E1F6A83" w14:textId="77777777" w:rsidR="00024F70" w:rsidRPr="006122EE" w:rsidRDefault="00024F70" w:rsidP="001B637B">
            <w:pPr>
              <w:spacing w:before="60" w:after="60" w:line="240" w:lineRule="auto"/>
            </w:pPr>
            <w:r w:rsidRPr="006122EE">
              <w:tab/>
            </w:r>
            <w:r w:rsidRPr="006122EE">
              <w:tab/>
              <w:t>Gigawatt-hour</w:t>
            </w:r>
          </w:p>
        </w:tc>
      </w:tr>
      <w:tr w:rsidR="00024F70" w:rsidRPr="006122EE" w14:paraId="19313DFB" w14:textId="77777777" w:rsidTr="00024F70">
        <w:trPr>
          <w:jc w:val="left"/>
        </w:trPr>
        <w:tc>
          <w:tcPr>
            <w:tcW w:w="0" w:type="auto"/>
            <w:vAlign w:val="center"/>
          </w:tcPr>
          <w:p w14:paraId="0B289C76" w14:textId="77777777" w:rsidR="00024F70" w:rsidRPr="006122EE" w:rsidRDefault="00024F70" w:rsidP="001B637B">
            <w:pPr>
              <w:spacing w:before="60" w:after="60" w:line="240" w:lineRule="auto"/>
            </w:pPr>
            <w:r w:rsidRPr="006122EE">
              <w:t>GTF</w:t>
            </w:r>
            <w:r w:rsidRPr="006122EE">
              <w:tab/>
            </w:r>
            <w:r w:rsidRPr="006122EE">
              <w:tab/>
            </w:r>
          </w:p>
        </w:tc>
        <w:tc>
          <w:tcPr>
            <w:tcW w:w="0" w:type="auto"/>
            <w:vAlign w:val="center"/>
          </w:tcPr>
          <w:p w14:paraId="30070AAC" w14:textId="77777777" w:rsidR="00024F70" w:rsidRPr="006122EE" w:rsidRDefault="00024F70" w:rsidP="001B637B">
            <w:pPr>
              <w:spacing w:before="60" w:after="60" w:line="240" w:lineRule="auto"/>
            </w:pPr>
            <w:r w:rsidRPr="006122EE">
              <w:t>Global Tracking Framework</w:t>
            </w:r>
          </w:p>
        </w:tc>
      </w:tr>
      <w:tr w:rsidR="00024F70" w:rsidRPr="006122EE" w14:paraId="1F133377" w14:textId="77777777" w:rsidTr="00024F70">
        <w:trPr>
          <w:jc w:val="left"/>
        </w:trPr>
        <w:tc>
          <w:tcPr>
            <w:tcW w:w="0" w:type="auto"/>
            <w:vAlign w:val="center"/>
          </w:tcPr>
          <w:p w14:paraId="11238354" w14:textId="77777777" w:rsidR="00024F70" w:rsidRPr="006122EE" w:rsidRDefault="00024F70" w:rsidP="001B637B">
            <w:pPr>
              <w:spacing w:before="60" w:after="60" w:line="240" w:lineRule="auto"/>
            </w:pPr>
            <w:r w:rsidRPr="006122EE">
              <w:t>IEA</w:t>
            </w:r>
          </w:p>
        </w:tc>
        <w:tc>
          <w:tcPr>
            <w:tcW w:w="0" w:type="auto"/>
            <w:vAlign w:val="center"/>
          </w:tcPr>
          <w:p w14:paraId="1A71E963" w14:textId="77777777" w:rsidR="00024F70" w:rsidRPr="006122EE" w:rsidRDefault="00024F70" w:rsidP="001B637B">
            <w:pPr>
              <w:spacing w:before="60" w:after="60" w:line="240" w:lineRule="auto"/>
            </w:pPr>
            <w:r w:rsidRPr="006122EE">
              <w:tab/>
            </w:r>
            <w:r w:rsidRPr="006122EE">
              <w:tab/>
              <w:t>International Energy Agency</w:t>
            </w:r>
          </w:p>
        </w:tc>
      </w:tr>
      <w:tr w:rsidR="00024F70" w:rsidRPr="006122EE" w14:paraId="5DF16964" w14:textId="77777777" w:rsidTr="00024F70">
        <w:trPr>
          <w:jc w:val="left"/>
        </w:trPr>
        <w:tc>
          <w:tcPr>
            <w:tcW w:w="0" w:type="auto"/>
            <w:vAlign w:val="center"/>
          </w:tcPr>
          <w:p w14:paraId="3EAA0E0F" w14:textId="77777777" w:rsidR="00024F70" w:rsidRPr="006122EE" w:rsidRDefault="00024F70" w:rsidP="001B637B">
            <w:pPr>
              <w:spacing w:before="60" w:after="60" w:line="240" w:lineRule="auto"/>
            </w:pPr>
            <w:r w:rsidRPr="006122EE">
              <w:t>ILPBL</w:t>
            </w:r>
          </w:p>
        </w:tc>
        <w:tc>
          <w:tcPr>
            <w:tcW w:w="0" w:type="auto"/>
            <w:vAlign w:val="center"/>
          </w:tcPr>
          <w:p w14:paraId="1CEA2746" w14:textId="77777777" w:rsidR="00024F70" w:rsidRPr="006122EE" w:rsidRDefault="00024F70" w:rsidP="001B637B">
            <w:pPr>
              <w:spacing w:before="60" w:after="60" w:line="240" w:lineRule="auto"/>
            </w:pPr>
            <w:r w:rsidRPr="006122EE">
              <w:tab/>
            </w:r>
            <w:r w:rsidRPr="006122EE">
              <w:tab/>
              <w:t>Inefficient Lighting Products Ban and Labelling</w:t>
            </w:r>
          </w:p>
        </w:tc>
      </w:tr>
      <w:tr w:rsidR="00024F70" w:rsidRPr="006122EE" w14:paraId="2D91ABA1" w14:textId="77777777" w:rsidTr="00024F70">
        <w:trPr>
          <w:jc w:val="left"/>
        </w:trPr>
        <w:tc>
          <w:tcPr>
            <w:tcW w:w="0" w:type="auto"/>
            <w:vAlign w:val="center"/>
          </w:tcPr>
          <w:p w14:paraId="11650DAD" w14:textId="77777777" w:rsidR="00024F70" w:rsidRPr="006122EE" w:rsidRDefault="00024F70" w:rsidP="001B637B">
            <w:pPr>
              <w:spacing w:before="60" w:after="60" w:line="240" w:lineRule="auto"/>
            </w:pPr>
            <w:r w:rsidRPr="006122EE">
              <w:t>INDC</w:t>
            </w:r>
          </w:p>
        </w:tc>
        <w:tc>
          <w:tcPr>
            <w:tcW w:w="0" w:type="auto"/>
            <w:vAlign w:val="center"/>
          </w:tcPr>
          <w:p w14:paraId="6CCA7259" w14:textId="77777777" w:rsidR="00024F70" w:rsidRPr="006122EE" w:rsidRDefault="00024F70" w:rsidP="001B637B">
            <w:pPr>
              <w:spacing w:before="60" w:after="60" w:line="240" w:lineRule="auto"/>
            </w:pPr>
            <w:r w:rsidRPr="006122EE">
              <w:tab/>
            </w:r>
            <w:r w:rsidRPr="006122EE">
              <w:tab/>
              <w:t>Intended Nationally Determined Contribution</w:t>
            </w:r>
          </w:p>
        </w:tc>
      </w:tr>
      <w:tr w:rsidR="00024F70" w:rsidRPr="006122EE" w14:paraId="1D309DB5" w14:textId="77777777" w:rsidTr="00024F70">
        <w:trPr>
          <w:jc w:val="left"/>
        </w:trPr>
        <w:tc>
          <w:tcPr>
            <w:tcW w:w="0" w:type="auto"/>
            <w:vAlign w:val="center"/>
          </w:tcPr>
          <w:p w14:paraId="48721D86" w14:textId="77777777" w:rsidR="00024F70" w:rsidRPr="006122EE" w:rsidRDefault="00024F70" w:rsidP="001B637B">
            <w:pPr>
              <w:spacing w:before="60" w:after="60" w:line="240" w:lineRule="auto"/>
            </w:pPr>
            <w:r w:rsidRPr="006122EE">
              <w:t>IP</w:t>
            </w:r>
          </w:p>
        </w:tc>
        <w:tc>
          <w:tcPr>
            <w:tcW w:w="0" w:type="auto"/>
            <w:vAlign w:val="center"/>
          </w:tcPr>
          <w:p w14:paraId="5CE375F2" w14:textId="77777777" w:rsidR="00024F70" w:rsidRPr="006122EE" w:rsidRDefault="00024F70" w:rsidP="001B637B">
            <w:pPr>
              <w:spacing w:before="60" w:after="60" w:line="240" w:lineRule="auto"/>
            </w:pPr>
            <w:r w:rsidRPr="006122EE">
              <w:tab/>
            </w:r>
            <w:r w:rsidRPr="006122EE">
              <w:tab/>
              <w:t>Investment Prospectus</w:t>
            </w:r>
          </w:p>
        </w:tc>
      </w:tr>
      <w:tr w:rsidR="00024F70" w:rsidRPr="006122EE" w14:paraId="1B0DBA9C" w14:textId="77777777" w:rsidTr="00024F70">
        <w:trPr>
          <w:jc w:val="left"/>
        </w:trPr>
        <w:tc>
          <w:tcPr>
            <w:tcW w:w="0" w:type="auto"/>
            <w:vAlign w:val="center"/>
          </w:tcPr>
          <w:p w14:paraId="6D1EE598" w14:textId="77777777" w:rsidR="00024F70" w:rsidRPr="006122EE" w:rsidRDefault="00024F70" w:rsidP="001B637B">
            <w:pPr>
              <w:spacing w:before="60" w:after="60" w:line="240" w:lineRule="auto"/>
            </w:pPr>
            <w:r w:rsidRPr="006122EE">
              <w:t>IPMVP</w:t>
            </w:r>
          </w:p>
        </w:tc>
        <w:tc>
          <w:tcPr>
            <w:tcW w:w="0" w:type="auto"/>
            <w:vAlign w:val="center"/>
          </w:tcPr>
          <w:p w14:paraId="555AE4F0" w14:textId="77777777" w:rsidR="00024F70" w:rsidRPr="006122EE" w:rsidRDefault="00024F70" w:rsidP="001B637B">
            <w:pPr>
              <w:spacing w:before="60" w:after="60" w:line="240" w:lineRule="auto"/>
            </w:pPr>
            <w:r w:rsidRPr="006122EE">
              <w:tab/>
            </w:r>
            <w:r w:rsidRPr="006122EE">
              <w:tab/>
              <w:t>International Performance Measurement and Verification Protocol</w:t>
            </w:r>
          </w:p>
        </w:tc>
      </w:tr>
      <w:tr w:rsidR="00024F70" w:rsidRPr="006122EE" w14:paraId="14FE2736" w14:textId="77777777" w:rsidTr="00024F70">
        <w:trPr>
          <w:jc w:val="left"/>
        </w:trPr>
        <w:tc>
          <w:tcPr>
            <w:tcW w:w="0" w:type="auto"/>
            <w:vAlign w:val="center"/>
          </w:tcPr>
          <w:p w14:paraId="78BCA9F7" w14:textId="77777777" w:rsidR="00024F70" w:rsidRPr="006122EE" w:rsidRDefault="00024F70" w:rsidP="001B637B">
            <w:pPr>
              <w:spacing w:before="60" w:after="60" w:line="240" w:lineRule="auto"/>
            </w:pPr>
            <w:r w:rsidRPr="006122EE">
              <w:t>IPP</w:t>
            </w:r>
          </w:p>
        </w:tc>
        <w:tc>
          <w:tcPr>
            <w:tcW w:w="0" w:type="auto"/>
            <w:vAlign w:val="center"/>
          </w:tcPr>
          <w:p w14:paraId="78D16AE1" w14:textId="77777777" w:rsidR="00024F70" w:rsidRPr="006122EE" w:rsidRDefault="00024F70" w:rsidP="001B637B">
            <w:pPr>
              <w:spacing w:before="60" w:after="60" w:line="240" w:lineRule="auto"/>
            </w:pPr>
            <w:r w:rsidRPr="006122EE">
              <w:tab/>
            </w:r>
            <w:r w:rsidRPr="006122EE">
              <w:tab/>
              <w:t>Independent power producer</w:t>
            </w:r>
          </w:p>
        </w:tc>
      </w:tr>
      <w:tr w:rsidR="00024F70" w:rsidRPr="006122EE" w14:paraId="1FCBBC82" w14:textId="77777777" w:rsidTr="00024F70">
        <w:trPr>
          <w:jc w:val="left"/>
        </w:trPr>
        <w:tc>
          <w:tcPr>
            <w:tcW w:w="0" w:type="auto"/>
            <w:vAlign w:val="center"/>
          </w:tcPr>
          <w:p w14:paraId="753304A0" w14:textId="77777777" w:rsidR="00024F70" w:rsidRPr="006122EE" w:rsidRDefault="00024F70" w:rsidP="001B637B">
            <w:pPr>
              <w:spacing w:before="60" w:after="60" w:line="240" w:lineRule="auto"/>
            </w:pPr>
            <w:r w:rsidRPr="006122EE">
              <w:t>IRENA</w:t>
            </w:r>
          </w:p>
        </w:tc>
        <w:tc>
          <w:tcPr>
            <w:tcW w:w="0" w:type="auto"/>
            <w:vAlign w:val="center"/>
          </w:tcPr>
          <w:p w14:paraId="41456F4D" w14:textId="77777777" w:rsidR="00024F70" w:rsidRPr="006122EE" w:rsidRDefault="00024F70" w:rsidP="001B637B">
            <w:pPr>
              <w:spacing w:before="60" w:after="60" w:line="240" w:lineRule="auto"/>
            </w:pPr>
            <w:r w:rsidRPr="006122EE">
              <w:tab/>
            </w:r>
            <w:r w:rsidRPr="006122EE">
              <w:tab/>
              <w:t>International Renewable Energy Agency</w:t>
            </w:r>
          </w:p>
        </w:tc>
      </w:tr>
      <w:tr w:rsidR="00024F70" w:rsidRPr="006122EE" w14:paraId="04121D14" w14:textId="77777777" w:rsidTr="00024F70">
        <w:trPr>
          <w:jc w:val="left"/>
        </w:trPr>
        <w:tc>
          <w:tcPr>
            <w:tcW w:w="0" w:type="auto"/>
            <w:vAlign w:val="center"/>
          </w:tcPr>
          <w:p w14:paraId="660B9167" w14:textId="77777777" w:rsidR="00024F70" w:rsidRPr="006122EE" w:rsidRDefault="00024F70" w:rsidP="001B637B">
            <w:pPr>
              <w:spacing w:before="60" w:after="60" w:line="240" w:lineRule="auto"/>
            </w:pPr>
            <w:r w:rsidRPr="006122EE">
              <w:t>kWh</w:t>
            </w:r>
          </w:p>
        </w:tc>
        <w:tc>
          <w:tcPr>
            <w:tcW w:w="0" w:type="auto"/>
            <w:vAlign w:val="center"/>
          </w:tcPr>
          <w:p w14:paraId="64D615E0" w14:textId="77777777" w:rsidR="00024F70" w:rsidRPr="006122EE" w:rsidRDefault="00024F70" w:rsidP="001B637B">
            <w:pPr>
              <w:spacing w:before="60" w:after="60" w:line="240" w:lineRule="auto"/>
            </w:pPr>
            <w:r w:rsidRPr="006122EE">
              <w:tab/>
            </w:r>
            <w:r w:rsidRPr="006122EE">
              <w:tab/>
              <w:t>Kilowatt-hour</w:t>
            </w:r>
          </w:p>
        </w:tc>
      </w:tr>
      <w:tr w:rsidR="00024F70" w:rsidRPr="006122EE" w14:paraId="0F79EE4D" w14:textId="77777777" w:rsidTr="00024F70">
        <w:trPr>
          <w:jc w:val="left"/>
        </w:trPr>
        <w:tc>
          <w:tcPr>
            <w:tcW w:w="0" w:type="auto"/>
            <w:vAlign w:val="center"/>
          </w:tcPr>
          <w:p w14:paraId="45F22E8E" w14:textId="77777777" w:rsidR="00024F70" w:rsidRPr="006122EE" w:rsidRDefault="00024F70" w:rsidP="001B637B">
            <w:pPr>
              <w:spacing w:before="60" w:after="60" w:line="240" w:lineRule="auto"/>
            </w:pPr>
            <w:r w:rsidRPr="006122EE">
              <w:t>LED</w:t>
            </w:r>
          </w:p>
        </w:tc>
        <w:tc>
          <w:tcPr>
            <w:tcW w:w="0" w:type="auto"/>
            <w:vAlign w:val="center"/>
          </w:tcPr>
          <w:p w14:paraId="76F0D074" w14:textId="77777777" w:rsidR="00024F70" w:rsidRPr="006122EE" w:rsidRDefault="00024F70" w:rsidP="001B637B">
            <w:pPr>
              <w:spacing w:before="60" w:after="60" w:line="240" w:lineRule="auto"/>
            </w:pPr>
            <w:r w:rsidRPr="006122EE">
              <w:tab/>
            </w:r>
            <w:r w:rsidRPr="006122EE">
              <w:tab/>
              <w:t>Light-emitting diode</w:t>
            </w:r>
          </w:p>
        </w:tc>
      </w:tr>
      <w:tr w:rsidR="00024F70" w:rsidRPr="006122EE" w14:paraId="03993644" w14:textId="77777777" w:rsidTr="00024F70">
        <w:trPr>
          <w:jc w:val="left"/>
        </w:trPr>
        <w:tc>
          <w:tcPr>
            <w:tcW w:w="0" w:type="auto"/>
            <w:vAlign w:val="center"/>
          </w:tcPr>
          <w:p w14:paraId="53B7B2B3" w14:textId="77777777" w:rsidR="00024F70" w:rsidRPr="006122EE" w:rsidRDefault="00024F70" w:rsidP="001B637B">
            <w:pPr>
              <w:spacing w:before="60" w:after="60" w:line="240" w:lineRule="auto"/>
            </w:pPr>
            <w:r w:rsidRPr="006122EE">
              <w:t>LNG</w:t>
            </w:r>
          </w:p>
        </w:tc>
        <w:tc>
          <w:tcPr>
            <w:tcW w:w="0" w:type="auto"/>
            <w:vAlign w:val="center"/>
          </w:tcPr>
          <w:p w14:paraId="494F55BE" w14:textId="77777777" w:rsidR="00024F70" w:rsidRPr="006122EE" w:rsidRDefault="00024F70" w:rsidP="001B637B">
            <w:pPr>
              <w:spacing w:before="60" w:after="60" w:line="240" w:lineRule="auto"/>
            </w:pPr>
            <w:r w:rsidRPr="006122EE">
              <w:tab/>
            </w:r>
            <w:r w:rsidRPr="006122EE">
              <w:tab/>
              <w:t>Liquefied Natural Gas</w:t>
            </w:r>
          </w:p>
        </w:tc>
      </w:tr>
      <w:tr w:rsidR="00024F70" w:rsidRPr="006122EE" w14:paraId="1D60ED68" w14:textId="77777777" w:rsidTr="00024F70">
        <w:trPr>
          <w:jc w:val="left"/>
        </w:trPr>
        <w:tc>
          <w:tcPr>
            <w:tcW w:w="0" w:type="auto"/>
            <w:vAlign w:val="center"/>
          </w:tcPr>
          <w:p w14:paraId="27C372D2" w14:textId="77777777" w:rsidR="00024F70" w:rsidRPr="006122EE" w:rsidRDefault="00024F70" w:rsidP="001B637B">
            <w:pPr>
              <w:spacing w:before="60" w:after="60" w:line="240" w:lineRule="auto"/>
            </w:pPr>
            <w:r w:rsidRPr="006122EE">
              <w:t>LPG</w:t>
            </w:r>
          </w:p>
        </w:tc>
        <w:tc>
          <w:tcPr>
            <w:tcW w:w="0" w:type="auto"/>
            <w:vAlign w:val="center"/>
          </w:tcPr>
          <w:p w14:paraId="1018AAE6" w14:textId="77777777" w:rsidR="00AD1046" w:rsidRPr="006122EE" w:rsidRDefault="00024F70" w:rsidP="001B637B">
            <w:pPr>
              <w:spacing w:before="60" w:after="60" w:line="240" w:lineRule="auto"/>
            </w:pPr>
            <w:r w:rsidRPr="006122EE">
              <w:tab/>
            </w:r>
            <w:r w:rsidRPr="006122EE">
              <w:tab/>
              <w:t>Liquefied petroleum gas</w:t>
            </w:r>
          </w:p>
        </w:tc>
      </w:tr>
      <w:tr w:rsidR="002D2C9B" w:rsidRPr="006122EE" w14:paraId="7055ADC5" w14:textId="77777777" w:rsidTr="00024F70">
        <w:trPr>
          <w:jc w:val="left"/>
        </w:trPr>
        <w:tc>
          <w:tcPr>
            <w:tcW w:w="0" w:type="auto"/>
            <w:vAlign w:val="center"/>
          </w:tcPr>
          <w:p w14:paraId="2A807CEF" w14:textId="77777777" w:rsidR="002D2C9B" w:rsidRPr="006122EE" w:rsidRDefault="002D2C9B" w:rsidP="001B637B">
            <w:pPr>
              <w:spacing w:before="60" w:after="60" w:line="240" w:lineRule="auto"/>
            </w:pPr>
            <w:r w:rsidRPr="006122EE">
              <w:lastRenderedPageBreak/>
              <w:t>MAREP</w:t>
            </w:r>
          </w:p>
        </w:tc>
        <w:tc>
          <w:tcPr>
            <w:tcW w:w="0" w:type="auto"/>
            <w:vAlign w:val="center"/>
          </w:tcPr>
          <w:p w14:paraId="1E45A19C" w14:textId="77777777" w:rsidR="002D2C9B" w:rsidRPr="006122EE" w:rsidRDefault="002D2C9B" w:rsidP="001B637B">
            <w:pPr>
              <w:spacing w:before="60" w:after="60" w:line="240" w:lineRule="auto"/>
            </w:pPr>
            <w:r w:rsidRPr="006122EE">
              <w:tab/>
            </w:r>
            <w:r w:rsidRPr="006122EE">
              <w:tab/>
              <w:t>Malawi Rural Electrification Programme</w:t>
            </w:r>
          </w:p>
        </w:tc>
      </w:tr>
      <w:tr w:rsidR="002D2C9B" w:rsidRPr="006122EE" w14:paraId="37706ECD" w14:textId="77777777" w:rsidTr="00024F70">
        <w:trPr>
          <w:jc w:val="left"/>
        </w:trPr>
        <w:tc>
          <w:tcPr>
            <w:tcW w:w="0" w:type="auto"/>
            <w:vAlign w:val="center"/>
          </w:tcPr>
          <w:p w14:paraId="21F83F14" w14:textId="77777777" w:rsidR="002D2C9B" w:rsidRPr="006122EE" w:rsidRDefault="002D2C9B" w:rsidP="001B637B">
            <w:pPr>
              <w:spacing w:before="60" w:after="60" w:line="240" w:lineRule="auto"/>
            </w:pPr>
            <w:r w:rsidRPr="006122EE">
              <w:t>MAREP</w:t>
            </w:r>
          </w:p>
        </w:tc>
        <w:tc>
          <w:tcPr>
            <w:tcW w:w="0" w:type="auto"/>
            <w:vAlign w:val="center"/>
          </w:tcPr>
          <w:p w14:paraId="4B9893F1" w14:textId="77777777" w:rsidR="002D2C9B" w:rsidRPr="006122EE" w:rsidRDefault="002D2C9B" w:rsidP="001B637B">
            <w:pPr>
              <w:spacing w:before="60" w:after="60" w:line="240" w:lineRule="auto"/>
            </w:pPr>
            <w:r w:rsidRPr="006122EE">
              <w:tab/>
            </w:r>
            <w:r w:rsidRPr="006122EE">
              <w:tab/>
              <w:t>Malawi Rural Electrification Programme</w:t>
            </w:r>
          </w:p>
        </w:tc>
      </w:tr>
      <w:tr w:rsidR="002D2C9B" w:rsidRPr="006122EE" w14:paraId="03D1CFF7" w14:textId="77777777" w:rsidTr="00024F70">
        <w:trPr>
          <w:jc w:val="left"/>
        </w:trPr>
        <w:tc>
          <w:tcPr>
            <w:tcW w:w="0" w:type="auto"/>
            <w:vAlign w:val="center"/>
          </w:tcPr>
          <w:p w14:paraId="6F5777AD" w14:textId="77777777" w:rsidR="002D2C9B" w:rsidRPr="006122EE" w:rsidRDefault="002D2C9B" w:rsidP="001B637B">
            <w:pPr>
              <w:spacing w:before="60" w:after="60" w:line="240" w:lineRule="auto"/>
            </w:pPr>
            <w:r w:rsidRPr="006122EE">
              <w:t>MERA</w:t>
            </w:r>
          </w:p>
        </w:tc>
        <w:tc>
          <w:tcPr>
            <w:tcW w:w="0" w:type="auto"/>
            <w:vAlign w:val="center"/>
          </w:tcPr>
          <w:p w14:paraId="09971373" w14:textId="77777777" w:rsidR="002D2C9B" w:rsidRPr="006122EE" w:rsidRDefault="002D2C9B" w:rsidP="001B637B">
            <w:pPr>
              <w:spacing w:before="60" w:after="60" w:line="240" w:lineRule="auto"/>
            </w:pPr>
            <w:r w:rsidRPr="006122EE">
              <w:t>Malawi Energy Regulatory Authority</w:t>
            </w:r>
          </w:p>
        </w:tc>
      </w:tr>
      <w:tr w:rsidR="002D2C9B" w:rsidRPr="006122EE" w14:paraId="6731E1D6" w14:textId="77777777" w:rsidTr="00024F70">
        <w:trPr>
          <w:jc w:val="left"/>
        </w:trPr>
        <w:tc>
          <w:tcPr>
            <w:tcW w:w="0" w:type="auto"/>
            <w:vAlign w:val="center"/>
          </w:tcPr>
          <w:p w14:paraId="2323D827" w14:textId="77777777" w:rsidR="002D2C9B" w:rsidRPr="006122EE" w:rsidRDefault="002D2C9B" w:rsidP="001B637B">
            <w:pPr>
              <w:spacing w:before="60" w:after="60" w:line="240" w:lineRule="auto"/>
            </w:pPr>
            <w:r w:rsidRPr="006122EE">
              <w:t>MoNREM</w:t>
            </w:r>
          </w:p>
        </w:tc>
        <w:tc>
          <w:tcPr>
            <w:tcW w:w="0" w:type="auto"/>
            <w:vAlign w:val="center"/>
          </w:tcPr>
          <w:p w14:paraId="31280418" w14:textId="77777777" w:rsidR="002D2C9B" w:rsidRPr="006122EE" w:rsidRDefault="002D2C9B" w:rsidP="001B637B">
            <w:pPr>
              <w:spacing w:before="60" w:after="60" w:line="240" w:lineRule="auto"/>
            </w:pPr>
            <w:r w:rsidRPr="006122EE">
              <w:t>Ministry of Natural Resources, Energy and Mining</w:t>
            </w:r>
          </w:p>
        </w:tc>
      </w:tr>
      <w:tr w:rsidR="002D2C9B" w:rsidRPr="006122EE" w14:paraId="425BB7C5" w14:textId="77777777" w:rsidTr="00024F70">
        <w:trPr>
          <w:jc w:val="left"/>
        </w:trPr>
        <w:tc>
          <w:tcPr>
            <w:tcW w:w="0" w:type="auto"/>
            <w:vAlign w:val="center"/>
          </w:tcPr>
          <w:p w14:paraId="7FB1B5C4" w14:textId="77777777" w:rsidR="002D2C9B" w:rsidRPr="006122EE" w:rsidRDefault="002D2C9B" w:rsidP="001B637B">
            <w:pPr>
              <w:spacing w:before="60" w:after="60" w:line="240" w:lineRule="auto"/>
            </w:pPr>
            <w:r w:rsidRPr="006122EE">
              <w:t>MoTPW</w:t>
            </w:r>
          </w:p>
        </w:tc>
        <w:tc>
          <w:tcPr>
            <w:tcW w:w="0" w:type="auto"/>
            <w:vAlign w:val="center"/>
          </w:tcPr>
          <w:p w14:paraId="5F97170A" w14:textId="77777777" w:rsidR="002D2C9B" w:rsidRPr="006122EE" w:rsidRDefault="002D2C9B" w:rsidP="001B637B">
            <w:pPr>
              <w:spacing w:before="60" w:after="60" w:line="240" w:lineRule="auto"/>
            </w:pPr>
            <w:r w:rsidRPr="006122EE">
              <w:tab/>
            </w:r>
            <w:r w:rsidRPr="006122EE">
              <w:tab/>
              <w:t>Ministry of Transport and Public Works</w:t>
            </w:r>
          </w:p>
        </w:tc>
      </w:tr>
      <w:tr w:rsidR="002D2C9B" w:rsidRPr="006122EE" w14:paraId="43CF12E3" w14:textId="77777777" w:rsidTr="00024F70">
        <w:trPr>
          <w:jc w:val="left"/>
        </w:trPr>
        <w:tc>
          <w:tcPr>
            <w:tcW w:w="0" w:type="auto"/>
            <w:vAlign w:val="center"/>
          </w:tcPr>
          <w:p w14:paraId="53A5D1F0" w14:textId="77777777" w:rsidR="002D2C9B" w:rsidRPr="006122EE" w:rsidRDefault="002D2C9B" w:rsidP="001B637B">
            <w:pPr>
              <w:spacing w:before="60" w:after="60" w:line="240" w:lineRule="auto"/>
            </w:pPr>
            <w:r w:rsidRPr="006122EE">
              <w:t>MW</w:t>
            </w:r>
            <w:r w:rsidRPr="006122EE">
              <w:tab/>
            </w:r>
            <w:r w:rsidRPr="006122EE">
              <w:tab/>
            </w:r>
          </w:p>
        </w:tc>
        <w:tc>
          <w:tcPr>
            <w:tcW w:w="0" w:type="auto"/>
            <w:vAlign w:val="center"/>
          </w:tcPr>
          <w:p w14:paraId="1B73C812" w14:textId="77777777" w:rsidR="002D2C9B" w:rsidRPr="006122EE" w:rsidRDefault="002D2C9B" w:rsidP="001B637B">
            <w:pPr>
              <w:spacing w:before="60" w:after="60" w:line="240" w:lineRule="auto"/>
            </w:pPr>
            <w:r w:rsidRPr="006122EE">
              <w:t>Megawatt</w:t>
            </w:r>
          </w:p>
        </w:tc>
      </w:tr>
      <w:tr w:rsidR="002D2C9B" w:rsidRPr="006122EE" w14:paraId="7FD7FF01" w14:textId="77777777" w:rsidTr="00024F70">
        <w:trPr>
          <w:jc w:val="left"/>
        </w:trPr>
        <w:tc>
          <w:tcPr>
            <w:tcW w:w="0" w:type="auto"/>
            <w:vAlign w:val="center"/>
          </w:tcPr>
          <w:p w14:paraId="7A1458B7" w14:textId="77777777" w:rsidR="002D2C9B" w:rsidRPr="006122EE" w:rsidRDefault="002D2C9B" w:rsidP="001B637B">
            <w:pPr>
              <w:spacing w:before="60" w:after="60" w:line="240" w:lineRule="auto"/>
            </w:pPr>
            <w:r w:rsidRPr="006122EE">
              <w:t>NCST</w:t>
            </w:r>
          </w:p>
        </w:tc>
        <w:tc>
          <w:tcPr>
            <w:tcW w:w="0" w:type="auto"/>
            <w:vAlign w:val="center"/>
          </w:tcPr>
          <w:p w14:paraId="799C64E8" w14:textId="77777777" w:rsidR="002D2C9B" w:rsidRPr="006122EE" w:rsidRDefault="002D2C9B" w:rsidP="001B637B">
            <w:pPr>
              <w:spacing w:before="60" w:after="60" w:line="240" w:lineRule="auto"/>
            </w:pPr>
            <w:r w:rsidRPr="006122EE">
              <w:t>National Commission for Science and Technology</w:t>
            </w:r>
          </w:p>
        </w:tc>
      </w:tr>
      <w:tr w:rsidR="002D2C9B" w:rsidRPr="006122EE" w14:paraId="33A95AD8" w14:textId="77777777" w:rsidTr="00024F70">
        <w:trPr>
          <w:jc w:val="left"/>
        </w:trPr>
        <w:tc>
          <w:tcPr>
            <w:tcW w:w="0" w:type="auto"/>
            <w:vAlign w:val="center"/>
          </w:tcPr>
          <w:p w14:paraId="1C5ECAC4" w14:textId="77777777" w:rsidR="002D2C9B" w:rsidRPr="006122EE" w:rsidRDefault="002D2C9B" w:rsidP="001B637B">
            <w:pPr>
              <w:spacing w:before="60" w:after="60" w:line="240" w:lineRule="auto"/>
            </w:pPr>
            <w:r w:rsidRPr="006122EE">
              <w:t>NEMR</w:t>
            </w:r>
          </w:p>
        </w:tc>
        <w:tc>
          <w:tcPr>
            <w:tcW w:w="0" w:type="auto"/>
            <w:vAlign w:val="center"/>
          </w:tcPr>
          <w:p w14:paraId="7B958F5A" w14:textId="77777777" w:rsidR="002D2C9B" w:rsidRPr="006122EE" w:rsidRDefault="002D2C9B" w:rsidP="001B637B">
            <w:pPr>
              <w:spacing w:before="60" w:after="60" w:line="240" w:lineRule="auto"/>
            </w:pPr>
            <w:r w:rsidRPr="006122EE">
              <w:tab/>
            </w:r>
            <w:r w:rsidRPr="006122EE">
              <w:tab/>
              <w:t>National Energy Management Regulations</w:t>
            </w:r>
          </w:p>
        </w:tc>
      </w:tr>
      <w:tr w:rsidR="002D2C9B" w:rsidRPr="006122EE" w14:paraId="7842E5E5" w14:textId="77777777" w:rsidTr="00024F70">
        <w:trPr>
          <w:jc w:val="left"/>
        </w:trPr>
        <w:tc>
          <w:tcPr>
            <w:tcW w:w="0" w:type="auto"/>
            <w:vAlign w:val="center"/>
          </w:tcPr>
          <w:p w14:paraId="030EE0B9" w14:textId="77777777" w:rsidR="002D2C9B" w:rsidRPr="006122EE" w:rsidRDefault="002D2C9B" w:rsidP="001B637B">
            <w:pPr>
              <w:spacing w:before="60" w:after="60" w:line="240" w:lineRule="auto"/>
            </w:pPr>
            <w:r w:rsidRPr="006122EE">
              <w:t>NEP</w:t>
            </w:r>
          </w:p>
        </w:tc>
        <w:tc>
          <w:tcPr>
            <w:tcW w:w="0" w:type="auto"/>
            <w:vAlign w:val="center"/>
          </w:tcPr>
          <w:p w14:paraId="6CCFBAEC" w14:textId="77777777" w:rsidR="002D2C9B" w:rsidRPr="006122EE" w:rsidRDefault="002D2C9B" w:rsidP="001B637B">
            <w:pPr>
              <w:spacing w:before="60" w:after="60" w:line="240" w:lineRule="auto"/>
            </w:pPr>
            <w:r w:rsidRPr="006122EE">
              <w:tab/>
            </w:r>
            <w:r w:rsidRPr="006122EE">
              <w:tab/>
              <w:t>National Energy Policy</w:t>
            </w:r>
          </w:p>
        </w:tc>
      </w:tr>
      <w:tr w:rsidR="002D2C9B" w:rsidRPr="006122EE" w14:paraId="02414C6D" w14:textId="77777777" w:rsidTr="00024F70">
        <w:trPr>
          <w:jc w:val="left"/>
        </w:trPr>
        <w:tc>
          <w:tcPr>
            <w:tcW w:w="0" w:type="auto"/>
            <w:vAlign w:val="center"/>
          </w:tcPr>
          <w:p w14:paraId="397A8431" w14:textId="77777777" w:rsidR="002D2C9B" w:rsidRPr="006122EE" w:rsidRDefault="002D2C9B" w:rsidP="001B637B">
            <w:pPr>
              <w:spacing w:before="60" w:after="60" w:line="240" w:lineRule="auto"/>
            </w:pPr>
            <w:r w:rsidRPr="006122EE">
              <w:t>NEPAD</w:t>
            </w:r>
            <w:r w:rsidRPr="006122EE">
              <w:tab/>
            </w:r>
            <w:r w:rsidRPr="006122EE">
              <w:tab/>
            </w:r>
          </w:p>
        </w:tc>
        <w:tc>
          <w:tcPr>
            <w:tcW w:w="0" w:type="auto"/>
            <w:vAlign w:val="center"/>
          </w:tcPr>
          <w:p w14:paraId="2C2E2B56" w14:textId="77777777" w:rsidR="002D2C9B" w:rsidRPr="006122EE" w:rsidRDefault="002D2C9B" w:rsidP="001B637B">
            <w:pPr>
              <w:spacing w:before="60" w:after="60" w:line="240" w:lineRule="auto"/>
            </w:pPr>
            <w:r w:rsidRPr="006122EE">
              <w:t>New Partnership for Africa’s Development</w:t>
            </w:r>
          </w:p>
        </w:tc>
      </w:tr>
      <w:tr w:rsidR="002D2C9B" w:rsidRPr="006122EE" w14:paraId="21660CA3" w14:textId="77777777" w:rsidTr="00024F70">
        <w:trPr>
          <w:jc w:val="left"/>
        </w:trPr>
        <w:tc>
          <w:tcPr>
            <w:tcW w:w="0" w:type="auto"/>
            <w:vAlign w:val="center"/>
          </w:tcPr>
          <w:p w14:paraId="1E1D9E55" w14:textId="77777777" w:rsidR="002D2C9B" w:rsidRPr="006122EE" w:rsidRDefault="002D2C9B" w:rsidP="001B637B">
            <w:pPr>
              <w:spacing w:before="60" w:after="60" w:line="240" w:lineRule="auto"/>
            </w:pPr>
            <w:r w:rsidRPr="006122EE">
              <w:t>NGO</w:t>
            </w:r>
            <w:r w:rsidRPr="006122EE">
              <w:tab/>
            </w:r>
            <w:r w:rsidRPr="006122EE">
              <w:tab/>
            </w:r>
          </w:p>
        </w:tc>
        <w:tc>
          <w:tcPr>
            <w:tcW w:w="0" w:type="auto"/>
            <w:vAlign w:val="center"/>
          </w:tcPr>
          <w:p w14:paraId="714FE737" w14:textId="77777777" w:rsidR="002D2C9B" w:rsidRPr="006122EE" w:rsidRDefault="002D2C9B" w:rsidP="001B637B">
            <w:pPr>
              <w:spacing w:before="60" w:after="60" w:line="240" w:lineRule="auto"/>
            </w:pPr>
            <w:r w:rsidRPr="006122EE">
              <w:t>Non-governmental organization</w:t>
            </w:r>
          </w:p>
        </w:tc>
      </w:tr>
      <w:tr w:rsidR="002D2C9B" w:rsidRPr="006122EE" w14:paraId="670F380B" w14:textId="77777777" w:rsidTr="00024F70">
        <w:trPr>
          <w:jc w:val="left"/>
        </w:trPr>
        <w:tc>
          <w:tcPr>
            <w:tcW w:w="0" w:type="auto"/>
            <w:vAlign w:val="center"/>
          </w:tcPr>
          <w:p w14:paraId="62FF932B" w14:textId="77777777" w:rsidR="002D2C9B" w:rsidRPr="006122EE" w:rsidRDefault="002D2C9B" w:rsidP="001B637B">
            <w:pPr>
              <w:spacing w:before="60" w:after="60" w:line="240" w:lineRule="auto"/>
            </w:pPr>
            <w:r w:rsidRPr="006122EE">
              <w:t>NCCRS</w:t>
            </w:r>
          </w:p>
        </w:tc>
        <w:tc>
          <w:tcPr>
            <w:tcW w:w="0" w:type="auto"/>
            <w:vAlign w:val="center"/>
          </w:tcPr>
          <w:p w14:paraId="01BDBD2E" w14:textId="77777777" w:rsidR="002D2C9B" w:rsidRPr="006122EE" w:rsidRDefault="002D2C9B" w:rsidP="001B637B">
            <w:pPr>
              <w:spacing w:before="60" w:after="60" w:line="240" w:lineRule="auto"/>
            </w:pPr>
            <w:r w:rsidRPr="006122EE">
              <w:t>National Climate Change Response Strategy</w:t>
            </w:r>
          </w:p>
        </w:tc>
      </w:tr>
      <w:tr w:rsidR="002D2C9B" w:rsidRPr="006122EE" w14:paraId="300B4119" w14:textId="77777777" w:rsidTr="00024F70">
        <w:trPr>
          <w:jc w:val="left"/>
        </w:trPr>
        <w:tc>
          <w:tcPr>
            <w:tcW w:w="0" w:type="auto"/>
            <w:vAlign w:val="center"/>
          </w:tcPr>
          <w:p w14:paraId="4DE5EFE4" w14:textId="77777777" w:rsidR="002D2C9B" w:rsidRPr="006122EE" w:rsidRDefault="002D2C9B" w:rsidP="001B637B">
            <w:pPr>
              <w:spacing w:before="60" w:after="60" w:line="240" w:lineRule="auto"/>
            </w:pPr>
            <w:r w:rsidRPr="006122EE">
              <w:t>NOCMA</w:t>
            </w:r>
          </w:p>
        </w:tc>
        <w:tc>
          <w:tcPr>
            <w:tcW w:w="0" w:type="auto"/>
            <w:vAlign w:val="center"/>
          </w:tcPr>
          <w:p w14:paraId="0930CBE8" w14:textId="77777777" w:rsidR="002D2C9B" w:rsidRPr="006122EE" w:rsidRDefault="002D2C9B" w:rsidP="001B637B">
            <w:pPr>
              <w:spacing w:before="60" w:after="60" w:line="240" w:lineRule="auto"/>
            </w:pPr>
            <w:r w:rsidRPr="006122EE">
              <w:t>National Oil Company of Malawi</w:t>
            </w:r>
          </w:p>
        </w:tc>
      </w:tr>
      <w:tr w:rsidR="002D2C9B" w:rsidRPr="006122EE" w14:paraId="0A361960" w14:textId="77777777" w:rsidTr="00024F70">
        <w:trPr>
          <w:jc w:val="left"/>
        </w:trPr>
        <w:tc>
          <w:tcPr>
            <w:tcW w:w="0" w:type="auto"/>
            <w:vAlign w:val="center"/>
          </w:tcPr>
          <w:p w14:paraId="3ACD304D" w14:textId="77777777" w:rsidR="002D2C9B" w:rsidRPr="006122EE" w:rsidRDefault="002D2C9B" w:rsidP="001B637B">
            <w:pPr>
              <w:spacing w:before="60" w:after="60" w:line="240" w:lineRule="auto"/>
            </w:pPr>
            <w:r w:rsidRPr="006122EE">
              <w:t>NTP</w:t>
            </w:r>
          </w:p>
        </w:tc>
        <w:tc>
          <w:tcPr>
            <w:tcW w:w="0" w:type="auto"/>
            <w:vAlign w:val="center"/>
          </w:tcPr>
          <w:p w14:paraId="6CC2DA1A" w14:textId="77777777" w:rsidR="002D2C9B" w:rsidRPr="006122EE" w:rsidRDefault="002D2C9B" w:rsidP="001B637B">
            <w:pPr>
              <w:spacing w:before="60" w:after="60" w:line="240" w:lineRule="auto"/>
            </w:pPr>
            <w:r w:rsidRPr="006122EE">
              <w:t>National Transportation Policy</w:t>
            </w:r>
          </w:p>
        </w:tc>
      </w:tr>
      <w:tr w:rsidR="002D2C9B" w:rsidRPr="006122EE" w14:paraId="39EF6A4A" w14:textId="77777777" w:rsidTr="00024F70">
        <w:trPr>
          <w:jc w:val="left"/>
        </w:trPr>
        <w:tc>
          <w:tcPr>
            <w:tcW w:w="0" w:type="auto"/>
            <w:vAlign w:val="center"/>
          </w:tcPr>
          <w:p w14:paraId="58782A27" w14:textId="77777777" w:rsidR="002D2C9B" w:rsidRPr="006122EE" w:rsidRDefault="002D2C9B" w:rsidP="001B637B">
            <w:pPr>
              <w:spacing w:before="60" w:after="60" w:line="240" w:lineRule="auto"/>
            </w:pPr>
            <w:r w:rsidRPr="006122EE">
              <w:t>PIDA</w:t>
            </w:r>
          </w:p>
        </w:tc>
        <w:tc>
          <w:tcPr>
            <w:tcW w:w="0" w:type="auto"/>
            <w:vAlign w:val="center"/>
          </w:tcPr>
          <w:p w14:paraId="14F5EF70" w14:textId="77777777" w:rsidR="002D2C9B" w:rsidRPr="006122EE" w:rsidRDefault="002D2C9B" w:rsidP="001B637B">
            <w:pPr>
              <w:spacing w:before="60" w:after="60" w:line="240" w:lineRule="auto"/>
            </w:pPr>
            <w:r w:rsidRPr="006122EE">
              <w:t>Program for Infrastructure Development in Africa</w:t>
            </w:r>
          </w:p>
        </w:tc>
      </w:tr>
      <w:tr w:rsidR="002D2C9B" w:rsidRPr="006122EE" w14:paraId="4F3A00D2" w14:textId="77777777" w:rsidTr="00024F70">
        <w:trPr>
          <w:jc w:val="left"/>
        </w:trPr>
        <w:tc>
          <w:tcPr>
            <w:tcW w:w="0" w:type="auto"/>
            <w:vAlign w:val="center"/>
          </w:tcPr>
          <w:p w14:paraId="30CD611D" w14:textId="77777777" w:rsidR="002D2C9B" w:rsidRPr="006122EE" w:rsidRDefault="002D2C9B" w:rsidP="001B637B">
            <w:pPr>
              <w:spacing w:before="60" w:after="60" w:line="240" w:lineRule="auto"/>
            </w:pPr>
            <w:r w:rsidRPr="006122EE">
              <w:t>PPA</w:t>
            </w:r>
            <w:r w:rsidRPr="006122EE">
              <w:tab/>
            </w:r>
            <w:r w:rsidRPr="006122EE">
              <w:tab/>
            </w:r>
          </w:p>
        </w:tc>
        <w:tc>
          <w:tcPr>
            <w:tcW w:w="0" w:type="auto"/>
            <w:vAlign w:val="center"/>
          </w:tcPr>
          <w:p w14:paraId="52137345" w14:textId="77777777" w:rsidR="002D2C9B" w:rsidRPr="006122EE" w:rsidRDefault="002D2C9B" w:rsidP="001B637B">
            <w:pPr>
              <w:spacing w:before="60" w:after="60" w:line="240" w:lineRule="auto"/>
            </w:pPr>
            <w:r w:rsidRPr="006122EE">
              <w:t>Power purchase agreement</w:t>
            </w:r>
          </w:p>
        </w:tc>
      </w:tr>
      <w:tr w:rsidR="002D2C9B" w:rsidRPr="006122EE" w14:paraId="68AD9B42" w14:textId="77777777" w:rsidTr="00024F70">
        <w:trPr>
          <w:jc w:val="left"/>
        </w:trPr>
        <w:tc>
          <w:tcPr>
            <w:tcW w:w="0" w:type="auto"/>
            <w:vAlign w:val="center"/>
          </w:tcPr>
          <w:p w14:paraId="7F3E618F" w14:textId="77777777" w:rsidR="002D2C9B" w:rsidRPr="006122EE" w:rsidRDefault="002D2C9B" w:rsidP="001B637B">
            <w:pPr>
              <w:spacing w:before="60" w:after="60" w:line="240" w:lineRule="auto"/>
            </w:pPr>
            <w:r w:rsidRPr="006122EE">
              <w:t>PPM</w:t>
            </w:r>
            <w:r w:rsidRPr="006122EE">
              <w:tab/>
            </w:r>
            <w:r w:rsidRPr="006122EE">
              <w:tab/>
            </w:r>
          </w:p>
        </w:tc>
        <w:tc>
          <w:tcPr>
            <w:tcW w:w="0" w:type="auto"/>
            <w:vAlign w:val="center"/>
          </w:tcPr>
          <w:p w14:paraId="1731B306" w14:textId="77777777" w:rsidR="002D2C9B" w:rsidRPr="006122EE" w:rsidRDefault="002D2C9B" w:rsidP="001B637B">
            <w:pPr>
              <w:spacing w:before="60" w:after="60" w:line="240" w:lineRule="auto"/>
            </w:pPr>
            <w:r w:rsidRPr="006122EE">
              <w:t>Prepayment meter</w:t>
            </w:r>
          </w:p>
        </w:tc>
      </w:tr>
      <w:tr w:rsidR="002D2C9B" w:rsidRPr="006122EE" w14:paraId="64161048" w14:textId="77777777" w:rsidTr="00024F70">
        <w:trPr>
          <w:jc w:val="left"/>
        </w:trPr>
        <w:tc>
          <w:tcPr>
            <w:tcW w:w="0" w:type="auto"/>
            <w:vAlign w:val="center"/>
          </w:tcPr>
          <w:p w14:paraId="672A2803" w14:textId="77777777" w:rsidR="002D2C9B" w:rsidRPr="006122EE" w:rsidRDefault="002D2C9B" w:rsidP="001B637B">
            <w:pPr>
              <w:spacing w:before="60" w:after="60" w:line="240" w:lineRule="auto"/>
            </w:pPr>
            <w:r w:rsidRPr="006122EE">
              <w:t>PV</w:t>
            </w:r>
          </w:p>
        </w:tc>
        <w:tc>
          <w:tcPr>
            <w:tcW w:w="0" w:type="auto"/>
            <w:vAlign w:val="center"/>
          </w:tcPr>
          <w:p w14:paraId="574DF0A7" w14:textId="77777777" w:rsidR="002D2C9B" w:rsidRPr="006122EE" w:rsidRDefault="002D2C9B" w:rsidP="001B637B">
            <w:pPr>
              <w:spacing w:before="60" w:after="60" w:line="240" w:lineRule="auto"/>
            </w:pPr>
            <w:r w:rsidRPr="006122EE">
              <w:t>Photovoltaic</w:t>
            </w:r>
          </w:p>
        </w:tc>
      </w:tr>
      <w:tr w:rsidR="002D2C9B" w:rsidRPr="006122EE" w14:paraId="30C22D88" w14:textId="77777777" w:rsidTr="00024F70">
        <w:trPr>
          <w:jc w:val="left"/>
        </w:trPr>
        <w:tc>
          <w:tcPr>
            <w:tcW w:w="0" w:type="auto"/>
            <w:vAlign w:val="center"/>
          </w:tcPr>
          <w:p w14:paraId="3D7B7D49" w14:textId="77777777" w:rsidR="002D2C9B" w:rsidRPr="006122EE" w:rsidRDefault="002D2C9B" w:rsidP="001B637B">
            <w:pPr>
              <w:spacing w:before="60" w:after="60" w:line="240" w:lineRule="auto"/>
            </w:pPr>
            <w:r w:rsidRPr="006122EE">
              <w:t>RE</w:t>
            </w:r>
          </w:p>
        </w:tc>
        <w:tc>
          <w:tcPr>
            <w:tcW w:w="0" w:type="auto"/>
            <w:vAlign w:val="center"/>
          </w:tcPr>
          <w:p w14:paraId="45823F46" w14:textId="77777777" w:rsidR="002D2C9B" w:rsidRPr="006122EE" w:rsidRDefault="002D2C9B" w:rsidP="001B637B">
            <w:pPr>
              <w:spacing w:before="60" w:after="60" w:line="240" w:lineRule="auto"/>
            </w:pPr>
            <w:r w:rsidRPr="006122EE">
              <w:t>Renewable energy</w:t>
            </w:r>
          </w:p>
        </w:tc>
      </w:tr>
      <w:tr w:rsidR="002D2C9B" w:rsidRPr="006122EE" w14:paraId="19B0047B" w14:textId="77777777" w:rsidTr="00024F70">
        <w:trPr>
          <w:jc w:val="left"/>
        </w:trPr>
        <w:tc>
          <w:tcPr>
            <w:tcW w:w="0" w:type="auto"/>
            <w:vAlign w:val="center"/>
          </w:tcPr>
          <w:p w14:paraId="245990BA" w14:textId="77777777" w:rsidR="002D2C9B" w:rsidRPr="006122EE" w:rsidRDefault="002D2C9B" w:rsidP="001B637B">
            <w:pPr>
              <w:spacing w:before="60" w:after="60" w:line="240" w:lineRule="auto"/>
            </w:pPr>
            <w:r w:rsidRPr="006122EE">
              <w:t>REFiT</w:t>
            </w:r>
          </w:p>
        </w:tc>
        <w:tc>
          <w:tcPr>
            <w:tcW w:w="0" w:type="auto"/>
            <w:vAlign w:val="center"/>
          </w:tcPr>
          <w:p w14:paraId="1B11ECA4" w14:textId="77777777" w:rsidR="002D2C9B" w:rsidRPr="006122EE" w:rsidRDefault="002D2C9B" w:rsidP="001B637B">
            <w:pPr>
              <w:spacing w:before="60" w:after="60" w:line="240" w:lineRule="auto"/>
            </w:pPr>
            <w:r w:rsidRPr="006122EE">
              <w:t>Renewable energy feed-in tariff</w:t>
            </w:r>
          </w:p>
        </w:tc>
      </w:tr>
      <w:tr w:rsidR="002D2C9B" w:rsidRPr="006122EE" w14:paraId="44342EBA" w14:textId="77777777" w:rsidTr="00024F70">
        <w:trPr>
          <w:jc w:val="left"/>
        </w:trPr>
        <w:tc>
          <w:tcPr>
            <w:tcW w:w="0" w:type="auto"/>
            <w:vAlign w:val="center"/>
          </w:tcPr>
          <w:p w14:paraId="10A89F4E" w14:textId="77777777" w:rsidR="002D2C9B" w:rsidRPr="006122EE" w:rsidRDefault="002D2C9B" w:rsidP="001B637B">
            <w:pPr>
              <w:spacing w:before="60" w:after="60" w:line="240" w:lineRule="auto"/>
            </w:pPr>
            <w:r w:rsidRPr="006122EE">
              <w:t>RO</w:t>
            </w:r>
            <w:r w:rsidRPr="006122EE">
              <w:tab/>
            </w:r>
            <w:r w:rsidRPr="006122EE">
              <w:tab/>
            </w:r>
          </w:p>
        </w:tc>
        <w:tc>
          <w:tcPr>
            <w:tcW w:w="0" w:type="auto"/>
            <w:vAlign w:val="center"/>
          </w:tcPr>
          <w:p w14:paraId="2FF424CA" w14:textId="77777777" w:rsidR="002D2C9B" w:rsidRPr="006122EE" w:rsidRDefault="002D2C9B" w:rsidP="001B637B">
            <w:pPr>
              <w:spacing w:before="60" w:after="60" w:line="240" w:lineRule="auto"/>
            </w:pPr>
            <w:r w:rsidRPr="006122EE">
              <w:t>Renewable energy obligation</w:t>
            </w:r>
          </w:p>
        </w:tc>
      </w:tr>
      <w:tr w:rsidR="002D2C9B" w:rsidRPr="006122EE" w14:paraId="114EF78D" w14:textId="77777777" w:rsidTr="002D2C9B">
        <w:trPr>
          <w:jc w:val="left"/>
        </w:trPr>
        <w:tc>
          <w:tcPr>
            <w:tcW w:w="0" w:type="auto"/>
            <w:vAlign w:val="center"/>
          </w:tcPr>
          <w:p w14:paraId="20F16B24" w14:textId="77777777" w:rsidR="002D2C9B" w:rsidRPr="006122EE" w:rsidRDefault="002D2C9B" w:rsidP="001B637B">
            <w:pPr>
              <w:spacing w:before="60" w:after="60" w:line="240" w:lineRule="auto"/>
            </w:pPr>
            <w:r w:rsidRPr="006122EE">
              <w:t>SADC</w:t>
            </w:r>
            <w:r w:rsidRPr="006122EE">
              <w:tab/>
            </w:r>
            <w:r w:rsidRPr="006122EE">
              <w:tab/>
            </w:r>
          </w:p>
        </w:tc>
        <w:tc>
          <w:tcPr>
            <w:tcW w:w="0" w:type="auto"/>
            <w:vAlign w:val="center"/>
          </w:tcPr>
          <w:p w14:paraId="68A80830" w14:textId="77777777" w:rsidR="002D2C9B" w:rsidRPr="006122EE" w:rsidRDefault="002D2C9B" w:rsidP="001B637B">
            <w:pPr>
              <w:spacing w:before="60" w:after="60" w:line="240" w:lineRule="auto"/>
            </w:pPr>
            <w:r w:rsidRPr="006122EE">
              <w:t>Southern African Development Community</w:t>
            </w:r>
          </w:p>
        </w:tc>
      </w:tr>
      <w:tr w:rsidR="002D2C9B" w:rsidRPr="006122EE" w14:paraId="6E4A4F8B" w14:textId="77777777" w:rsidTr="00024F70">
        <w:trPr>
          <w:jc w:val="left"/>
        </w:trPr>
        <w:tc>
          <w:tcPr>
            <w:tcW w:w="0" w:type="auto"/>
            <w:vAlign w:val="center"/>
          </w:tcPr>
          <w:p w14:paraId="1D7B9518" w14:textId="77777777" w:rsidR="002D2C9B" w:rsidRPr="006122EE" w:rsidRDefault="002D2C9B" w:rsidP="001B637B">
            <w:pPr>
              <w:spacing w:before="60" w:after="60" w:line="240" w:lineRule="auto"/>
            </w:pPr>
            <w:r w:rsidRPr="006122EE">
              <w:t>SAPP</w:t>
            </w:r>
          </w:p>
        </w:tc>
        <w:tc>
          <w:tcPr>
            <w:tcW w:w="0" w:type="auto"/>
            <w:vAlign w:val="center"/>
          </w:tcPr>
          <w:p w14:paraId="29138E64" w14:textId="77777777" w:rsidR="002D2C9B" w:rsidRPr="006122EE" w:rsidRDefault="002D2C9B" w:rsidP="001B637B">
            <w:pPr>
              <w:spacing w:before="60" w:after="60" w:line="240" w:lineRule="auto"/>
            </w:pPr>
            <w:r w:rsidRPr="006122EE">
              <w:t>Southern African Power Pool</w:t>
            </w:r>
          </w:p>
        </w:tc>
      </w:tr>
      <w:tr w:rsidR="002D2C9B" w:rsidRPr="006122EE" w14:paraId="61B442FB" w14:textId="77777777" w:rsidTr="00024F70">
        <w:trPr>
          <w:jc w:val="left"/>
        </w:trPr>
        <w:tc>
          <w:tcPr>
            <w:tcW w:w="0" w:type="auto"/>
            <w:vAlign w:val="center"/>
          </w:tcPr>
          <w:p w14:paraId="33DA70B2" w14:textId="77777777" w:rsidR="002D2C9B" w:rsidRPr="006122EE" w:rsidRDefault="002D2C9B" w:rsidP="001B637B">
            <w:pPr>
              <w:spacing w:before="60" w:after="60" w:line="240" w:lineRule="auto"/>
            </w:pPr>
            <w:r w:rsidRPr="006122EE">
              <w:t>SE4ALL</w:t>
            </w:r>
          </w:p>
        </w:tc>
        <w:tc>
          <w:tcPr>
            <w:tcW w:w="0" w:type="auto"/>
            <w:vAlign w:val="center"/>
          </w:tcPr>
          <w:p w14:paraId="5E223767" w14:textId="77777777" w:rsidR="002D2C9B" w:rsidRPr="006122EE" w:rsidRDefault="002D2C9B" w:rsidP="001B637B">
            <w:pPr>
              <w:spacing w:before="60" w:after="60" w:line="240" w:lineRule="auto"/>
            </w:pPr>
            <w:r w:rsidRPr="006122EE">
              <w:t>Sustainable Energy for All initiative</w:t>
            </w:r>
          </w:p>
        </w:tc>
      </w:tr>
      <w:tr w:rsidR="002D2C9B" w:rsidRPr="006122EE" w14:paraId="365ACD71" w14:textId="77777777" w:rsidTr="00024F70">
        <w:trPr>
          <w:jc w:val="left"/>
        </w:trPr>
        <w:tc>
          <w:tcPr>
            <w:tcW w:w="0" w:type="auto"/>
            <w:vAlign w:val="center"/>
          </w:tcPr>
          <w:p w14:paraId="5B7A8BD8" w14:textId="77777777" w:rsidR="002D2C9B" w:rsidRPr="006122EE" w:rsidRDefault="002D2C9B" w:rsidP="001B637B">
            <w:pPr>
              <w:spacing w:before="60" w:after="60" w:line="240" w:lineRule="auto"/>
            </w:pPr>
            <w:r w:rsidRPr="006122EE">
              <w:t>SME</w:t>
            </w:r>
          </w:p>
        </w:tc>
        <w:tc>
          <w:tcPr>
            <w:tcW w:w="0" w:type="auto"/>
            <w:vAlign w:val="center"/>
          </w:tcPr>
          <w:p w14:paraId="0753D68F" w14:textId="77777777" w:rsidR="002D2C9B" w:rsidRPr="006122EE" w:rsidRDefault="002D2C9B" w:rsidP="001B637B">
            <w:pPr>
              <w:spacing w:before="60" w:after="60" w:line="240" w:lineRule="auto"/>
            </w:pPr>
            <w:r w:rsidRPr="006122EE">
              <w:t>Small and medium sized enterprise</w:t>
            </w:r>
          </w:p>
        </w:tc>
      </w:tr>
      <w:tr w:rsidR="002D2C9B" w:rsidRPr="006122EE" w14:paraId="0FCC9012" w14:textId="77777777" w:rsidTr="00024F70">
        <w:trPr>
          <w:jc w:val="left"/>
        </w:trPr>
        <w:tc>
          <w:tcPr>
            <w:tcW w:w="0" w:type="auto"/>
            <w:vAlign w:val="center"/>
          </w:tcPr>
          <w:p w14:paraId="5488494F" w14:textId="77777777" w:rsidR="002D2C9B" w:rsidRPr="006122EE" w:rsidRDefault="002D2C9B" w:rsidP="001B637B">
            <w:pPr>
              <w:spacing w:before="60" w:after="60" w:line="240" w:lineRule="auto"/>
            </w:pPr>
            <w:r w:rsidRPr="006122EE">
              <w:t>TPES</w:t>
            </w:r>
          </w:p>
        </w:tc>
        <w:tc>
          <w:tcPr>
            <w:tcW w:w="0" w:type="auto"/>
            <w:vAlign w:val="center"/>
          </w:tcPr>
          <w:p w14:paraId="0B712CB3" w14:textId="77777777" w:rsidR="002D2C9B" w:rsidRPr="006122EE" w:rsidRDefault="002D2C9B" w:rsidP="001B637B">
            <w:pPr>
              <w:spacing w:before="60" w:after="60" w:line="240" w:lineRule="auto"/>
            </w:pPr>
            <w:r w:rsidRPr="006122EE">
              <w:t>Total Primary Energy Supply</w:t>
            </w:r>
          </w:p>
        </w:tc>
      </w:tr>
      <w:tr w:rsidR="002D2C9B" w:rsidRPr="006122EE" w14:paraId="5C6844D2" w14:textId="77777777" w:rsidTr="00024F70">
        <w:trPr>
          <w:jc w:val="left"/>
        </w:trPr>
        <w:tc>
          <w:tcPr>
            <w:tcW w:w="0" w:type="auto"/>
            <w:vAlign w:val="center"/>
          </w:tcPr>
          <w:p w14:paraId="35BFA921" w14:textId="77777777" w:rsidR="002D2C9B" w:rsidRPr="006122EE" w:rsidRDefault="002D2C9B" w:rsidP="001B637B">
            <w:pPr>
              <w:spacing w:before="60" w:after="60" w:line="240" w:lineRule="auto"/>
            </w:pPr>
            <w:r w:rsidRPr="006122EE">
              <w:t>TDM</w:t>
            </w:r>
          </w:p>
        </w:tc>
        <w:tc>
          <w:tcPr>
            <w:tcW w:w="0" w:type="auto"/>
            <w:vAlign w:val="center"/>
          </w:tcPr>
          <w:p w14:paraId="14C81F5F" w14:textId="77777777" w:rsidR="002D2C9B" w:rsidRPr="006122EE" w:rsidRDefault="002D2C9B" w:rsidP="001B637B">
            <w:pPr>
              <w:spacing w:before="60" w:after="60" w:line="240" w:lineRule="auto"/>
            </w:pPr>
            <w:r w:rsidRPr="006122EE">
              <w:t>Travel Demand Measures</w:t>
            </w:r>
          </w:p>
        </w:tc>
      </w:tr>
      <w:tr w:rsidR="002D2C9B" w:rsidRPr="006122EE" w14:paraId="7F8572CC" w14:textId="77777777" w:rsidTr="00024F70">
        <w:trPr>
          <w:jc w:val="left"/>
        </w:trPr>
        <w:tc>
          <w:tcPr>
            <w:tcW w:w="0" w:type="auto"/>
            <w:vAlign w:val="center"/>
          </w:tcPr>
          <w:p w14:paraId="272506CE" w14:textId="77777777" w:rsidR="002D2C9B" w:rsidRPr="006122EE" w:rsidRDefault="002D2C9B" w:rsidP="001B637B">
            <w:pPr>
              <w:spacing w:before="60" w:after="60" w:line="240" w:lineRule="auto"/>
            </w:pPr>
            <w:r w:rsidRPr="006122EE">
              <w:t>UN</w:t>
            </w:r>
            <w:r w:rsidRPr="006122EE">
              <w:tab/>
            </w:r>
            <w:r w:rsidRPr="006122EE">
              <w:tab/>
            </w:r>
          </w:p>
        </w:tc>
        <w:tc>
          <w:tcPr>
            <w:tcW w:w="0" w:type="auto"/>
            <w:vAlign w:val="center"/>
          </w:tcPr>
          <w:p w14:paraId="5282D07F" w14:textId="77777777" w:rsidR="002D2C9B" w:rsidRPr="006122EE" w:rsidRDefault="002D2C9B" w:rsidP="001B637B">
            <w:pPr>
              <w:spacing w:before="60" w:after="60" w:line="240" w:lineRule="auto"/>
            </w:pPr>
            <w:r w:rsidRPr="006122EE">
              <w:t>United Nations</w:t>
            </w:r>
          </w:p>
        </w:tc>
      </w:tr>
      <w:tr w:rsidR="002D2C9B" w:rsidRPr="006122EE" w14:paraId="622C1795" w14:textId="77777777" w:rsidTr="00024F70">
        <w:trPr>
          <w:jc w:val="left"/>
        </w:trPr>
        <w:tc>
          <w:tcPr>
            <w:tcW w:w="0" w:type="auto"/>
            <w:vAlign w:val="center"/>
          </w:tcPr>
          <w:p w14:paraId="3D91F412" w14:textId="77777777" w:rsidR="002D2C9B" w:rsidRPr="006122EE" w:rsidRDefault="002D2C9B" w:rsidP="001B637B">
            <w:pPr>
              <w:spacing w:before="60" w:after="60" w:line="240" w:lineRule="auto"/>
            </w:pPr>
            <w:r w:rsidRPr="006122EE">
              <w:t>UNDP</w:t>
            </w:r>
          </w:p>
        </w:tc>
        <w:tc>
          <w:tcPr>
            <w:tcW w:w="0" w:type="auto"/>
            <w:vAlign w:val="center"/>
          </w:tcPr>
          <w:p w14:paraId="234D290A" w14:textId="77777777" w:rsidR="002D2C9B" w:rsidRPr="006122EE" w:rsidRDefault="002D2C9B" w:rsidP="001B637B">
            <w:pPr>
              <w:spacing w:before="60" w:after="60" w:line="240" w:lineRule="auto"/>
            </w:pPr>
            <w:r w:rsidRPr="006122EE">
              <w:t>United Nations Development Program</w:t>
            </w:r>
            <w:r w:rsidR="00371195">
              <w:t>me</w:t>
            </w:r>
          </w:p>
        </w:tc>
      </w:tr>
      <w:tr w:rsidR="002D2C9B" w:rsidRPr="006122EE" w14:paraId="4BDD62BA" w14:textId="77777777" w:rsidTr="00024F70">
        <w:trPr>
          <w:jc w:val="left"/>
        </w:trPr>
        <w:tc>
          <w:tcPr>
            <w:tcW w:w="0" w:type="auto"/>
            <w:vAlign w:val="center"/>
          </w:tcPr>
          <w:p w14:paraId="50919CC0" w14:textId="77777777" w:rsidR="002D2C9B" w:rsidRPr="006122EE" w:rsidRDefault="002D2C9B" w:rsidP="001B637B">
            <w:pPr>
              <w:spacing w:before="60" w:after="60" w:line="240" w:lineRule="auto"/>
            </w:pPr>
            <w:r w:rsidRPr="006122EE">
              <w:t>UNEP</w:t>
            </w:r>
            <w:r w:rsidRPr="006122EE">
              <w:tab/>
            </w:r>
            <w:r w:rsidRPr="006122EE">
              <w:tab/>
            </w:r>
          </w:p>
        </w:tc>
        <w:tc>
          <w:tcPr>
            <w:tcW w:w="0" w:type="auto"/>
            <w:vAlign w:val="center"/>
          </w:tcPr>
          <w:p w14:paraId="7D37419F" w14:textId="77777777" w:rsidR="002D2C9B" w:rsidRPr="006122EE" w:rsidRDefault="002D2C9B" w:rsidP="001B637B">
            <w:pPr>
              <w:spacing w:before="60" w:after="60" w:line="240" w:lineRule="auto"/>
            </w:pPr>
            <w:r w:rsidRPr="006122EE">
              <w:t>United Nations Environment Program</w:t>
            </w:r>
            <w:r w:rsidR="00371195">
              <w:t>me</w:t>
            </w:r>
          </w:p>
        </w:tc>
      </w:tr>
      <w:tr w:rsidR="002D2C9B" w:rsidRPr="006122EE" w14:paraId="7CF94BC9" w14:textId="77777777" w:rsidTr="00024F70">
        <w:trPr>
          <w:jc w:val="left"/>
        </w:trPr>
        <w:tc>
          <w:tcPr>
            <w:tcW w:w="0" w:type="auto"/>
            <w:vAlign w:val="center"/>
          </w:tcPr>
          <w:p w14:paraId="07215E0E" w14:textId="77777777" w:rsidR="002D2C9B" w:rsidRPr="006122EE" w:rsidRDefault="002D2C9B" w:rsidP="001B637B">
            <w:pPr>
              <w:spacing w:before="60" w:after="60" w:line="240" w:lineRule="auto"/>
            </w:pPr>
            <w:r w:rsidRPr="006122EE">
              <w:t>UNFCCC</w:t>
            </w:r>
          </w:p>
        </w:tc>
        <w:tc>
          <w:tcPr>
            <w:tcW w:w="0" w:type="auto"/>
            <w:vAlign w:val="center"/>
          </w:tcPr>
          <w:p w14:paraId="2621E274" w14:textId="77777777" w:rsidR="002D2C9B" w:rsidRPr="006122EE" w:rsidRDefault="002D2C9B" w:rsidP="001B637B">
            <w:pPr>
              <w:spacing w:before="60" w:after="60" w:line="240" w:lineRule="auto"/>
            </w:pPr>
            <w:r w:rsidRPr="006122EE">
              <w:t>United Nations Framework Convention on Climate Change</w:t>
            </w:r>
          </w:p>
        </w:tc>
      </w:tr>
      <w:tr w:rsidR="002D2C9B" w:rsidRPr="006122EE" w14:paraId="739425AB" w14:textId="77777777" w:rsidTr="00024F70">
        <w:trPr>
          <w:jc w:val="left"/>
        </w:trPr>
        <w:tc>
          <w:tcPr>
            <w:tcW w:w="0" w:type="auto"/>
            <w:vAlign w:val="center"/>
          </w:tcPr>
          <w:p w14:paraId="02DD6173" w14:textId="77777777" w:rsidR="002D2C9B" w:rsidRPr="006122EE" w:rsidRDefault="002D2C9B" w:rsidP="001B637B">
            <w:pPr>
              <w:spacing w:before="60" w:after="60" w:line="240" w:lineRule="auto"/>
            </w:pPr>
            <w:r w:rsidRPr="006122EE">
              <w:t>UNIDO</w:t>
            </w:r>
          </w:p>
        </w:tc>
        <w:tc>
          <w:tcPr>
            <w:tcW w:w="0" w:type="auto"/>
            <w:vAlign w:val="center"/>
          </w:tcPr>
          <w:p w14:paraId="01F01CF9" w14:textId="77777777" w:rsidR="002D2C9B" w:rsidRPr="006122EE" w:rsidRDefault="002D2C9B" w:rsidP="001B637B">
            <w:pPr>
              <w:spacing w:before="60" w:after="60" w:line="240" w:lineRule="auto"/>
            </w:pPr>
            <w:r w:rsidRPr="006122EE">
              <w:t>United Nations Industrial Development Program</w:t>
            </w:r>
            <w:r w:rsidR="00371195">
              <w:t>me</w:t>
            </w:r>
          </w:p>
        </w:tc>
      </w:tr>
    </w:tbl>
    <w:p w14:paraId="1575FE37" w14:textId="77777777" w:rsidR="00447F6F" w:rsidRPr="006122EE" w:rsidRDefault="00447F6F" w:rsidP="00024F70">
      <w:pPr>
        <w:pStyle w:val="TOC1"/>
        <w:spacing w:before="0" w:after="0"/>
        <w:rPr>
          <w:noProof w:val="0"/>
        </w:rPr>
      </w:pPr>
    </w:p>
    <w:p w14:paraId="6AA641F2" w14:textId="77777777" w:rsidR="00EF57B7" w:rsidRPr="006122EE" w:rsidRDefault="00EF57B7" w:rsidP="00A5149B">
      <w:bookmarkStart w:id="1" w:name="_Toc393479316"/>
      <w:bookmarkStart w:id="2" w:name="_Toc393479318"/>
      <w:bookmarkEnd w:id="1"/>
      <w:bookmarkEnd w:id="2"/>
    </w:p>
    <w:p w14:paraId="073CC313" w14:textId="77777777" w:rsidR="00406CDE" w:rsidRPr="006122EE" w:rsidRDefault="00406CDE" w:rsidP="00A5149B">
      <w:pPr>
        <w:sectPr w:rsidR="00406CDE" w:rsidRPr="006122EE" w:rsidSect="00C47753">
          <w:footerReference w:type="even" r:id="rId13"/>
          <w:footerReference w:type="default" r:id="rId14"/>
          <w:footnotePr>
            <w:numRestart w:val="eachPage"/>
          </w:footnotePr>
          <w:pgSz w:w="11899" w:h="16838" w:code="9"/>
          <w:pgMar w:top="851" w:right="1409" w:bottom="1135" w:left="1134" w:header="709" w:footer="709" w:gutter="227"/>
          <w:cols w:space="708"/>
          <w:titlePg/>
          <w:docGrid w:linePitch="272"/>
        </w:sectPr>
      </w:pPr>
    </w:p>
    <w:p w14:paraId="4114616E" w14:textId="77777777" w:rsidR="00716788" w:rsidRPr="00866D96" w:rsidRDefault="00716788" w:rsidP="006E363C">
      <w:pPr>
        <w:pStyle w:val="APageheading"/>
        <w:rPr>
          <w:noProof w:val="0"/>
        </w:rPr>
      </w:pPr>
      <w:bookmarkStart w:id="3" w:name="_Toc481614864"/>
      <w:r w:rsidRPr="00866D96">
        <w:rPr>
          <w:noProof w:val="0"/>
        </w:rPr>
        <w:lastRenderedPageBreak/>
        <w:t>Executive Summary</w:t>
      </w:r>
      <w:bookmarkEnd w:id="3"/>
    </w:p>
    <w:p w14:paraId="45EA9546" w14:textId="77777777" w:rsidR="00AA182C" w:rsidRPr="006122EE" w:rsidRDefault="00AA182C" w:rsidP="00B53E51">
      <w:pPr>
        <w:spacing w:line="276" w:lineRule="auto"/>
        <w:rPr>
          <w:lang w:eastAsia="en-US"/>
        </w:rPr>
      </w:pPr>
      <w:r w:rsidRPr="006122EE">
        <w:rPr>
          <w:lang w:eastAsia="en-US"/>
        </w:rPr>
        <w:t xml:space="preserve">The United Nations (UN) Secretary General launched the </w:t>
      </w:r>
      <w:r w:rsidR="00327938" w:rsidRPr="006122EE">
        <w:rPr>
          <w:lang w:eastAsia="en-US"/>
        </w:rPr>
        <w:t xml:space="preserve">SE4ALL </w:t>
      </w:r>
      <w:r w:rsidRPr="006122EE">
        <w:rPr>
          <w:lang w:eastAsia="en-US"/>
        </w:rPr>
        <w:t xml:space="preserve">Initiative in September 2011 to achieve three inter-related global goals by 2030: </w:t>
      </w:r>
    </w:p>
    <w:p w14:paraId="536D6FE0" w14:textId="77777777" w:rsidR="00AA182C" w:rsidRPr="00866D96" w:rsidRDefault="00AA182C" w:rsidP="00B53E51">
      <w:pPr>
        <w:pStyle w:val="DBulletlevel1"/>
        <w:spacing w:line="276" w:lineRule="auto"/>
        <w:rPr>
          <w:noProof w:val="0"/>
        </w:rPr>
      </w:pPr>
      <w:r w:rsidRPr="00866D96">
        <w:rPr>
          <w:noProof w:val="0"/>
        </w:rPr>
        <w:t>Ensuring universal access to modern energy services</w:t>
      </w:r>
      <w:r w:rsidR="00CF633B" w:rsidRPr="00866D96">
        <w:rPr>
          <w:noProof w:val="0"/>
        </w:rPr>
        <w:t>.</w:t>
      </w:r>
    </w:p>
    <w:p w14:paraId="2869CF39" w14:textId="77777777" w:rsidR="00AA182C" w:rsidRPr="00866D96" w:rsidRDefault="00AA182C" w:rsidP="00B53E51">
      <w:pPr>
        <w:pStyle w:val="DBulletlevel1"/>
        <w:spacing w:line="276" w:lineRule="auto"/>
        <w:rPr>
          <w:noProof w:val="0"/>
        </w:rPr>
      </w:pPr>
      <w:r w:rsidRPr="00866D96">
        <w:rPr>
          <w:noProof w:val="0"/>
        </w:rPr>
        <w:t>Doubling the global rate of improvement in energy efficiency</w:t>
      </w:r>
      <w:r w:rsidR="00CF633B" w:rsidRPr="00866D96">
        <w:rPr>
          <w:noProof w:val="0"/>
        </w:rPr>
        <w:t>.</w:t>
      </w:r>
    </w:p>
    <w:p w14:paraId="7E3F984B" w14:textId="77777777" w:rsidR="00AA182C" w:rsidRPr="00866D96" w:rsidRDefault="00AA182C" w:rsidP="00B53E51">
      <w:pPr>
        <w:pStyle w:val="DBulletlevel1"/>
        <w:spacing w:line="276" w:lineRule="auto"/>
        <w:rPr>
          <w:noProof w:val="0"/>
        </w:rPr>
      </w:pPr>
      <w:r w:rsidRPr="00866D96">
        <w:rPr>
          <w:noProof w:val="0"/>
        </w:rPr>
        <w:t>Doubling the share of renewable energy in the global energy mix</w:t>
      </w:r>
      <w:r w:rsidR="00CF633B" w:rsidRPr="00866D96">
        <w:rPr>
          <w:noProof w:val="0"/>
        </w:rPr>
        <w:t>.</w:t>
      </w:r>
    </w:p>
    <w:p w14:paraId="68C2663C" w14:textId="77777777" w:rsidR="00AA182C" w:rsidRPr="006122EE" w:rsidRDefault="00AA182C" w:rsidP="00B53E51">
      <w:pPr>
        <w:spacing w:line="276" w:lineRule="auto"/>
        <w:rPr>
          <w:lang w:eastAsia="en-US"/>
        </w:rPr>
      </w:pPr>
      <w:r w:rsidRPr="006122EE">
        <w:rPr>
          <w:lang w:eastAsia="en-US"/>
        </w:rPr>
        <w:t>This Action Agenda (AA) presents an energy sector-wide vision spanning the period 2015 to 2030</w:t>
      </w:r>
      <w:r w:rsidR="00CF633B" w:rsidRPr="006122EE">
        <w:rPr>
          <w:lang w:eastAsia="en-US"/>
        </w:rPr>
        <w:t xml:space="preserve">. </w:t>
      </w:r>
      <w:r w:rsidRPr="006122EE">
        <w:rPr>
          <w:lang w:eastAsia="en-US"/>
        </w:rPr>
        <w:t xml:space="preserve">It outlines how Malawi will achieve the </w:t>
      </w:r>
      <w:r w:rsidR="00327938" w:rsidRPr="006122EE">
        <w:rPr>
          <w:lang w:eastAsia="en-US"/>
        </w:rPr>
        <w:t>SE4ALL</w:t>
      </w:r>
      <w:r w:rsidRPr="006122EE">
        <w:rPr>
          <w:lang w:eastAsia="en-US"/>
        </w:rPr>
        <w:t xml:space="preserve"> goals of universal access to modern energy services, increase the rate of energy efficiency, and increase the share of renewable energy in its energy mix, by 2030.</w:t>
      </w:r>
    </w:p>
    <w:p w14:paraId="04D908B5" w14:textId="77777777" w:rsidR="00AA182C" w:rsidRPr="006122EE" w:rsidRDefault="00AA182C" w:rsidP="00B53E51">
      <w:pPr>
        <w:spacing w:line="276" w:lineRule="auto"/>
        <w:rPr>
          <w:lang w:eastAsia="en-US"/>
        </w:rPr>
      </w:pPr>
      <w:r w:rsidRPr="006122EE">
        <w:rPr>
          <w:lang w:eastAsia="en-US"/>
        </w:rPr>
        <w:t>Access to modern energy services is a necessary precondition for achieving development goals that extend beyond the energy sector to poverty eradication, access to clean water, improved public health and education, women's empowerment and increase</w:t>
      </w:r>
      <w:r w:rsidR="00473949" w:rsidRPr="006122EE">
        <w:rPr>
          <w:lang w:eastAsia="en-US"/>
        </w:rPr>
        <w:t>d</w:t>
      </w:r>
      <w:r w:rsidRPr="006122EE">
        <w:rPr>
          <w:lang w:eastAsia="en-US"/>
        </w:rPr>
        <w:t xml:space="preserve"> food production. </w:t>
      </w:r>
    </w:p>
    <w:p w14:paraId="152FB35D" w14:textId="77777777" w:rsidR="00AA182C" w:rsidRPr="006122EE" w:rsidRDefault="00AA182C" w:rsidP="00B53E51">
      <w:pPr>
        <w:spacing w:line="276" w:lineRule="auto"/>
        <w:rPr>
          <w:lang w:eastAsia="en-US"/>
        </w:rPr>
      </w:pPr>
      <w:r w:rsidRPr="006122EE">
        <w:rPr>
          <w:lang w:eastAsia="en-US"/>
        </w:rPr>
        <w:t xml:space="preserve">The </w:t>
      </w:r>
      <w:r w:rsidR="00327938" w:rsidRPr="006122EE">
        <w:rPr>
          <w:lang w:eastAsia="en-US"/>
        </w:rPr>
        <w:t>SE4ALL</w:t>
      </w:r>
      <w:r w:rsidRPr="006122EE">
        <w:rPr>
          <w:lang w:eastAsia="en-US"/>
        </w:rPr>
        <w:t xml:space="preserve"> initiative is country-driven. That is, while international institutions and consultants are providing assistance helping facilitate the process, achieving </w:t>
      </w:r>
      <w:r w:rsidR="00327938" w:rsidRPr="006122EE">
        <w:rPr>
          <w:lang w:eastAsia="en-US"/>
        </w:rPr>
        <w:t xml:space="preserve">SE4ALL’s </w:t>
      </w:r>
      <w:r w:rsidRPr="006122EE">
        <w:rPr>
          <w:lang w:eastAsia="en-US"/>
        </w:rPr>
        <w:t xml:space="preserve"> objectives will require all major stakeholders in Malawi to play a guiding role. Specifically: </w:t>
      </w:r>
    </w:p>
    <w:p w14:paraId="6200C5AF" w14:textId="77777777" w:rsidR="00AA182C" w:rsidRPr="00866D96" w:rsidRDefault="00AA182C" w:rsidP="00B53E51">
      <w:pPr>
        <w:pStyle w:val="DBulletlevel1"/>
        <w:spacing w:line="276" w:lineRule="auto"/>
        <w:rPr>
          <w:noProof w:val="0"/>
        </w:rPr>
      </w:pPr>
      <w:r w:rsidRPr="00866D96">
        <w:rPr>
          <w:noProof w:val="0"/>
        </w:rPr>
        <w:t>The national and local governments must design and implement a set of integrated actions (i.e. action agenda and investment prospectus</w:t>
      </w:r>
      <w:r w:rsidR="006210DE" w:rsidRPr="00866D96">
        <w:rPr>
          <w:noProof w:val="0"/>
        </w:rPr>
        <w:t>).</w:t>
      </w:r>
    </w:p>
    <w:p w14:paraId="52ACAEAD" w14:textId="77777777" w:rsidR="00AA182C" w:rsidRPr="00866D96" w:rsidRDefault="00AA182C" w:rsidP="00B53E51">
      <w:pPr>
        <w:pStyle w:val="DBulletlevel1"/>
        <w:spacing w:line="276" w:lineRule="auto"/>
        <w:rPr>
          <w:noProof w:val="0"/>
        </w:rPr>
      </w:pPr>
      <w:r w:rsidRPr="00866D96">
        <w:rPr>
          <w:noProof w:val="0"/>
        </w:rPr>
        <w:t>The private sector, through its trade associations and individual firms and investors, must bring business and technical solutions to the Malawian market and drive investment</w:t>
      </w:r>
      <w:r w:rsidR="006210DE" w:rsidRPr="00866D96">
        <w:rPr>
          <w:noProof w:val="0"/>
        </w:rPr>
        <w:t>.</w:t>
      </w:r>
    </w:p>
    <w:p w14:paraId="45B61676" w14:textId="77777777" w:rsidR="00AA182C" w:rsidRPr="00866D96" w:rsidRDefault="00AA182C" w:rsidP="00B53E51">
      <w:pPr>
        <w:pStyle w:val="DBulletlevel1"/>
        <w:spacing w:line="276" w:lineRule="auto"/>
        <w:rPr>
          <w:noProof w:val="0"/>
        </w:rPr>
      </w:pPr>
      <w:r w:rsidRPr="00866D96">
        <w:rPr>
          <w:noProof w:val="0"/>
        </w:rPr>
        <w:t xml:space="preserve">Non-governmental organizations (NGOs) and civil society organizations (CSOs) must advocate for, and monitor, public policy and businesses actions. </w:t>
      </w:r>
    </w:p>
    <w:p w14:paraId="7588911E" w14:textId="77777777" w:rsidR="00AA182C" w:rsidRPr="006122EE" w:rsidRDefault="00AA182C" w:rsidP="00B53E51">
      <w:pPr>
        <w:spacing w:line="276" w:lineRule="auto"/>
        <w:rPr>
          <w:lang w:eastAsia="en-US"/>
        </w:rPr>
      </w:pPr>
      <w:r w:rsidRPr="006122EE">
        <w:rPr>
          <w:lang w:eastAsia="en-US"/>
        </w:rPr>
        <w:t xml:space="preserve">The Government of Malawi (GoM) has developed the present AA building on existing plans, programs and strategies, and embracing the </w:t>
      </w:r>
      <w:r w:rsidR="00327938" w:rsidRPr="006122EE">
        <w:rPr>
          <w:lang w:eastAsia="en-US"/>
        </w:rPr>
        <w:t>SE4ALL</w:t>
      </w:r>
      <w:r w:rsidRPr="006122EE">
        <w:rPr>
          <w:lang w:eastAsia="en-US"/>
        </w:rPr>
        <w:t xml:space="preserve"> guidelines. Increased energy access to underserved populations is a high priority and the </w:t>
      </w:r>
      <w:r w:rsidR="00327938" w:rsidRPr="006122EE">
        <w:rPr>
          <w:lang w:eastAsia="en-US"/>
        </w:rPr>
        <w:t>SE4ALL</w:t>
      </w:r>
      <w:r w:rsidRPr="006122EE">
        <w:rPr>
          <w:lang w:eastAsia="en-US"/>
        </w:rPr>
        <w:t xml:space="preserve"> initiative will increase efforts in this area. The definition of electricity access is connections to the national grid system or distributed (off-grid) electricity solutions which include Solar Home Systems (SHS), mini-grids), which is consistent with the Global Tracking Framework (GTF) and with the multi-tier approach under GTF. </w:t>
      </w:r>
    </w:p>
    <w:p w14:paraId="13342D74" w14:textId="77777777" w:rsidR="00EA598D" w:rsidRPr="006122EE" w:rsidRDefault="0091130D" w:rsidP="00B53E51">
      <w:pPr>
        <w:spacing w:line="276" w:lineRule="auto"/>
        <w:rPr>
          <w:lang w:eastAsia="en-US"/>
        </w:rPr>
      </w:pPr>
      <w:r w:rsidRPr="006122EE">
        <w:rPr>
          <w:lang w:eastAsia="en-US"/>
        </w:rPr>
        <w:t>As of 201</w:t>
      </w:r>
      <w:r w:rsidR="006220D8" w:rsidRPr="006122EE">
        <w:rPr>
          <w:lang w:eastAsia="en-US"/>
        </w:rPr>
        <w:t>6</w:t>
      </w:r>
      <w:r w:rsidRPr="006122EE">
        <w:rPr>
          <w:lang w:eastAsia="en-US"/>
        </w:rPr>
        <w:t>, less than</w:t>
      </w:r>
      <w:r w:rsidR="00EA598D" w:rsidRPr="006122EE">
        <w:rPr>
          <w:lang w:eastAsia="en-US"/>
        </w:rPr>
        <w:t xml:space="preserve"> 10% of the population</w:t>
      </w:r>
      <w:r w:rsidRPr="006122EE">
        <w:rPr>
          <w:lang w:eastAsia="en-US"/>
        </w:rPr>
        <w:t xml:space="preserve"> had access to electricity. In rural areas, it is less than 1%. Meanwhile, 95% of the population, or 1</w:t>
      </w:r>
      <w:r w:rsidR="00473949" w:rsidRPr="006122EE">
        <w:rPr>
          <w:lang w:eastAsia="en-US"/>
        </w:rPr>
        <w:t>6</w:t>
      </w:r>
      <w:r w:rsidRPr="006122EE">
        <w:rPr>
          <w:lang w:eastAsia="en-US"/>
        </w:rPr>
        <w:t>,500,000 Malawians use wood, charcoal or other solid fuels. The solid fuel is used primarily for cooking.</w:t>
      </w:r>
      <w:r w:rsidR="00315EB9" w:rsidRPr="006122EE">
        <w:rPr>
          <w:lang w:eastAsia="en-US"/>
        </w:rPr>
        <w:t xml:space="preserve"> Its high usage causes a high rate of indoor air pollution related diseases. In addition, the 7.5 million tonnes of annual usage of wood greatly exceeds the sustainable supply of 3.7 million tonnes. A variety of initiatives, mainly run by NGOs and funded by donor governments are promoting </w:t>
      </w:r>
      <w:r w:rsidR="002A3DEC">
        <w:rPr>
          <w:lang w:eastAsia="en-US"/>
        </w:rPr>
        <w:t xml:space="preserve">improved cook-stoves and the use of </w:t>
      </w:r>
      <w:r w:rsidR="00315EB9" w:rsidRPr="006122EE">
        <w:rPr>
          <w:lang w:eastAsia="en-US"/>
        </w:rPr>
        <w:t>biogas</w:t>
      </w:r>
      <w:r w:rsidR="002A3DEC">
        <w:rPr>
          <w:lang w:eastAsia="en-US"/>
        </w:rPr>
        <w:t xml:space="preserve"> digesters</w:t>
      </w:r>
      <w:r w:rsidR="00315EB9" w:rsidRPr="006122EE">
        <w:rPr>
          <w:lang w:eastAsia="en-US"/>
        </w:rPr>
        <w:t>.</w:t>
      </w:r>
    </w:p>
    <w:p w14:paraId="53C070DD" w14:textId="77777777" w:rsidR="00AA182C" w:rsidRPr="006122EE" w:rsidRDefault="00315EB9" w:rsidP="00B53E51">
      <w:pPr>
        <w:spacing w:line="276" w:lineRule="auto"/>
        <w:rPr>
          <w:lang w:eastAsia="en-US"/>
        </w:rPr>
      </w:pPr>
      <w:r w:rsidRPr="006122EE">
        <w:rPr>
          <w:lang w:eastAsia="en-US"/>
        </w:rPr>
        <w:t xml:space="preserve">The electric power sector in Malawi is facing challenges as well. Drought conditions and other factors have </w:t>
      </w:r>
      <w:r w:rsidR="00CA4D17" w:rsidRPr="006122EE">
        <w:rPr>
          <w:lang w:eastAsia="en-US"/>
        </w:rPr>
        <w:t xml:space="preserve">greatly </w:t>
      </w:r>
      <w:r w:rsidRPr="006122EE">
        <w:rPr>
          <w:lang w:eastAsia="en-US"/>
        </w:rPr>
        <w:t xml:space="preserve">reduced the output of the country’s hydroelectric plants, which provide most of Malawi’s electricity. The </w:t>
      </w:r>
      <w:r w:rsidR="00327938" w:rsidRPr="006122EE">
        <w:rPr>
          <w:lang w:eastAsia="en-US"/>
        </w:rPr>
        <w:t>g</w:t>
      </w:r>
      <w:r w:rsidRPr="006122EE">
        <w:rPr>
          <w:lang w:eastAsia="en-US"/>
        </w:rPr>
        <w:t xml:space="preserve">overnment is working to develop additional hydroelectric plants, but also is looking to </w:t>
      </w:r>
      <w:r w:rsidR="00CA4D17" w:rsidRPr="006122EE">
        <w:rPr>
          <w:lang w:eastAsia="en-US"/>
        </w:rPr>
        <w:t xml:space="preserve">add generation capacity from </w:t>
      </w:r>
      <w:r w:rsidRPr="006122EE">
        <w:rPr>
          <w:lang w:eastAsia="en-US"/>
        </w:rPr>
        <w:t xml:space="preserve">solar and other </w:t>
      </w:r>
      <w:r w:rsidR="00CA4D17" w:rsidRPr="006122EE">
        <w:rPr>
          <w:lang w:eastAsia="en-US"/>
        </w:rPr>
        <w:t xml:space="preserve">renewable </w:t>
      </w:r>
      <w:r w:rsidRPr="006122EE">
        <w:rPr>
          <w:lang w:eastAsia="en-US"/>
        </w:rPr>
        <w:t>energy resources</w:t>
      </w:r>
      <w:r w:rsidR="00CA4D17" w:rsidRPr="006122EE">
        <w:rPr>
          <w:lang w:eastAsia="en-US"/>
        </w:rPr>
        <w:t xml:space="preserve"> as well as from coal an</w:t>
      </w:r>
      <w:r w:rsidR="00473949" w:rsidRPr="006122EE">
        <w:rPr>
          <w:lang w:eastAsia="en-US"/>
        </w:rPr>
        <w:t>d</w:t>
      </w:r>
      <w:r w:rsidR="00CA4D17" w:rsidRPr="006122EE">
        <w:rPr>
          <w:lang w:eastAsia="en-US"/>
        </w:rPr>
        <w:t xml:space="preserve"> diesel</w:t>
      </w:r>
      <w:r w:rsidRPr="006122EE">
        <w:rPr>
          <w:lang w:eastAsia="en-US"/>
        </w:rPr>
        <w:t>. So far, no large-scale solar projects have been built and connected to the grid</w:t>
      </w:r>
      <w:r w:rsidR="00473949" w:rsidRPr="006122EE">
        <w:rPr>
          <w:lang w:eastAsia="en-US"/>
        </w:rPr>
        <w:t xml:space="preserve"> except for a </w:t>
      </w:r>
      <w:r w:rsidR="00DB4718" w:rsidRPr="006122EE">
        <w:rPr>
          <w:lang w:eastAsia="en-US"/>
        </w:rPr>
        <w:t xml:space="preserve">380 KW </w:t>
      </w:r>
      <w:r w:rsidR="006220D8" w:rsidRPr="006122EE">
        <w:rPr>
          <w:lang w:eastAsia="en-US"/>
        </w:rPr>
        <w:t xml:space="preserve">demonstration </w:t>
      </w:r>
      <w:r w:rsidR="00473949" w:rsidRPr="006122EE">
        <w:rPr>
          <w:lang w:eastAsia="en-US"/>
        </w:rPr>
        <w:t>solar power plant installed at Kamuzu International Airport</w:t>
      </w:r>
      <w:r w:rsidR="006220D8" w:rsidRPr="006122EE">
        <w:rPr>
          <w:lang w:eastAsia="en-US"/>
        </w:rPr>
        <w:t xml:space="preserve"> in Lilongwe</w:t>
      </w:r>
      <w:r w:rsidRPr="006122EE">
        <w:rPr>
          <w:lang w:eastAsia="en-US"/>
        </w:rPr>
        <w:t>.</w:t>
      </w:r>
    </w:p>
    <w:p w14:paraId="18B6B131" w14:textId="77777777" w:rsidR="00AA182C" w:rsidRPr="006122EE" w:rsidRDefault="00CA4D17" w:rsidP="00B53E51">
      <w:pPr>
        <w:spacing w:line="276" w:lineRule="auto"/>
        <w:rPr>
          <w:lang w:eastAsia="en-US"/>
        </w:rPr>
      </w:pPr>
      <w:r w:rsidRPr="006122EE">
        <w:rPr>
          <w:lang w:eastAsia="en-US"/>
        </w:rPr>
        <w:t xml:space="preserve">Malawi has a low level of energy efficiency and there are ample opportunities for improving the energy performance of factories, buildings, barns, and water pumping, street lighting and other uses. </w:t>
      </w:r>
      <w:r w:rsidR="008219EB" w:rsidRPr="006122EE">
        <w:rPr>
          <w:lang w:eastAsia="en-US"/>
        </w:rPr>
        <w:t>There are also opportunities to improve efficiency on the “supply side” involving reduction of losses in the electric transmission and distribution grids.</w:t>
      </w:r>
    </w:p>
    <w:p w14:paraId="33B875A6" w14:textId="77777777" w:rsidR="00CA4D17" w:rsidRPr="006122EE" w:rsidRDefault="00CA4D17" w:rsidP="00B53E51">
      <w:pPr>
        <w:spacing w:line="276" w:lineRule="auto"/>
        <w:rPr>
          <w:lang w:eastAsia="en-US"/>
        </w:rPr>
      </w:pPr>
      <w:r w:rsidRPr="006122EE">
        <w:rPr>
          <w:lang w:eastAsia="en-US"/>
        </w:rPr>
        <w:t>The transportation sector is heavily reliant on imported petroleum products, although Malawi has a sugarcane-based ethanol program that is blending the ethanol with petrol at about an E</w:t>
      </w:r>
      <w:r w:rsidR="00473949" w:rsidRPr="006122EE">
        <w:rPr>
          <w:lang w:eastAsia="en-US"/>
        </w:rPr>
        <w:t>20</w:t>
      </w:r>
      <w:r w:rsidRPr="006122EE">
        <w:rPr>
          <w:lang w:eastAsia="en-US"/>
        </w:rPr>
        <w:t xml:space="preserve"> level. The nation has a fledgling biodiesel industry but there</w:t>
      </w:r>
      <w:r w:rsidR="00473949" w:rsidRPr="006122EE">
        <w:rPr>
          <w:lang w:eastAsia="en-US"/>
        </w:rPr>
        <w:t xml:space="preserve"> are</w:t>
      </w:r>
      <w:r w:rsidRPr="006122EE">
        <w:rPr>
          <w:lang w:eastAsia="en-US"/>
        </w:rPr>
        <w:t xml:space="preserve"> great opportunities for the expansion. There</w:t>
      </w:r>
      <w:r w:rsidR="00473949" w:rsidRPr="006122EE">
        <w:rPr>
          <w:lang w:eastAsia="en-US"/>
        </w:rPr>
        <w:t xml:space="preserve"> are</w:t>
      </w:r>
      <w:r w:rsidRPr="006122EE">
        <w:rPr>
          <w:lang w:eastAsia="en-US"/>
        </w:rPr>
        <w:t xml:space="preserve"> also opportunities for improving the energy efficiency of motor vehicles and the performance of the country’s urban mass transit systems.</w:t>
      </w:r>
    </w:p>
    <w:p w14:paraId="46863AC5" w14:textId="77777777" w:rsidR="00AA182C" w:rsidRPr="006122EE" w:rsidRDefault="00CA4D17" w:rsidP="00B53E51">
      <w:pPr>
        <w:spacing w:line="276" w:lineRule="auto"/>
        <w:rPr>
          <w:lang w:eastAsia="en-US"/>
        </w:rPr>
      </w:pPr>
      <w:r w:rsidRPr="006122EE">
        <w:rPr>
          <w:lang w:eastAsia="en-US"/>
        </w:rPr>
        <w:t xml:space="preserve"> </w:t>
      </w:r>
    </w:p>
    <w:p w14:paraId="26896CC3" w14:textId="77777777" w:rsidR="005B2F66" w:rsidRPr="006122EE" w:rsidRDefault="005B2F66" w:rsidP="00B53E51">
      <w:pPr>
        <w:spacing w:line="276" w:lineRule="auto"/>
        <w:rPr>
          <w:lang w:eastAsia="en-US"/>
        </w:rPr>
      </w:pPr>
      <w:r w:rsidRPr="006122EE">
        <w:rPr>
          <w:lang w:eastAsia="en-US"/>
        </w:rPr>
        <w:t xml:space="preserve">Based on a series of stakeholder meetings held from 2015 to 2017, plus research and analysis of the energy sector reflected in a separate publication, Rapid Assessment and Gap Analysis, a set of targets were established for energy access, renewable energy, energy efficiency and transportation. The targets, which focus on the year 2030, are ambitious but achievable. </w:t>
      </w:r>
    </w:p>
    <w:p w14:paraId="011E3C7A" w14:textId="77777777" w:rsidR="00024F70" w:rsidRPr="00866D96" w:rsidRDefault="00024F70" w:rsidP="00B53E51">
      <w:pPr>
        <w:pStyle w:val="BTitle20"/>
        <w:rPr>
          <w:noProof w:val="0"/>
        </w:rPr>
      </w:pPr>
      <w:bookmarkStart w:id="4" w:name="_Toc447216969"/>
      <w:bookmarkStart w:id="5" w:name="_Toc481614865"/>
      <w:r w:rsidRPr="00866D96">
        <w:rPr>
          <w:noProof w:val="0"/>
        </w:rPr>
        <w:t>Targets</w:t>
      </w:r>
      <w:bookmarkEnd w:id="4"/>
      <w:bookmarkEnd w:id="5"/>
    </w:p>
    <w:p w14:paraId="0002BA50" w14:textId="77777777" w:rsidR="003A58CE" w:rsidRPr="00866D96" w:rsidRDefault="003A58CE" w:rsidP="00B53E51">
      <w:pPr>
        <w:pStyle w:val="BTitle3"/>
        <w:spacing w:line="276" w:lineRule="auto"/>
        <w:rPr>
          <w:noProof w:val="0"/>
          <w:lang w:val="en-GB"/>
        </w:rPr>
      </w:pPr>
      <w:bookmarkStart w:id="6" w:name="_Toc447216970"/>
      <w:bookmarkStart w:id="7" w:name="_Toc481614866"/>
      <w:bookmarkStart w:id="8" w:name="_Toc447216974"/>
      <w:r w:rsidRPr="00866D96">
        <w:rPr>
          <w:noProof w:val="0"/>
          <w:lang w:val="en-GB"/>
        </w:rPr>
        <w:t>Energy Access Targets</w:t>
      </w:r>
      <w:bookmarkEnd w:id="6"/>
      <w:r w:rsidRPr="00866D96">
        <w:rPr>
          <w:noProof w:val="0"/>
          <w:lang w:val="en-GB"/>
        </w:rPr>
        <w:t xml:space="preserve"> </w:t>
      </w:r>
      <w:r w:rsidR="00FD396F" w:rsidRPr="00866D96">
        <w:rPr>
          <w:noProof w:val="0"/>
          <w:lang w:val="en-GB"/>
        </w:rPr>
        <w:t>–</w:t>
      </w:r>
      <w:r w:rsidRPr="00866D96">
        <w:rPr>
          <w:noProof w:val="0"/>
          <w:lang w:val="en-GB"/>
        </w:rPr>
        <w:t xml:space="preserve"> 2030</w:t>
      </w:r>
      <w:bookmarkEnd w:id="7"/>
    </w:p>
    <w:p w14:paraId="03B24611" w14:textId="77777777" w:rsidR="00FD396F" w:rsidRPr="006122EE" w:rsidRDefault="00FD396F" w:rsidP="00B53E51">
      <w:pPr>
        <w:spacing w:line="276" w:lineRule="auto"/>
      </w:pPr>
      <w:r w:rsidRPr="006122EE">
        <w:t>Below are the 2030 targets for modern cooking solutions. The projected 2030 population of the country is 26.</w:t>
      </w:r>
      <w:r w:rsidR="004F15AB" w:rsidRPr="006122EE">
        <w:t>6</w:t>
      </w:r>
      <w:r w:rsidRPr="006122EE">
        <w:t xml:space="preserve"> million.</w:t>
      </w:r>
      <w:r w:rsidRPr="006122EE">
        <w:rPr>
          <w:rStyle w:val="FootnoteReference"/>
        </w:rPr>
        <w:footnoteReference w:id="2"/>
      </w:r>
      <w:r w:rsidRPr="006122EE">
        <w:t xml:space="preserve"> </w:t>
      </w:r>
      <w:r w:rsidR="001F08F6" w:rsidRPr="006122EE">
        <w:t>The</w:t>
      </w:r>
      <w:r w:rsidRPr="006122EE">
        <w:t xml:space="preserve"> </w:t>
      </w:r>
      <w:r w:rsidR="00F61575" w:rsidRPr="006122EE">
        <w:t xml:space="preserve">percentage of the population that is </w:t>
      </w:r>
      <w:r w:rsidR="00A24B06">
        <w:t>likely</w:t>
      </w:r>
      <w:r w:rsidR="004F15AB" w:rsidRPr="006122EE">
        <w:t xml:space="preserve"> to </w:t>
      </w:r>
      <w:r w:rsidR="001F08F6" w:rsidRPr="006122EE">
        <w:t>decrease from its current level of</w:t>
      </w:r>
      <w:r w:rsidRPr="006122EE">
        <w:t xml:space="preserve"> 84% of total population</w:t>
      </w:r>
      <w:r w:rsidR="009529D7" w:rsidRPr="006122EE">
        <w:t xml:space="preserve"> to 79%, based on projections from the </w:t>
      </w:r>
      <w:r w:rsidR="004F15AB" w:rsidRPr="006122EE">
        <w:t xml:space="preserve">United Nations’ </w:t>
      </w:r>
      <w:r w:rsidR="009529D7" w:rsidRPr="006122EE">
        <w:t xml:space="preserve">Population Pyramids of the World from 1950 to 2100. </w:t>
      </w:r>
      <w:r w:rsidR="001F08F6" w:rsidRPr="006122EE">
        <w:t xml:space="preserve">We assume </w:t>
      </w:r>
      <w:r w:rsidRPr="006122EE">
        <w:t>that the average household size will continue to be 4.4 persons. Targets are based on an acceleration of ex</w:t>
      </w:r>
      <w:r w:rsidR="00A24B06">
        <w:t xml:space="preserve">isting trends and the goals of </w:t>
      </w:r>
      <w:r w:rsidR="005B2F66" w:rsidRPr="006122EE">
        <w:t xml:space="preserve">Malawi’s </w:t>
      </w:r>
      <w:r w:rsidRPr="006122EE">
        <w:t xml:space="preserve">Cook Stoves Road Map and the </w:t>
      </w:r>
      <w:r w:rsidRPr="00866D96">
        <w:rPr>
          <w:i/>
        </w:rPr>
        <w:t>Accelerated Access toe Electricity Project</w:t>
      </w:r>
      <w:r w:rsidRPr="006122EE">
        <w:t xml:space="preserve"> of ESCOM, the national </w:t>
      </w:r>
      <w:r w:rsidR="00A24B06">
        <w:t xml:space="preserve">power distribution </w:t>
      </w:r>
      <w:r w:rsidRPr="006122EE">
        <w:t>utility.</w:t>
      </w:r>
    </w:p>
    <w:p w14:paraId="69369F39" w14:textId="77777777" w:rsidR="007C5717" w:rsidRDefault="007C5717" w:rsidP="00B53E51">
      <w:pPr>
        <w:spacing w:line="276" w:lineRule="auto"/>
      </w:pPr>
      <w:r w:rsidRPr="006122EE">
        <w:t>The</w:t>
      </w:r>
      <w:r w:rsidR="005B2F66" w:rsidRPr="006122EE">
        <w:t xml:space="preserve"> main target is the increase in the number of energy-efficient wood stoves from 500,000 in 2016 to 5 mil</w:t>
      </w:r>
      <w:r w:rsidR="00A24B06">
        <w:t>lion by 2030. The</w:t>
      </w:r>
      <w:r w:rsidRPr="006122EE">
        <w:t xml:space="preserve"> increased use of efficient wood stoves will </w:t>
      </w:r>
      <w:r w:rsidR="005B2F66" w:rsidRPr="006122EE">
        <w:t xml:space="preserve">have the greatest </w:t>
      </w:r>
      <w:r w:rsidRPr="006122EE">
        <w:t xml:space="preserve">impact </w:t>
      </w:r>
      <w:r w:rsidR="005B2F66" w:rsidRPr="006122EE">
        <w:t>on biomass use</w:t>
      </w:r>
      <w:r w:rsidR="00A24B06">
        <w:t xml:space="preserve"> compared to any</w:t>
      </w:r>
      <w:r w:rsidR="005B2F66" w:rsidRPr="006122EE">
        <w:t xml:space="preserve"> other activity. </w:t>
      </w:r>
      <w:r w:rsidRPr="006122EE">
        <w:t xml:space="preserve">But a major effort to replace wood with LPG for cooking will be undertaken </w:t>
      </w:r>
      <w:r w:rsidR="002C7991">
        <w:t>as well</w:t>
      </w:r>
      <w:r w:rsidR="000C3EDF">
        <w:t>.</w:t>
      </w:r>
      <w:r w:rsidRPr="006122EE">
        <w:t xml:space="preserve"> </w:t>
      </w:r>
      <w:r w:rsidR="000C3EDF">
        <w:t xml:space="preserve">Although the effort will only reach about 2% of households by 2030, that </w:t>
      </w:r>
      <w:r w:rsidR="002C7991">
        <w:t>will represent</w:t>
      </w:r>
      <w:r w:rsidRPr="006122EE">
        <w:t xml:space="preserve"> an eightfold increase in LPG</w:t>
      </w:r>
      <w:r w:rsidR="002C7991">
        <w:t>-using</w:t>
      </w:r>
      <w:r w:rsidRPr="006122EE">
        <w:t xml:space="preserve"> </w:t>
      </w:r>
      <w:r w:rsidR="002C7991">
        <w:t>households</w:t>
      </w:r>
      <w:r w:rsidR="00291D32" w:rsidRPr="006122EE">
        <w:t xml:space="preserve"> by 2030</w:t>
      </w:r>
      <w:r w:rsidRPr="006122EE">
        <w:t>.</w:t>
      </w:r>
      <w:r w:rsidR="000C3EDF">
        <w:t xml:space="preserve"> Experience in other countries, such as Ghana, shows that gearing up a largescale LPG program takes time. The LPG distribution, storage and retail operations must be established and the public’s safety concerns have to be addressed by demonstrating a long-term safety record with LPG handling and use.</w:t>
      </w:r>
    </w:p>
    <w:p w14:paraId="6F874592" w14:textId="77777777" w:rsidR="00A24B06" w:rsidRPr="00866D96" w:rsidRDefault="00A24B06" w:rsidP="00B53E51">
      <w:pPr>
        <w:spacing w:line="276" w:lineRule="auto"/>
        <w:rPr>
          <w:lang w:eastAsia="en-US"/>
        </w:rPr>
      </w:pPr>
    </w:p>
    <w:p w14:paraId="3384EBB9" w14:textId="77777777" w:rsidR="003A58CE" w:rsidRPr="006122EE" w:rsidRDefault="003A58CE" w:rsidP="00B53E51">
      <w:pPr>
        <w:pStyle w:val="Caption"/>
        <w:spacing w:line="276" w:lineRule="auto"/>
      </w:pPr>
      <w:bookmarkStart w:id="9" w:name="_Toc447217142"/>
      <w:bookmarkStart w:id="10" w:name="_Toc481614986"/>
      <w:r w:rsidRPr="006122EE">
        <w:t xml:space="preserve">Table </w:t>
      </w:r>
      <w:r w:rsidR="00DC7D8C">
        <w:fldChar w:fldCharType="begin"/>
      </w:r>
      <w:r w:rsidR="00DC7D8C">
        <w:instrText xml:space="preserve"> SEQ Table \* ARABIC </w:instrText>
      </w:r>
      <w:r w:rsidR="00DC7D8C">
        <w:fldChar w:fldCharType="separate"/>
      </w:r>
      <w:r w:rsidR="00866D96">
        <w:rPr>
          <w:noProof/>
        </w:rPr>
        <w:t>1</w:t>
      </w:r>
      <w:r w:rsidR="00DC7D8C">
        <w:rPr>
          <w:noProof/>
        </w:rPr>
        <w:fldChar w:fldCharType="end"/>
      </w:r>
      <w:r w:rsidRPr="006122EE">
        <w:t>: Targets</w:t>
      </w:r>
      <w:bookmarkEnd w:id="9"/>
      <w:r w:rsidR="006210DE" w:rsidRPr="006122EE">
        <w:t xml:space="preserve"> on electric cookers, LPG stoves and efficient wood stoves</w:t>
      </w:r>
      <w:bookmarkEnd w:id="10"/>
    </w:p>
    <w:tbl>
      <w:tblPr>
        <w:tblStyle w:val="GridTable4-Accent34"/>
        <w:tblW w:w="5000" w:type="pct"/>
        <w:tblLook w:val="04A0" w:firstRow="1" w:lastRow="0" w:firstColumn="1" w:lastColumn="0" w:noHBand="0" w:noVBand="1"/>
      </w:tblPr>
      <w:tblGrid>
        <w:gridCol w:w="1868"/>
        <w:gridCol w:w="269"/>
        <w:gridCol w:w="1532"/>
        <w:gridCol w:w="1328"/>
        <w:gridCol w:w="2198"/>
        <w:gridCol w:w="2199"/>
      </w:tblGrid>
      <w:tr w:rsidR="006B5F1F" w:rsidRPr="006122EE" w14:paraId="26C9C2DD" w14:textId="77777777" w:rsidTr="00D02F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3" w:type="pct"/>
            <w:gridSpan w:val="2"/>
            <w:hideMark/>
          </w:tcPr>
          <w:p w14:paraId="0D53F173" w14:textId="77777777" w:rsidR="006B5F1F" w:rsidRPr="00866D96" w:rsidRDefault="006B5F1F" w:rsidP="00B53E51">
            <w:pPr>
              <w:spacing w:before="60" w:after="60" w:line="276" w:lineRule="auto"/>
              <w:jc w:val="left"/>
              <w:rPr>
                <w:rFonts w:eastAsia="Times New Roman" w:cs="Arial"/>
                <w:bCs w:val="0"/>
                <w:szCs w:val="20"/>
                <w:lang w:eastAsia="en-US"/>
              </w:rPr>
            </w:pPr>
            <w:r w:rsidRPr="00866D96">
              <w:rPr>
                <w:rFonts w:eastAsia="Times New Roman" w:cs="Arial"/>
                <w:szCs w:val="20"/>
                <w:lang w:eastAsia="en-US"/>
              </w:rPr>
              <w:t>Cooking technology</w:t>
            </w:r>
          </w:p>
        </w:tc>
        <w:tc>
          <w:tcPr>
            <w:tcW w:w="800" w:type="pct"/>
            <w:noWrap/>
            <w:hideMark/>
          </w:tcPr>
          <w:p w14:paraId="68628910" w14:textId="77777777" w:rsidR="006B5F1F" w:rsidRPr="00866D96" w:rsidRDefault="006B5F1F" w:rsidP="00B53E51">
            <w:pPr>
              <w:spacing w:before="60" w:after="60" w:line="276" w:lineRule="auto"/>
              <w:ind w:left="-119"/>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Baseline 2016</w:t>
            </w:r>
          </w:p>
        </w:tc>
        <w:tc>
          <w:tcPr>
            <w:tcW w:w="690" w:type="pct"/>
            <w:noWrap/>
            <w:hideMark/>
          </w:tcPr>
          <w:p w14:paraId="2731252C" w14:textId="77777777" w:rsidR="006B5F1F" w:rsidRPr="00866D96" w:rsidRDefault="006B5F1F"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Target 2030</w:t>
            </w:r>
          </w:p>
        </w:tc>
        <w:tc>
          <w:tcPr>
            <w:tcW w:w="1178" w:type="pct"/>
          </w:tcPr>
          <w:p w14:paraId="236BD437" w14:textId="77777777" w:rsidR="006B5F1F" w:rsidRPr="00866D96" w:rsidRDefault="006B5F1F"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US"/>
              </w:rPr>
            </w:pPr>
            <w:r w:rsidRPr="00866D96">
              <w:rPr>
                <w:rFonts w:eastAsia="Times New Roman" w:cs="Arial"/>
                <w:szCs w:val="20"/>
                <w:lang w:eastAsia="en-US"/>
              </w:rPr>
              <w:t>Percentage of rural</w:t>
            </w:r>
            <w:r w:rsidR="00AD374C" w:rsidRPr="00866D96">
              <w:rPr>
                <w:rStyle w:val="FootnoteReference"/>
                <w:rFonts w:eastAsia="Times New Roman" w:cs="Arial"/>
                <w:szCs w:val="20"/>
                <w:lang w:eastAsia="en-US"/>
              </w:rPr>
              <w:footnoteReference w:id="3"/>
            </w:r>
            <w:r w:rsidR="00AD374C" w:rsidRPr="00866D96">
              <w:rPr>
                <w:rStyle w:val="EndnoteReference"/>
                <w:rFonts w:eastAsia="Times New Roman" w:cs="Arial"/>
                <w:szCs w:val="20"/>
                <w:lang w:eastAsia="en-US"/>
              </w:rPr>
              <w:endnoteReference w:id="2"/>
            </w:r>
            <w:r w:rsidRPr="00866D96">
              <w:rPr>
                <w:rFonts w:eastAsia="Times New Roman" w:cs="Arial"/>
                <w:szCs w:val="20"/>
                <w:lang w:eastAsia="en-US"/>
              </w:rPr>
              <w:t xml:space="preserve"> households with access to modern cooking solutions</w:t>
            </w:r>
            <w:r w:rsidR="00AD374C" w:rsidRPr="00866D96">
              <w:rPr>
                <w:rFonts w:eastAsia="Times New Roman" w:cs="Arial"/>
                <w:szCs w:val="20"/>
                <w:lang w:eastAsia="en-US"/>
              </w:rPr>
              <w:t>, 2016</w:t>
            </w:r>
          </w:p>
        </w:tc>
        <w:tc>
          <w:tcPr>
            <w:tcW w:w="1178" w:type="pct"/>
          </w:tcPr>
          <w:p w14:paraId="7AB9038A" w14:textId="77777777" w:rsidR="006B5F1F" w:rsidRPr="00866D96" w:rsidRDefault="006B5F1F"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US"/>
              </w:rPr>
            </w:pPr>
            <w:r w:rsidRPr="00866D96">
              <w:rPr>
                <w:rFonts w:eastAsia="Times New Roman" w:cs="Arial"/>
                <w:szCs w:val="20"/>
                <w:lang w:eastAsia="en-US"/>
              </w:rPr>
              <w:t xml:space="preserve">Percentage of </w:t>
            </w:r>
            <w:r w:rsidR="00AD374C" w:rsidRPr="00866D96">
              <w:rPr>
                <w:rFonts w:eastAsia="Times New Roman" w:cs="Arial"/>
                <w:szCs w:val="20"/>
                <w:lang w:eastAsia="en-US"/>
              </w:rPr>
              <w:t>rural</w:t>
            </w:r>
            <w:r w:rsidR="00986A3F" w:rsidRPr="00866D96">
              <w:rPr>
                <w:rStyle w:val="FootnoteReference"/>
                <w:rFonts w:eastAsia="Times New Roman" w:cs="Arial"/>
                <w:szCs w:val="20"/>
                <w:lang w:eastAsia="en-US"/>
              </w:rPr>
              <w:footnoteReference w:id="4"/>
            </w:r>
            <w:r w:rsidRPr="00866D96">
              <w:rPr>
                <w:rFonts w:eastAsia="Times New Roman" w:cs="Arial"/>
                <w:szCs w:val="20"/>
                <w:lang w:eastAsia="en-US"/>
              </w:rPr>
              <w:t xml:space="preserve"> </w:t>
            </w:r>
            <w:r w:rsidR="00AD374C" w:rsidRPr="00866D96">
              <w:rPr>
                <w:rFonts w:eastAsia="Times New Roman" w:cs="Arial"/>
                <w:szCs w:val="20"/>
                <w:lang w:eastAsia="en-US"/>
              </w:rPr>
              <w:t>households</w:t>
            </w:r>
            <w:r w:rsidR="006210DE" w:rsidRPr="00866D96">
              <w:rPr>
                <w:rFonts w:eastAsia="Times New Roman" w:cs="Arial"/>
                <w:szCs w:val="20"/>
                <w:lang w:eastAsia="en-US"/>
              </w:rPr>
              <w:t xml:space="preserve"> a</w:t>
            </w:r>
            <w:r w:rsidR="00203332" w:rsidRPr="00866D96">
              <w:rPr>
                <w:rFonts w:eastAsia="Times New Roman" w:cs="Arial"/>
                <w:szCs w:val="20"/>
                <w:lang w:eastAsia="en-US"/>
              </w:rPr>
              <w:t>ccess with</w:t>
            </w:r>
            <w:r w:rsidRPr="00866D96">
              <w:rPr>
                <w:rFonts w:eastAsia="Times New Roman" w:cs="Arial"/>
                <w:szCs w:val="20"/>
                <w:lang w:eastAsia="en-US"/>
              </w:rPr>
              <w:t xml:space="preserve"> modern cooking solutions</w:t>
            </w:r>
            <w:r w:rsidR="00B83CB1" w:rsidRPr="00866D96">
              <w:rPr>
                <w:rFonts w:eastAsia="Times New Roman" w:cs="Arial"/>
                <w:szCs w:val="20"/>
                <w:lang w:eastAsia="en-US"/>
              </w:rPr>
              <w:t>, 203</w:t>
            </w:r>
            <w:r w:rsidR="00AD374C" w:rsidRPr="00866D96">
              <w:rPr>
                <w:rFonts w:eastAsia="Times New Roman" w:cs="Arial"/>
                <w:szCs w:val="20"/>
                <w:lang w:eastAsia="en-US"/>
              </w:rPr>
              <w:t>0</w:t>
            </w:r>
          </w:p>
        </w:tc>
      </w:tr>
      <w:tr w:rsidR="006B5F1F" w:rsidRPr="006122EE" w14:paraId="14F15841" w14:textId="77777777" w:rsidTr="00D02F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2" w:type="pct"/>
          </w:tcPr>
          <w:p w14:paraId="25456A55" w14:textId="77777777" w:rsidR="006B5F1F" w:rsidRPr="00866D96" w:rsidRDefault="006B5F1F"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Electric cookers</w:t>
            </w:r>
          </w:p>
        </w:tc>
        <w:tc>
          <w:tcPr>
            <w:tcW w:w="952" w:type="pct"/>
            <w:gridSpan w:val="2"/>
            <w:noWrap/>
          </w:tcPr>
          <w:p w14:paraId="730D14BE" w14:textId="77777777" w:rsidR="006B5F1F" w:rsidRPr="00866D96" w:rsidRDefault="006B5F1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8</w:t>
            </w:r>
            <w:r w:rsidR="002F71DA" w:rsidRPr="00866D96">
              <w:rPr>
                <w:rFonts w:eastAsia="Times New Roman" w:cs="Arial"/>
                <w:color w:val="000000"/>
                <w:szCs w:val="20"/>
                <w:lang w:eastAsia="en-US"/>
              </w:rPr>
              <w:t>4,</w:t>
            </w:r>
            <w:r w:rsidRPr="00866D96">
              <w:rPr>
                <w:rFonts w:eastAsia="Times New Roman" w:cs="Arial"/>
                <w:color w:val="000000"/>
                <w:szCs w:val="20"/>
                <w:lang w:eastAsia="en-US"/>
              </w:rPr>
              <w:t>000</w:t>
            </w:r>
          </w:p>
        </w:tc>
        <w:tc>
          <w:tcPr>
            <w:tcW w:w="690" w:type="pct"/>
            <w:noWrap/>
          </w:tcPr>
          <w:p w14:paraId="57E1C35E" w14:textId="77777777" w:rsidR="006B5F1F" w:rsidRPr="00866D96" w:rsidRDefault="006220D8"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135</w:t>
            </w:r>
            <w:r w:rsidR="006B5F1F" w:rsidRPr="00866D96">
              <w:rPr>
                <w:rFonts w:eastAsia="Times New Roman" w:cs="Arial"/>
                <w:color w:val="000000"/>
                <w:szCs w:val="20"/>
                <w:lang w:eastAsia="en-US"/>
              </w:rPr>
              <w:t>,000</w:t>
            </w:r>
          </w:p>
        </w:tc>
        <w:tc>
          <w:tcPr>
            <w:tcW w:w="1178" w:type="pct"/>
          </w:tcPr>
          <w:p w14:paraId="0B10E137" w14:textId="77777777" w:rsidR="006B5F1F" w:rsidRPr="00866D96" w:rsidRDefault="00986A3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3.0</w:t>
            </w:r>
            <w:r w:rsidR="000D2D33">
              <w:rPr>
                <w:rFonts w:eastAsia="Times New Roman" w:cs="Arial"/>
                <w:color w:val="000000"/>
                <w:szCs w:val="20"/>
                <w:lang w:eastAsia="en-US"/>
              </w:rPr>
              <w:t>%</w:t>
            </w:r>
          </w:p>
        </w:tc>
        <w:tc>
          <w:tcPr>
            <w:tcW w:w="1178" w:type="pct"/>
          </w:tcPr>
          <w:p w14:paraId="219CBC52" w14:textId="77777777" w:rsidR="006B5F1F" w:rsidRPr="00866D96" w:rsidRDefault="000C3ED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Pr>
                <w:rFonts w:eastAsia="Times New Roman" w:cs="Arial"/>
                <w:color w:val="000000"/>
                <w:szCs w:val="20"/>
                <w:lang w:eastAsia="en-US"/>
              </w:rPr>
              <w:t>4</w:t>
            </w:r>
            <w:r w:rsidR="000D2D33">
              <w:rPr>
                <w:rFonts w:eastAsia="Times New Roman" w:cs="Arial"/>
                <w:color w:val="000000"/>
                <w:szCs w:val="20"/>
                <w:lang w:eastAsia="en-US"/>
              </w:rPr>
              <w:t>%</w:t>
            </w:r>
          </w:p>
        </w:tc>
      </w:tr>
      <w:tr w:rsidR="006B5F1F" w:rsidRPr="006122EE" w14:paraId="2B748EC7" w14:textId="77777777" w:rsidTr="00D02F02">
        <w:trPr>
          <w:trHeight w:val="288"/>
        </w:trPr>
        <w:tc>
          <w:tcPr>
            <w:cnfStyle w:val="001000000000" w:firstRow="0" w:lastRow="0" w:firstColumn="1" w:lastColumn="0" w:oddVBand="0" w:evenVBand="0" w:oddHBand="0" w:evenHBand="0" w:firstRowFirstColumn="0" w:firstRowLastColumn="0" w:lastRowFirstColumn="0" w:lastRowLastColumn="0"/>
            <w:tcW w:w="1002" w:type="pct"/>
            <w:hideMark/>
          </w:tcPr>
          <w:p w14:paraId="09D36D83" w14:textId="77777777" w:rsidR="006B5F1F" w:rsidRPr="00866D96" w:rsidRDefault="006B5F1F"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LPG stoves</w:t>
            </w:r>
          </w:p>
        </w:tc>
        <w:tc>
          <w:tcPr>
            <w:tcW w:w="952" w:type="pct"/>
            <w:gridSpan w:val="2"/>
            <w:noWrap/>
          </w:tcPr>
          <w:p w14:paraId="0F1D0167" w14:textId="77777777" w:rsidR="006B5F1F" w:rsidRPr="00866D96" w:rsidRDefault="006B5F1F"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6,800</w:t>
            </w:r>
          </w:p>
        </w:tc>
        <w:tc>
          <w:tcPr>
            <w:tcW w:w="690" w:type="pct"/>
            <w:noWrap/>
          </w:tcPr>
          <w:p w14:paraId="66CB727B" w14:textId="77777777" w:rsidR="006B5F1F" w:rsidRPr="00866D96" w:rsidRDefault="006B5F1F"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54,000</w:t>
            </w:r>
          </w:p>
        </w:tc>
        <w:tc>
          <w:tcPr>
            <w:tcW w:w="1178" w:type="pct"/>
          </w:tcPr>
          <w:p w14:paraId="25F3BD04" w14:textId="77777777" w:rsidR="006B5F1F" w:rsidRPr="00866D96" w:rsidRDefault="006122E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Pr>
                <w:rFonts w:eastAsia="Times New Roman" w:cs="Arial"/>
                <w:color w:val="000000"/>
                <w:szCs w:val="20"/>
                <w:lang w:eastAsia="en-US"/>
              </w:rPr>
              <w:t>0</w:t>
            </w:r>
            <w:r w:rsidR="00175B01" w:rsidRPr="00866D96">
              <w:rPr>
                <w:rFonts w:eastAsia="Times New Roman" w:cs="Arial"/>
                <w:color w:val="000000"/>
                <w:szCs w:val="20"/>
                <w:lang w:eastAsia="en-US"/>
              </w:rPr>
              <w:t>.</w:t>
            </w:r>
            <w:r w:rsidR="00986A3F" w:rsidRPr="00866D96">
              <w:rPr>
                <w:rFonts w:eastAsia="Times New Roman" w:cs="Arial"/>
                <w:color w:val="000000"/>
                <w:szCs w:val="20"/>
                <w:lang w:eastAsia="en-US"/>
              </w:rPr>
              <w:t>2</w:t>
            </w:r>
            <w:r w:rsidR="000D2D33">
              <w:rPr>
                <w:rFonts w:eastAsia="Times New Roman" w:cs="Arial"/>
                <w:color w:val="000000"/>
                <w:szCs w:val="20"/>
                <w:lang w:eastAsia="en-US"/>
              </w:rPr>
              <w:t>%</w:t>
            </w:r>
          </w:p>
        </w:tc>
        <w:tc>
          <w:tcPr>
            <w:tcW w:w="1178" w:type="pct"/>
          </w:tcPr>
          <w:p w14:paraId="12A6FE40" w14:textId="77777777" w:rsidR="006B5F1F" w:rsidRPr="00866D96" w:rsidRDefault="000C3EDF"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Pr>
                <w:rFonts w:eastAsia="Times New Roman" w:cs="Arial"/>
                <w:color w:val="000000"/>
                <w:szCs w:val="20"/>
                <w:lang w:eastAsia="en-US"/>
              </w:rPr>
              <w:t>2</w:t>
            </w:r>
            <w:r w:rsidR="000D2D33">
              <w:rPr>
                <w:rFonts w:eastAsia="Times New Roman" w:cs="Arial"/>
                <w:color w:val="000000"/>
                <w:szCs w:val="20"/>
                <w:lang w:eastAsia="en-US"/>
              </w:rPr>
              <w:t>%</w:t>
            </w:r>
          </w:p>
        </w:tc>
      </w:tr>
      <w:tr w:rsidR="006B5F1F" w:rsidRPr="006122EE" w14:paraId="64E27A0B" w14:textId="77777777" w:rsidTr="00D02F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2" w:type="pct"/>
            <w:hideMark/>
          </w:tcPr>
          <w:p w14:paraId="3196449B" w14:textId="77777777" w:rsidR="006B5F1F" w:rsidRPr="00866D96" w:rsidRDefault="006B5F1F"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Efficient wood stoves</w:t>
            </w:r>
          </w:p>
        </w:tc>
        <w:tc>
          <w:tcPr>
            <w:tcW w:w="952" w:type="pct"/>
            <w:gridSpan w:val="2"/>
            <w:noWrap/>
          </w:tcPr>
          <w:p w14:paraId="6CD2BFC1" w14:textId="77777777" w:rsidR="006B5F1F" w:rsidRPr="00866D96" w:rsidRDefault="006B5F1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500,000</w:t>
            </w:r>
          </w:p>
        </w:tc>
        <w:tc>
          <w:tcPr>
            <w:tcW w:w="690" w:type="pct"/>
            <w:noWrap/>
          </w:tcPr>
          <w:p w14:paraId="6C1339F5" w14:textId="77777777" w:rsidR="006B5F1F" w:rsidRPr="00866D96" w:rsidRDefault="006B5F1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5 million</w:t>
            </w:r>
          </w:p>
        </w:tc>
        <w:tc>
          <w:tcPr>
            <w:tcW w:w="1178" w:type="pct"/>
          </w:tcPr>
          <w:p w14:paraId="38A36D1B" w14:textId="77777777" w:rsidR="006B5F1F" w:rsidRPr="00866D96" w:rsidRDefault="00986A3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17.6</w:t>
            </w:r>
            <w:r w:rsidR="000D2D33">
              <w:rPr>
                <w:rFonts w:eastAsia="Times New Roman" w:cs="Arial"/>
                <w:color w:val="000000"/>
                <w:szCs w:val="20"/>
                <w:lang w:eastAsia="en-US"/>
              </w:rPr>
              <w:t>%</w:t>
            </w:r>
          </w:p>
        </w:tc>
        <w:tc>
          <w:tcPr>
            <w:tcW w:w="1178" w:type="pct"/>
          </w:tcPr>
          <w:p w14:paraId="709D7D72" w14:textId="77777777" w:rsidR="006B5F1F" w:rsidRPr="00866D96" w:rsidRDefault="00175B01"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100</w:t>
            </w:r>
            <w:r w:rsidR="000D2D33">
              <w:rPr>
                <w:rFonts w:eastAsia="Times New Roman" w:cs="Arial"/>
                <w:color w:val="000000"/>
                <w:szCs w:val="20"/>
                <w:lang w:eastAsia="en-US"/>
              </w:rPr>
              <w:t>%</w:t>
            </w:r>
          </w:p>
        </w:tc>
      </w:tr>
    </w:tbl>
    <w:p w14:paraId="5F70ED1B" w14:textId="77777777" w:rsidR="00A24B06" w:rsidRDefault="00A24B06" w:rsidP="00B53E51">
      <w:pPr>
        <w:spacing w:line="276" w:lineRule="auto"/>
      </w:pPr>
    </w:p>
    <w:p w14:paraId="0A452158" w14:textId="77777777" w:rsidR="00A24B06" w:rsidRDefault="00A24B06" w:rsidP="00B53E51">
      <w:pPr>
        <w:spacing w:line="276" w:lineRule="auto"/>
      </w:pPr>
      <w:r>
        <w:t xml:space="preserve">It should be noted that the target of 100% of households using efficient wood stoves does not mean that wood use will increase. Rather, it means a decrease in wood use because currently close to 100% of households use </w:t>
      </w:r>
      <w:r w:rsidRPr="00A24B06">
        <w:rPr>
          <w:i/>
        </w:rPr>
        <w:t>inefficient</w:t>
      </w:r>
      <w:r>
        <w:t xml:space="preserve"> wood stoves. It should also be noted that households that use electric cookers and LPG stoves tend to also use wood stoves, so even as the penetration of alternative cooking technologies increases and wood use decreases, the percentage of households that have wood stoves will remain high. </w:t>
      </w:r>
    </w:p>
    <w:p w14:paraId="191CDC1A" w14:textId="77777777" w:rsidR="00CA4044" w:rsidRPr="006122EE" w:rsidRDefault="00CA4044" w:rsidP="00B53E51">
      <w:pPr>
        <w:spacing w:line="276" w:lineRule="auto"/>
      </w:pPr>
      <w:r w:rsidRPr="006122EE">
        <w:t xml:space="preserve">In addition to cooking technologies, another thermal energy service is water heating as a replacement for electric water heating. </w:t>
      </w:r>
      <w:r w:rsidR="009457B1" w:rsidRPr="006122EE">
        <w:t>The 2030 target involves a twenty-fold increase in the use of solar water heaters.</w:t>
      </w:r>
    </w:p>
    <w:p w14:paraId="03348E97" w14:textId="77777777" w:rsidR="00A24B06" w:rsidRDefault="00A24B06" w:rsidP="00B53E51">
      <w:pPr>
        <w:pStyle w:val="Caption"/>
        <w:spacing w:line="276" w:lineRule="auto"/>
      </w:pPr>
      <w:bookmarkStart w:id="11" w:name="_Toc481614987"/>
    </w:p>
    <w:p w14:paraId="124EF2BA" w14:textId="77777777" w:rsidR="006210DE" w:rsidRPr="006122EE" w:rsidRDefault="006210DE" w:rsidP="00B53E51">
      <w:pPr>
        <w:pStyle w:val="Caption"/>
        <w:spacing w:line="276" w:lineRule="auto"/>
      </w:pPr>
      <w:r w:rsidRPr="006122EE">
        <w:t xml:space="preserve">Table </w:t>
      </w:r>
      <w:r w:rsidR="00DC7D8C">
        <w:fldChar w:fldCharType="begin"/>
      </w:r>
      <w:r w:rsidR="00DC7D8C">
        <w:instrText xml:space="preserve"> SEQ Table \* ARABIC </w:instrText>
      </w:r>
      <w:r w:rsidR="00DC7D8C">
        <w:fldChar w:fldCharType="separate"/>
      </w:r>
      <w:r w:rsidR="00866D96">
        <w:rPr>
          <w:noProof/>
        </w:rPr>
        <w:t>2</w:t>
      </w:r>
      <w:r w:rsidR="00DC7D8C">
        <w:rPr>
          <w:noProof/>
        </w:rPr>
        <w:fldChar w:fldCharType="end"/>
      </w:r>
      <w:r w:rsidRPr="006122EE">
        <w:t>: Targets on solar water heaters</w:t>
      </w:r>
      <w:bookmarkEnd w:id="11"/>
    </w:p>
    <w:tbl>
      <w:tblPr>
        <w:tblStyle w:val="GridTable4-Accent34"/>
        <w:tblW w:w="5000" w:type="pct"/>
        <w:tblLook w:val="04A0" w:firstRow="1" w:lastRow="0" w:firstColumn="1" w:lastColumn="0" w:noHBand="0" w:noVBand="1"/>
      </w:tblPr>
      <w:tblGrid>
        <w:gridCol w:w="3821"/>
        <w:gridCol w:w="1541"/>
        <w:gridCol w:w="1328"/>
        <w:gridCol w:w="2704"/>
      </w:tblGrid>
      <w:tr w:rsidR="00CA4044" w:rsidRPr="006122EE" w14:paraId="4088C59E" w14:textId="77777777" w:rsidTr="00726AF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4" w:type="pct"/>
            <w:hideMark/>
          </w:tcPr>
          <w:p w14:paraId="79C28211" w14:textId="77777777" w:rsidR="00CA4044" w:rsidRPr="00866D96" w:rsidRDefault="00CA4044" w:rsidP="00B53E51">
            <w:pPr>
              <w:spacing w:before="60" w:after="60" w:line="276" w:lineRule="auto"/>
              <w:jc w:val="left"/>
              <w:rPr>
                <w:rFonts w:eastAsia="Times New Roman" w:cs="Arial"/>
                <w:bCs w:val="0"/>
                <w:szCs w:val="20"/>
                <w:lang w:eastAsia="en-US"/>
              </w:rPr>
            </w:pPr>
            <w:r w:rsidRPr="00866D96">
              <w:rPr>
                <w:rFonts w:eastAsia="Times New Roman" w:cs="Arial"/>
                <w:szCs w:val="20"/>
                <w:lang w:eastAsia="en-US"/>
              </w:rPr>
              <w:t>Water heating technology</w:t>
            </w:r>
          </w:p>
        </w:tc>
        <w:tc>
          <w:tcPr>
            <w:tcW w:w="820" w:type="pct"/>
            <w:noWrap/>
            <w:hideMark/>
          </w:tcPr>
          <w:p w14:paraId="3604B55F" w14:textId="77777777" w:rsidR="00CA4044" w:rsidRPr="00866D96" w:rsidRDefault="00CA4044"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Baseline 2016</w:t>
            </w:r>
          </w:p>
        </w:tc>
        <w:tc>
          <w:tcPr>
            <w:tcW w:w="707" w:type="pct"/>
            <w:noWrap/>
            <w:hideMark/>
          </w:tcPr>
          <w:p w14:paraId="6DAEC644" w14:textId="77777777" w:rsidR="00CA4044" w:rsidRPr="00866D96" w:rsidRDefault="00CA4044"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Target 2030</w:t>
            </w:r>
          </w:p>
        </w:tc>
        <w:tc>
          <w:tcPr>
            <w:tcW w:w="1440" w:type="pct"/>
          </w:tcPr>
          <w:p w14:paraId="64F906DA" w14:textId="77777777" w:rsidR="00CA4044" w:rsidRPr="00866D96" w:rsidRDefault="00CA4044"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US"/>
              </w:rPr>
            </w:pPr>
            <w:r w:rsidRPr="00866D96">
              <w:rPr>
                <w:rFonts w:eastAsia="Times New Roman" w:cs="Arial"/>
                <w:szCs w:val="20"/>
                <w:lang w:eastAsia="en-US"/>
              </w:rPr>
              <w:t>Percentage of population affected</w:t>
            </w:r>
          </w:p>
        </w:tc>
      </w:tr>
      <w:tr w:rsidR="00CA4044" w:rsidRPr="006122EE" w14:paraId="1B933824"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4" w:type="pct"/>
          </w:tcPr>
          <w:p w14:paraId="5A1211DE" w14:textId="77777777" w:rsidR="00CA4044" w:rsidRPr="00866D96" w:rsidRDefault="00CA4044"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Solar water heaters</w:t>
            </w:r>
          </w:p>
        </w:tc>
        <w:tc>
          <w:tcPr>
            <w:tcW w:w="820" w:type="pct"/>
            <w:noWrap/>
          </w:tcPr>
          <w:p w14:paraId="024458D4" w14:textId="77777777" w:rsidR="00CA4044" w:rsidRPr="00866D96" w:rsidRDefault="00CA4044"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2,000</w:t>
            </w:r>
          </w:p>
        </w:tc>
        <w:tc>
          <w:tcPr>
            <w:tcW w:w="707" w:type="pct"/>
            <w:noWrap/>
          </w:tcPr>
          <w:p w14:paraId="13107511" w14:textId="77777777" w:rsidR="00CA4044" w:rsidRPr="00866D96" w:rsidRDefault="00B0092F"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40</w:t>
            </w:r>
            <w:r w:rsidR="00CA4044" w:rsidRPr="00866D96">
              <w:rPr>
                <w:rFonts w:eastAsia="Times New Roman" w:cs="Arial"/>
                <w:color w:val="000000"/>
                <w:szCs w:val="20"/>
                <w:lang w:eastAsia="en-US"/>
              </w:rPr>
              <w:t>,000</w:t>
            </w:r>
          </w:p>
        </w:tc>
        <w:tc>
          <w:tcPr>
            <w:tcW w:w="1440" w:type="pct"/>
          </w:tcPr>
          <w:p w14:paraId="7967BB8E" w14:textId="77777777" w:rsidR="00CA4044" w:rsidRPr="00866D96" w:rsidRDefault="006122EE" w:rsidP="00B53E51">
            <w:pPr>
              <w:tabs>
                <w:tab w:val="left" w:pos="765"/>
              </w:tabs>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Pr>
                <w:rFonts w:eastAsia="Times New Roman" w:cs="Arial"/>
                <w:color w:val="000000"/>
                <w:szCs w:val="20"/>
                <w:lang w:eastAsia="en-US"/>
              </w:rPr>
              <w:t>0</w:t>
            </w:r>
            <w:r w:rsidR="00CA4044" w:rsidRPr="00866D96">
              <w:rPr>
                <w:rFonts w:eastAsia="Times New Roman" w:cs="Arial"/>
                <w:color w:val="000000"/>
                <w:szCs w:val="20"/>
                <w:lang w:eastAsia="en-US"/>
              </w:rPr>
              <w:t>.</w:t>
            </w:r>
            <w:r w:rsidR="00B0092F" w:rsidRPr="00866D96">
              <w:rPr>
                <w:rFonts w:eastAsia="Times New Roman" w:cs="Arial"/>
                <w:color w:val="000000"/>
                <w:szCs w:val="20"/>
                <w:lang w:eastAsia="en-US"/>
              </w:rPr>
              <w:t>5</w:t>
            </w:r>
            <w:r w:rsidR="000D2D33">
              <w:rPr>
                <w:rFonts w:eastAsia="Times New Roman" w:cs="Arial"/>
                <w:color w:val="000000"/>
                <w:szCs w:val="20"/>
                <w:lang w:eastAsia="en-US"/>
              </w:rPr>
              <w:t>%</w:t>
            </w:r>
          </w:p>
        </w:tc>
      </w:tr>
    </w:tbl>
    <w:p w14:paraId="79DD72CC" w14:textId="77777777" w:rsidR="00CA4044" w:rsidRPr="006122EE" w:rsidRDefault="00F24716" w:rsidP="00B53E51">
      <w:pPr>
        <w:spacing w:line="276" w:lineRule="auto"/>
      </w:pPr>
      <w:r w:rsidRPr="006122EE">
        <w:t>The targets for increasing e</w:t>
      </w:r>
      <w:r w:rsidR="007019A2" w:rsidRPr="006122EE">
        <w:t xml:space="preserve">lectricity access </w:t>
      </w:r>
      <w:r w:rsidRPr="006122EE">
        <w:t>address</w:t>
      </w:r>
      <w:r w:rsidR="007019A2" w:rsidRPr="006122EE">
        <w:t xml:space="preserve"> both grid extension and </w:t>
      </w:r>
      <w:r w:rsidRPr="006122EE">
        <w:t>the expanded use of off-grid electricity-generating installations such as solar home systems and mini-grids</w:t>
      </w:r>
      <w:r w:rsidR="007019A2" w:rsidRPr="006122EE">
        <w:t xml:space="preserve">. </w:t>
      </w:r>
      <w:r w:rsidRPr="006122EE">
        <w:t xml:space="preserve">There is </w:t>
      </w:r>
      <w:r w:rsidR="007019A2" w:rsidRPr="006122EE">
        <w:t xml:space="preserve"> also </w:t>
      </w:r>
      <w:r w:rsidRPr="006122EE">
        <w:t>a target for</w:t>
      </w:r>
      <w:r w:rsidR="007019A2" w:rsidRPr="006122EE">
        <w:t xml:space="preserve"> small-scale pico solar systems</w:t>
      </w:r>
      <w:r w:rsidRPr="006122EE">
        <w:t>,</w:t>
      </w:r>
      <w:r w:rsidR="007019A2" w:rsidRPr="006122EE">
        <w:t xml:space="preserve"> such as solar lanterns</w:t>
      </w:r>
      <w:r w:rsidRPr="006122EE">
        <w:t>,</w:t>
      </w:r>
      <w:r w:rsidR="007019A2" w:rsidRPr="006122EE">
        <w:t xml:space="preserve"> for people who cannot afford to pay for grid power or </w:t>
      </w:r>
      <w:r w:rsidR="00540810" w:rsidRPr="006122EE">
        <w:t>for the</w:t>
      </w:r>
      <w:r w:rsidRPr="006122EE">
        <w:t xml:space="preserve"> off-grid power generation sources</w:t>
      </w:r>
      <w:r w:rsidR="007019A2" w:rsidRPr="006122EE">
        <w:t>.</w:t>
      </w:r>
      <w:r w:rsidR="00562F0D" w:rsidRPr="006122EE">
        <w:t xml:space="preserve"> Between grid extension and the provision of pico solar services in rural areas, the target is for 100% of the population to have at least Tier 1 electricity service by 2030</w:t>
      </w:r>
      <w:r w:rsidR="006210DE" w:rsidRPr="006122EE">
        <w:t>.</w:t>
      </w:r>
      <w:r w:rsidR="00562F0D" w:rsidRPr="006122EE">
        <w:t xml:space="preserve"> </w:t>
      </w:r>
    </w:p>
    <w:p w14:paraId="3F8A0561" w14:textId="77777777" w:rsidR="006210DE" w:rsidRPr="006122EE" w:rsidRDefault="006210DE" w:rsidP="00B53E51">
      <w:pPr>
        <w:pStyle w:val="Caption"/>
        <w:spacing w:line="276" w:lineRule="auto"/>
      </w:pPr>
      <w:bookmarkStart w:id="12" w:name="_Toc481614988"/>
      <w:r w:rsidRPr="006122EE">
        <w:t xml:space="preserve">Table </w:t>
      </w:r>
      <w:r w:rsidR="00DC7D8C">
        <w:fldChar w:fldCharType="begin"/>
      </w:r>
      <w:r w:rsidR="00DC7D8C">
        <w:instrText xml:space="preserve"> SEQ Table \* </w:instrText>
      </w:r>
      <w:r w:rsidR="00DC7D8C">
        <w:instrText xml:space="preserve">ARABIC </w:instrText>
      </w:r>
      <w:r w:rsidR="00DC7D8C">
        <w:fldChar w:fldCharType="separate"/>
      </w:r>
      <w:r w:rsidR="00866D96">
        <w:rPr>
          <w:noProof/>
        </w:rPr>
        <w:t>3</w:t>
      </w:r>
      <w:r w:rsidR="00DC7D8C">
        <w:rPr>
          <w:noProof/>
        </w:rPr>
        <w:fldChar w:fldCharType="end"/>
      </w:r>
      <w:r w:rsidRPr="006122EE">
        <w:t>: Targets on electricity access</w:t>
      </w:r>
      <w:bookmarkEnd w:id="12"/>
    </w:p>
    <w:tbl>
      <w:tblPr>
        <w:tblStyle w:val="GridTable4-Accent34"/>
        <w:tblW w:w="4957" w:type="pct"/>
        <w:tblLayout w:type="fixed"/>
        <w:tblLook w:val="04A0" w:firstRow="1" w:lastRow="0" w:firstColumn="1" w:lastColumn="0" w:noHBand="0" w:noVBand="1"/>
      </w:tblPr>
      <w:tblGrid>
        <w:gridCol w:w="4839"/>
        <w:gridCol w:w="2127"/>
        <w:gridCol w:w="2347"/>
      </w:tblGrid>
      <w:tr w:rsidR="00F96E26" w:rsidRPr="006122EE" w14:paraId="076AC476" w14:textId="77777777" w:rsidTr="00726AF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2CFD2B16" w14:textId="77777777" w:rsidR="00F96E26" w:rsidRPr="00866D96" w:rsidRDefault="00F96E26" w:rsidP="00B53E51">
            <w:pPr>
              <w:spacing w:before="60" w:after="60" w:line="276" w:lineRule="auto"/>
              <w:jc w:val="left"/>
              <w:rPr>
                <w:rFonts w:eastAsia="Times New Roman" w:cs="Arial"/>
                <w:bCs w:val="0"/>
                <w:szCs w:val="20"/>
                <w:lang w:eastAsia="en-US"/>
              </w:rPr>
            </w:pPr>
            <w:r w:rsidRPr="00866D96">
              <w:rPr>
                <w:rFonts w:eastAsia="Times New Roman" w:cs="Arial"/>
                <w:szCs w:val="20"/>
                <w:lang w:eastAsia="en-US"/>
              </w:rPr>
              <w:t xml:space="preserve">Electricity Access                                                            </w:t>
            </w:r>
            <w:r w:rsidR="006210DE" w:rsidRPr="00866D96">
              <w:rPr>
                <w:rFonts w:eastAsia="Times New Roman" w:cs="Arial"/>
                <w:szCs w:val="20"/>
                <w:lang w:eastAsia="en-US"/>
              </w:rPr>
              <w:t xml:space="preserve">Number </w:t>
            </w:r>
            <w:r w:rsidRPr="00866D96">
              <w:rPr>
                <w:rFonts w:eastAsia="Times New Roman" w:cs="Arial"/>
                <w:szCs w:val="20"/>
                <w:lang w:eastAsia="en-US"/>
              </w:rPr>
              <w:t xml:space="preserve">            </w:t>
            </w:r>
            <w:r w:rsidR="009F7B6A" w:rsidRPr="00866D96">
              <w:rPr>
                <w:rFonts w:eastAsia="Times New Roman" w:cs="Arial"/>
                <w:szCs w:val="20"/>
                <w:lang w:eastAsia="en-US"/>
              </w:rPr>
              <w:t xml:space="preserve"> </w:t>
            </w:r>
            <w:r w:rsidRPr="00866D96">
              <w:rPr>
                <w:rFonts w:eastAsia="Times New Roman" w:cs="Arial"/>
                <w:szCs w:val="20"/>
                <w:lang w:eastAsia="en-US"/>
              </w:rPr>
              <w:t xml:space="preserve">        % rural pop                                                                                                    served</w:t>
            </w:r>
          </w:p>
        </w:tc>
      </w:tr>
      <w:tr w:rsidR="00F96E26" w:rsidRPr="006122EE" w14:paraId="7FAC7EBE"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8" w:type="pct"/>
            <w:hideMark/>
          </w:tcPr>
          <w:p w14:paraId="25FF91B3" w14:textId="77777777" w:rsidR="00F96E26" w:rsidRPr="00866D96" w:rsidRDefault="00F96E26"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Grid extension – homes/business connected through 2030 </w:t>
            </w:r>
          </w:p>
        </w:tc>
        <w:tc>
          <w:tcPr>
            <w:tcW w:w="1142" w:type="pct"/>
            <w:noWrap/>
            <w:hideMark/>
          </w:tcPr>
          <w:p w14:paraId="588547A8" w14:textId="77777777" w:rsidR="00F96E26" w:rsidRPr="00866D96" w:rsidRDefault="009E50CE"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1.51 million</w:t>
            </w:r>
          </w:p>
        </w:tc>
        <w:tc>
          <w:tcPr>
            <w:tcW w:w="1260" w:type="pct"/>
            <w:noWrap/>
            <w:hideMark/>
          </w:tcPr>
          <w:p w14:paraId="0C1AEAC0" w14:textId="77777777" w:rsidR="00F96E26" w:rsidRPr="00866D96" w:rsidRDefault="009E50CE"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31.6</w:t>
            </w:r>
          </w:p>
        </w:tc>
      </w:tr>
      <w:tr w:rsidR="00F96E26" w:rsidRPr="006122EE" w14:paraId="5BC73348" w14:textId="77777777" w:rsidTr="00726AF3">
        <w:trPr>
          <w:trHeight w:val="303"/>
        </w:trPr>
        <w:tc>
          <w:tcPr>
            <w:cnfStyle w:val="001000000000" w:firstRow="0" w:lastRow="0" w:firstColumn="1" w:lastColumn="0" w:oddVBand="0" w:evenVBand="0" w:oddHBand="0" w:evenHBand="0" w:firstRowFirstColumn="0" w:firstRowLastColumn="0" w:lastRowFirstColumn="0" w:lastRowLastColumn="0"/>
            <w:tcW w:w="2598" w:type="pct"/>
            <w:hideMark/>
          </w:tcPr>
          <w:p w14:paraId="17874BAB" w14:textId="77777777" w:rsidR="00F96E26" w:rsidRPr="00866D96" w:rsidRDefault="00F96E26"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Rural solar home systems installed through 2030</w:t>
            </w:r>
          </w:p>
        </w:tc>
        <w:tc>
          <w:tcPr>
            <w:tcW w:w="1142" w:type="pct"/>
            <w:noWrap/>
            <w:hideMark/>
          </w:tcPr>
          <w:p w14:paraId="3C6E9059" w14:textId="77777777" w:rsidR="00F96E26" w:rsidRPr="00866D96" w:rsidRDefault="009E50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7</w:t>
            </w:r>
            <w:r w:rsidR="00F96E26" w:rsidRPr="00866D96">
              <w:rPr>
                <w:rFonts w:eastAsia="Times New Roman" w:cs="Arial"/>
                <w:color w:val="000000"/>
                <w:szCs w:val="20"/>
                <w:lang w:eastAsia="en-US"/>
              </w:rPr>
              <w:t>5,000</w:t>
            </w:r>
          </w:p>
        </w:tc>
        <w:tc>
          <w:tcPr>
            <w:tcW w:w="1260" w:type="pct"/>
            <w:noWrap/>
            <w:hideMark/>
          </w:tcPr>
          <w:p w14:paraId="78A48D21" w14:textId="77777777" w:rsidR="00F96E26" w:rsidRPr="00866D96" w:rsidRDefault="009E50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29.3</w:t>
            </w:r>
          </w:p>
        </w:tc>
      </w:tr>
      <w:tr w:rsidR="00F96E26" w:rsidRPr="006122EE" w14:paraId="161674C2" w14:textId="77777777" w:rsidTr="00726AF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98" w:type="pct"/>
            <w:hideMark/>
          </w:tcPr>
          <w:p w14:paraId="04073A96" w14:textId="77777777" w:rsidR="00F96E26" w:rsidRPr="00866D96" w:rsidRDefault="00F96E26"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Mini-grids installed through 2030</w:t>
            </w:r>
          </w:p>
        </w:tc>
        <w:tc>
          <w:tcPr>
            <w:tcW w:w="1142" w:type="pct"/>
            <w:noWrap/>
            <w:hideMark/>
          </w:tcPr>
          <w:p w14:paraId="245F2F69" w14:textId="77777777" w:rsidR="00F96E26" w:rsidRPr="00866D96" w:rsidRDefault="002D0718"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90</w:t>
            </w:r>
            <w:r w:rsidRPr="00866D96">
              <w:rPr>
                <w:rStyle w:val="FootnoteReference"/>
                <w:rFonts w:eastAsia="Times New Roman" w:cs="Arial"/>
                <w:color w:val="000000"/>
                <w:szCs w:val="20"/>
                <w:lang w:eastAsia="en-US"/>
              </w:rPr>
              <w:footnoteReference w:id="5"/>
            </w:r>
          </w:p>
        </w:tc>
        <w:tc>
          <w:tcPr>
            <w:tcW w:w="1260" w:type="pct"/>
            <w:noWrap/>
            <w:hideMark/>
          </w:tcPr>
          <w:p w14:paraId="72AA9B58" w14:textId="77777777" w:rsidR="00F96E26" w:rsidRPr="00866D96" w:rsidRDefault="00FD0DF0"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&lt; 1.0</w:t>
            </w:r>
          </w:p>
        </w:tc>
      </w:tr>
      <w:tr w:rsidR="00F96E26" w:rsidRPr="006122EE" w14:paraId="380DA512"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598" w:type="pct"/>
            <w:noWrap/>
            <w:hideMark/>
          </w:tcPr>
          <w:p w14:paraId="7689FEA1" w14:textId="77777777" w:rsidR="00F96E26" w:rsidRPr="00866D96" w:rsidRDefault="00F96E26"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Pico solar systems provided through 2030</w:t>
            </w:r>
          </w:p>
        </w:tc>
        <w:tc>
          <w:tcPr>
            <w:tcW w:w="1142" w:type="pct"/>
            <w:noWrap/>
            <w:hideMark/>
          </w:tcPr>
          <w:p w14:paraId="26FA639F" w14:textId="77777777" w:rsidR="00F96E26" w:rsidRPr="00866D96" w:rsidRDefault="009E50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4.5 million</w:t>
            </w:r>
          </w:p>
        </w:tc>
        <w:tc>
          <w:tcPr>
            <w:tcW w:w="1260" w:type="pct"/>
            <w:noWrap/>
          </w:tcPr>
          <w:p w14:paraId="6ECC8B6C" w14:textId="77777777" w:rsidR="00F96E26" w:rsidRPr="00866D96" w:rsidRDefault="002D0718"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100</w:t>
            </w:r>
          </w:p>
        </w:tc>
      </w:tr>
    </w:tbl>
    <w:p w14:paraId="7E8280AC" w14:textId="77777777" w:rsidR="003A58CE" w:rsidRPr="00866D96" w:rsidRDefault="003A58CE" w:rsidP="00B53E51">
      <w:pPr>
        <w:pStyle w:val="BTitle3"/>
        <w:spacing w:line="276" w:lineRule="auto"/>
        <w:rPr>
          <w:noProof w:val="0"/>
          <w:lang w:val="en-GB"/>
        </w:rPr>
      </w:pPr>
      <w:bookmarkStart w:id="13" w:name="_Toc469999846"/>
      <w:bookmarkStart w:id="14" w:name="_Toc469999959"/>
      <w:bookmarkStart w:id="15" w:name="_Toc470117692"/>
      <w:bookmarkStart w:id="16" w:name="_Toc470119048"/>
      <w:bookmarkStart w:id="17" w:name="_Toc469999847"/>
      <w:bookmarkStart w:id="18" w:name="_Toc469999960"/>
      <w:bookmarkStart w:id="19" w:name="_Toc470117693"/>
      <w:bookmarkStart w:id="20" w:name="_Toc470119049"/>
      <w:bookmarkStart w:id="21" w:name="_Toc447216971"/>
      <w:bookmarkStart w:id="22" w:name="_Toc481614867"/>
      <w:bookmarkEnd w:id="13"/>
      <w:bookmarkEnd w:id="14"/>
      <w:bookmarkEnd w:id="15"/>
      <w:bookmarkEnd w:id="16"/>
      <w:bookmarkEnd w:id="17"/>
      <w:bookmarkEnd w:id="18"/>
      <w:bookmarkEnd w:id="19"/>
      <w:bookmarkEnd w:id="20"/>
      <w:r w:rsidRPr="00866D96">
        <w:rPr>
          <w:noProof w:val="0"/>
          <w:lang w:val="en-GB"/>
        </w:rPr>
        <w:t>Renewable Energy Targets</w:t>
      </w:r>
      <w:bookmarkEnd w:id="21"/>
      <w:r w:rsidRPr="00866D96">
        <w:rPr>
          <w:noProof w:val="0"/>
          <w:lang w:val="en-GB"/>
        </w:rPr>
        <w:t xml:space="preserve"> -2030</w:t>
      </w:r>
      <w:bookmarkEnd w:id="22"/>
    </w:p>
    <w:p w14:paraId="6F8F3E38" w14:textId="77777777" w:rsidR="00FD396F" w:rsidRDefault="00FD396F" w:rsidP="00B53E51">
      <w:pPr>
        <w:spacing w:line="276" w:lineRule="auto"/>
      </w:pPr>
      <w:r w:rsidRPr="006122EE">
        <w:rPr>
          <w:lang w:eastAsia="en-US"/>
        </w:rPr>
        <w:t xml:space="preserve">The renewable energy targets were developed based on national power development needs, the proposed RE project developments proposed by ESCOM, the potential for IPP RE power development, </w:t>
      </w:r>
      <w:r w:rsidR="00FB3E78" w:rsidRPr="006122EE">
        <w:rPr>
          <w:lang w:eastAsia="en-US"/>
        </w:rPr>
        <w:t xml:space="preserve">a grid study indicating how much intermittent power can be added over the next 12-24 months, </w:t>
      </w:r>
      <w:r w:rsidRPr="006122EE">
        <w:rPr>
          <w:lang w:eastAsia="en-US"/>
        </w:rPr>
        <w:t xml:space="preserve">and the recommendations provided by the </w:t>
      </w:r>
      <w:r w:rsidR="00FA657D" w:rsidRPr="006122EE">
        <w:rPr>
          <w:lang w:eastAsia="en-US"/>
        </w:rPr>
        <w:t xml:space="preserve">Malawi </w:t>
      </w:r>
      <w:r w:rsidRPr="006122EE">
        <w:rPr>
          <w:lang w:eastAsia="en-US"/>
        </w:rPr>
        <w:t>SE4ALL RE Working Group and the Department of Energy focal point.</w:t>
      </w:r>
      <w:r w:rsidRPr="006122EE">
        <w:t xml:space="preserve"> The percentages are based on a projected total 2030 installed capacity of 2,620.85 MW.</w:t>
      </w:r>
    </w:p>
    <w:p w14:paraId="6552CE5F" w14:textId="77777777" w:rsidR="00A24B06" w:rsidRPr="00866D96" w:rsidRDefault="00A24B06" w:rsidP="00B53E51">
      <w:pPr>
        <w:spacing w:line="276" w:lineRule="auto"/>
        <w:rPr>
          <w:lang w:eastAsia="en-US"/>
        </w:rPr>
      </w:pPr>
    </w:p>
    <w:p w14:paraId="34C3FF3C" w14:textId="77777777" w:rsidR="003A58CE" w:rsidRPr="006122EE" w:rsidRDefault="003A58CE" w:rsidP="00B53E51">
      <w:pPr>
        <w:pStyle w:val="Caption"/>
        <w:spacing w:line="276" w:lineRule="auto"/>
      </w:pPr>
      <w:bookmarkStart w:id="23" w:name="_Toc447217143"/>
      <w:bookmarkStart w:id="24" w:name="_Toc481614989"/>
      <w:r w:rsidRPr="006122EE">
        <w:t xml:space="preserve">Table </w:t>
      </w:r>
      <w:r w:rsidR="00DC7D8C">
        <w:fldChar w:fldCharType="begin"/>
      </w:r>
      <w:r w:rsidR="00DC7D8C">
        <w:instrText xml:space="preserve"> SEQ Table \* ARABIC </w:instrText>
      </w:r>
      <w:r w:rsidR="00DC7D8C">
        <w:fldChar w:fldCharType="separate"/>
      </w:r>
      <w:r w:rsidR="00866D96">
        <w:rPr>
          <w:noProof/>
        </w:rPr>
        <w:t>4</w:t>
      </w:r>
      <w:r w:rsidR="00DC7D8C">
        <w:rPr>
          <w:noProof/>
        </w:rPr>
        <w:fldChar w:fldCharType="end"/>
      </w:r>
      <w:r w:rsidRPr="006122EE">
        <w:t xml:space="preserve">: Renewable Energy </w:t>
      </w:r>
      <w:r w:rsidR="00177299" w:rsidRPr="006122EE">
        <w:t xml:space="preserve">Baseline and 2030 </w:t>
      </w:r>
      <w:r w:rsidRPr="006122EE">
        <w:t>Targets</w:t>
      </w:r>
      <w:bookmarkEnd w:id="23"/>
      <w:bookmarkEnd w:id="24"/>
    </w:p>
    <w:tbl>
      <w:tblPr>
        <w:tblStyle w:val="GridTable4-Accent31"/>
        <w:tblW w:w="5000" w:type="pct"/>
        <w:tblLook w:val="04A0" w:firstRow="1" w:lastRow="0" w:firstColumn="1" w:lastColumn="0" w:noHBand="0" w:noVBand="1"/>
      </w:tblPr>
      <w:tblGrid>
        <w:gridCol w:w="2557"/>
        <w:gridCol w:w="1954"/>
        <w:gridCol w:w="1954"/>
        <w:gridCol w:w="2929"/>
      </w:tblGrid>
      <w:tr w:rsidR="004D7767" w:rsidRPr="006122EE" w14:paraId="5C25B8BF" w14:textId="77777777" w:rsidTr="00084D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1" w:type="pct"/>
            <w:hideMark/>
          </w:tcPr>
          <w:p w14:paraId="5E2369C7" w14:textId="77777777" w:rsidR="004D7767" w:rsidRPr="00866D96" w:rsidRDefault="004D7767" w:rsidP="00B53E51">
            <w:pPr>
              <w:spacing w:before="60" w:after="60" w:line="276" w:lineRule="auto"/>
              <w:jc w:val="left"/>
              <w:rPr>
                <w:rFonts w:eastAsia="Times New Roman" w:cs="Arial"/>
                <w:bCs w:val="0"/>
                <w:szCs w:val="20"/>
                <w:lang w:eastAsia="en-US"/>
              </w:rPr>
            </w:pPr>
            <w:r w:rsidRPr="00866D96">
              <w:rPr>
                <w:rFonts w:eastAsia="Times New Roman" w:cs="Arial"/>
                <w:szCs w:val="20"/>
                <w:lang w:eastAsia="en-US"/>
              </w:rPr>
              <w:t>RE source</w:t>
            </w:r>
          </w:p>
        </w:tc>
        <w:tc>
          <w:tcPr>
            <w:tcW w:w="1040" w:type="pct"/>
          </w:tcPr>
          <w:p w14:paraId="0F9DCDFD" w14:textId="77777777" w:rsidR="004D7767" w:rsidRPr="00866D96" w:rsidRDefault="004D7767"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2016 capacity</w:t>
            </w:r>
          </w:p>
        </w:tc>
        <w:tc>
          <w:tcPr>
            <w:tcW w:w="1040" w:type="pct"/>
            <w:noWrap/>
            <w:hideMark/>
          </w:tcPr>
          <w:p w14:paraId="33F41C75" w14:textId="77777777" w:rsidR="004D7767" w:rsidRPr="00866D96" w:rsidRDefault="004D7767"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2030 target</w:t>
            </w:r>
          </w:p>
        </w:tc>
        <w:tc>
          <w:tcPr>
            <w:tcW w:w="1559" w:type="pct"/>
            <w:noWrap/>
            <w:hideMark/>
          </w:tcPr>
          <w:p w14:paraId="36F47B2A" w14:textId="77777777" w:rsidR="004D7767" w:rsidRPr="00866D96" w:rsidRDefault="004D7767"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Target Percentage</w:t>
            </w:r>
          </w:p>
        </w:tc>
      </w:tr>
      <w:tr w:rsidR="004D7767" w:rsidRPr="006122EE" w14:paraId="3C544773" w14:textId="77777777" w:rsidTr="00084D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1" w:type="pct"/>
            <w:hideMark/>
          </w:tcPr>
          <w:p w14:paraId="2E2D63F6" w14:textId="77777777" w:rsidR="004D7767" w:rsidRPr="00866D96" w:rsidRDefault="004D7767"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Large hydro</w:t>
            </w:r>
          </w:p>
        </w:tc>
        <w:tc>
          <w:tcPr>
            <w:tcW w:w="1040" w:type="pct"/>
          </w:tcPr>
          <w:p w14:paraId="1E608F6A"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commentRangeStart w:id="25"/>
            <w:r w:rsidRPr="00866D96">
              <w:rPr>
                <w:rFonts w:eastAsia="Times New Roman" w:cs="Arial"/>
                <w:color w:val="000000"/>
                <w:szCs w:val="20"/>
                <w:lang w:eastAsia="en-US"/>
              </w:rPr>
              <w:t>281.5 MW</w:t>
            </w:r>
            <w:commentRangeEnd w:id="25"/>
            <w:r w:rsidR="001A290D">
              <w:rPr>
                <w:rStyle w:val="CommentReference"/>
              </w:rPr>
              <w:commentReference w:id="25"/>
            </w:r>
          </w:p>
        </w:tc>
        <w:tc>
          <w:tcPr>
            <w:tcW w:w="1040" w:type="pct"/>
            <w:noWrap/>
            <w:hideMark/>
          </w:tcPr>
          <w:p w14:paraId="796A8E13"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1,471 MW</w:t>
            </w:r>
          </w:p>
        </w:tc>
        <w:tc>
          <w:tcPr>
            <w:tcW w:w="1559" w:type="pct"/>
            <w:noWrap/>
            <w:hideMark/>
          </w:tcPr>
          <w:p w14:paraId="07D9746E"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 xml:space="preserve">Percent of generation: </w:t>
            </w:r>
            <w:r w:rsidR="00084D08" w:rsidRPr="00866D96">
              <w:rPr>
                <w:rFonts w:eastAsia="Times New Roman" w:cs="Arial"/>
                <w:color w:val="000000"/>
                <w:szCs w:val="20"/>
                <w:lang w:eastAsia="en-US"/>
              </w:rPr>
              <w:t>56</w:t>
            </w:r>
            <w:r w:rsidR="000D2D33">
              <w:rPr>
                <w:rFonts w:eastAsia="Times New Roman" w:cs="Arial"/>
                <w:color w:val="000000"/>
                <w:szCs w:val="20"/>
                <w:lang w:eastAsia="en-US"/>
              </w:rPr>
              <w:t>%</w:t>
            </w:r>
          </w:p>
        </w:tc>
      </w:tr>
      <w:tr w:rsidR="004D7767" w:rsidRPr="006122EE" w14:paraId="0AE9A2AA" w14:textId="77777777" w:rsidTr="00084D08">
        <w:trPr>
          <w:trHeight w:val="288"/>
        </w:trPr>
        <w:tc>
          <w:tcPr>
            <w:cnfStyle w:val="001000000000" w:firstRow="0" w:lastRow="0" w:firstColumn="1" w:lastColumn="0" w:oddVBand="0" w:evenVBand="0" w:oddHBand="0" w:evenHBand="0" w:firstRowFirstColumn="0" w:firstRowLastColumn="0" w:lastRowFirstColumn="0" w:lastRowLastColumn="0"/>
            <w:tcW w:w="1361" w:type="pct"/>
            <w:hideMark/>
          </w:tcPr>
          <w:p w14:paraId="0845D60E" w14:textId="77777777" w:rsidR="004D7767" w:rsidRPr="00866D96" w:rsidRDefault="004D7767"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Small hydro</w:t>
            </w:r>
          </w:p>
        </w:tc>
        <w:tc>
          <w:tcPr>
            <w:tcW w:w="1040" w:type="pct"/>
          </w:tcPr>
          <w:p w14:paraId="7A31914D" w14:textId="77777777" w:rsidR="004D7767" w:rsidRPr="00866D96" w:rsidRDefault="004D7767"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4.35 MW</w:t>
            </w:r>
          </w:p>
        </w:tc>
        <w:tc>
          <w:tcPr>
            <w:tcW w:w="1040" w:type="pct"/>
            <w:noWrap/>
            <w:hideMark/>
          </w:tcPr>
          <w:p w14:paraId="5AA03C58" w14:textId="77777777" w:rsidR="004D7767" w:rsidRPr="00866D96" w:rsidRDefault="004D7767"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103.35 MW</w:t>
            </w:r>
          </w:p>
        </w:tc>
        <w:tc>
          <w:tcPr>
            <w:tcW w:w="1559" w:type="pct"/>
            <w:noWrap/>
            <w:hideMark/>
          </w:tcPr>
          <w:p w14:paraId="5037E218" w14:textId="77777777" w:rsidR="004D7767" w:rsidRPr="00866D96" w:rsidRDefault="004D7767"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Percent of generation: 4</w:t>
            </w:r>
            <w:r w:rsidR="000D2D33">
              <w:rPr>
                <w:rFonts w:eastAsia="Times New Roman" w:cs="Arial"/>
                <w:color w:val="000000"/>
                <w:szCs w:val="20"/>
                <w:lang w:eastAsia="en-US"/>
              </w:rPr>
              <w:t>%</w:t>
            </w:r>
          </w:p>
        </w:tc>
      </w:tr>
      <w:tr w:rsidR="004D7767" w:rsidRPr="006122EE" w14:paraId="40D532CB" w14:textId="77777777" w:rsidTr="00084D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1" w:type="pct"/>
            <w:hideMark/>
          </w:tcPr>
          <w:p w14:paraId="40121578" w14:textId="77777777" w:rsidR="004D7767" w:rsidRPr="00866D96" w:rsidRDefault="004D7767"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Solar</w:t>
            </w:r>
          </w:p>
        </w:tc>
        <w:tc>
          <w:tcPr>
            <w:tcW w:w="1040" w:type="pct"/>
          </w:tcPr>
          <w:p w14:paraId="10CE81E6" w14:textId="77777777" w:rsidR="004D7767" w:rsidRPr="00866D96" w:rsidRDefault="00E7196C"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w:t>
            </w:r>
            <w:r w:rsidR="005C7871" w:rsidRPr="00866D96">
              <w:rPr>
                <w:rFonts w:eastAsia="Times New Roman" w:cs="Arial"/>
                <w:color w:val="000000"/>
                <w:szCs w:val="20"/>
                <w:lang w:eastAsia="en-US"/>
              </w:rPr>
              <w:t>38</w:t>
            </w:r>
          </w:p>
        </w:tc>
        <w:tc>
          <w:tcPr>
            <w:tcW w:w="1040" w:type="pct"/>
            <w:noWrap/>
            <w:hideMark/>
          </w:tcPr>
          <w:p w14:paraId="5D5A1E35"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550 MW</w:t>
            </w:r>
          </w:p>
        </w:tc>
        <w:tc>
          <w:tcPr>
            <w:tcW w:w="1559" w:type="pct"/>
            <w:noWrap/>
            <w:hideMark/>
          </w:tcPr>
          <w:p w14:paraId="6545C64C"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 xml:space="preserve">Percent of generation: </w:t>
            </w:r>
            <w:r w:rsidR="00084D08" w:rsidRPr="00866D96">
              <w:rPr>
                <w:rFonts w:eastAsia="Times New Roman" w:cs="Arial"/>
                <w:color w:val="000000"/>
                <w:szCs w:val="20"/>
                <w:lang w:eastAsia="en-US"/>
              </w:rPr>
              <w:t>21</w:t>
            </w:r>
            <w:r w:rsidR="000D2D33">
              <w:rPr>
                <w:rFonts w:eastAsia="Times New Roman" w:cs="Arial"/>
                <w:color w:val="000000"/>
                <w:szCs w:val="20"/>
                <w:lang w:eastAsia="en-US"/>
              </w:rPr>
              <w:t>%</w:t>
            </w:r>
          </w:p>
        </w:tc>
      </w:tr>
      <w:tr w:rsidR="004D7767" w:rsidRPr="006122EE" w14:paraId="60F2FF0A" w14:textId="77777777" w:rsidTr="00084D08">
        <w:trPr>
          <w:trHeight w:val="288"/>
        </w:trPr>
        <w:tc>
          <w:tcPr>
            <w:cnfStyle w:val="001000000000" w:firstRow="0" w:lastRow="0" w:firstColumn="1" w:lastColumn="0" w:oddVBand="0" w:evenVBand="0" w:oddHBand="0" w:evenHBand="0" w:firstRowFirstColumn="0" w:firstRowLastColumn="0" w:lastRowFirstColumn="0" w:lastRowLastColumn="0"/>
            <w:tcW w:w="1361" w:type="pct"/>
            <w:hideMark/>
          </w:tcPr>
          <w:p w14:paraId="4E0A5FC6" w14:textId="77777777" w:rsidR="004D7767" w:rsidRPr="00866D96" w:rsidRDefault="004D7767"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Bagasse </w:t>
            </w:r>
          </w:p>
        </w:tc>
        <w:tc>
          <w:tcPr>
            <w:tcW w:w="1040" w:type="pct"/>
          </w:tcPr>
          <w:p w14:paraId="7F091A73" w14:textId="77777777" w:rsidR="004D7767" w:rsidRPr="00866D96" w:rsidRDefault="00082098"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18 MW</w:t>
            </w:r>
          </w:p>
        </w:tc>
        <w:tc>
          <w:tcPr>
            <w:tcW w:w="1040" w:type="pct"/>
            <w:noWrap/>
            <w:hideMark/>
          </w:tcPr>
          <w:p w14:paraId="1B48A0B8" w14:textId="77777777" w:rsidR="004D7767" w:rsidRPr="00866D96" w:rsidRDefault="004D7767"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46 MW</w:t>
            </w:r>
          </w:p>
        </w:tc>
        <w:tc>
          <w:tcPr>
            <w:tcW w:w="1559" w:type="pct"/>
            <w:noWrap/>
            <w:hideMark/>
          </w:tcPr>
          <w:p w14:paraId="4C4A7EE5" w14:textId="77777777" w:rsidR="004D7767" w:rsidRPr="00866D96" w:rsidRDefault="004D7767"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Percent of generation:</w:t>
            </w:r>
            <w:r w:rsidR="00084D08" w:rsidRPr="00866D96">
              <w:rPr>
                <w:rFonts w:eastAsia="Times New Roman" w:cs="Arial"/>
                <w:color w:val="000000"/>
                <w:szCs w:val="20"/>
                <w:lang w:eastAsia="en-US"/>
              </w:rPr>
              <w:t>1.8</w:t>
            </w:r>
            <w:r w:rsidR="000D2D33">
              <w:rPr>
                <w:rFonts w:eastAsia="Times New Roman" w:cs="Arial"/>
                <w:color w:val="000000"/>
                <w:szCs w:val="20"/>
                <w:lang w:eastAsia="en-US"/>
              </w:rPr>
              <w:t>%</w:t>
            </w:r>
          </w:p>
        </w:tc>
      </w:tr>
      <w:tr w:rsidR="004D7767" w:rsidRPr="006122EE" w14:paraId="4569D911" w14:textId="77777777" w:rsidTr="00084D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1" w:type="pct"/>
          </w:tcPr>
          <w:p w14:paraId="652F1964" w14:textId="77777777" w:rsidR="004D7767" w:rsidRPr="00866D96" w:rsidRDefault="004D7767"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TOTAL</w:t>
            </w:r>
          </w:p>
        </w:tc>
        <w:tc>
          <w:tcPr>
            <w:tcW w:w="1040" w:type="pct"/>
          </w:tcPr>
          <w:p w14:paraId="5AEE0DB5" w14:textId="77777777" w:rsidR="004D7767" w:rsidRPr="00866D96" w:rsidRDefault="00177299"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303.85</w:t>
            </w:r>
          </w:p>
        </w:tc>
        <w:tc>
          <w:tcPr>
            <w:tcW w:w="1040" w:type="pct"/>
            <w:noWrap/>
          </w:tcPr>
          <w:p w14:paraId="7990C6AC"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2,170 MW</w:t>
            </w:r>
          </w:p>
        </w:tc>
        <w:tc>
          <w:tcPr>
            <w:tcW w:w="1559" w:type="pct"/>
            <w:noWrap/>
          </w:tcPr>
          <w:p w14:paraId="4222A03B" w14:textId="77777777" w:rsidR="004D7767" w:rsidRPr="00866D96" w:rsidRDefault="004D7767"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 xml:space="preserve">Percent of generation:  </w:t>
            </w:r>
            <w:r w:rsidR="00084D08" w:rsidRPr="00866D96">
              <w:rPr>
                <w:rFonts w:eastAsia="Times New Roman" w:cs="Arial"/>
                <w:color w:val="000000"/>
                <w:szCs w:val="20"/>
                <w:lang w:eastAsia="en-US"/>
              </w:rPr>
              <w:t>83</w:t>
            </w:r>
            <w:r w:rsidR="000D2D33">
              <w:rPr>
                <w:rFonts w:eastAsia="Times New Roman" w:cs="Arial"/>
                <w:color w:val="000000"/>
                <w:szCs w:val="20"/>
                <w:lang w:eastAsia="en-US"/>
              </w:rPr>
              <w:t>%</w:t>
            </w:r>
          </w:p>
        </w:tc>
      </w:tr>
    </w:tbl>
    <w:p w14:paraId="08B92EA8" w14:textId="77777777" w:rsidR="00A24B06" w:rsidRDefault="00A24B06" w:rsidP="00B53E51">
      <w:pPr>
        <w:spacing w:line="276" w:lineRule="auto"/>
      </w:pPr>
      <w:bookmarkStart w:id="26" w:name="_Toc447216972"/>
    </w:p>
    <w:p w14:paraId="433F8F77" w14:textId="77777777" w:rsidR="000B4CD1" w:rsidRPr="006122EE" w:rsidRDefault="000B4CD1" w:rsidP="00B53E51">
      <w:pPr>
        <w:spacing w:line="276" w:lineRule="auto"/>
      </w:pPr>
      <w:r w:rsidRPr="006122EE">
        <w:t>In addition to these RE sources, there is potential for wind, waste-to-energy and geothermal power</w:t>
      </w:r>
      <w:r w:rsidR="00C47753" w:rsidRPr="006122EE">
        <w:t xml:space="preserve">. </w:t>
      </w:r>
      <w:r w:rsidRPr="006122EE">
        <w:t xml:space="preserve">However, further analysis of their contribution is needed before targets can be set for them. </w:t>
      </w:r>
    </w:p>
    <w:p w14:paraId="786F970D" w14:textId="77777777" w:rsidR="003A58CE" w:rsidRPr="00866D96" w:rsidRDefault="003A58CE" w:rsidP="00B53E51">
      <w:pPr>
        <w:pStyle w:val="BTitle3"/>
        <w:spacing w:line="276" w:lineRule="auto"/>
        <w:rPr>
          <w:noProof w:val="0"/>
          <w:lang w:val="en-GB"/>
        </w:rPr>
      </w:pPr>
      <w:bookmarkStart w:id="27" w:name="_Toc481614868"/>
      <w:r w:rsidRPr="00866D96">
        <w:rPr>
          <w:noProof w:val="0"/>
          <w:lang w:val="en-GB"/>
        </w:rPr>
        <w:t>Energy Efficiency Targets</w:t>
      </w:r>
      <w:bookmarkEnd w:id="26"/>
      <w:r w:rsidRPr="00866D96">
        <w:rPr>
          <w:noProof w:val="0"/>
          <w:lang w:val="en-GB"/>
        </w:rPr>
        <w:t xml:space="preserve"> -2030</w:t>
      </w:r>
      <w:bookmarkEnd w:id="27"/>
    </w:p>
    <w:p w14:paraId="6C02D138" w14:textId="77777777" w:rsidR="00DF1577" w:rsidRDefault="00DF1577" w:rsidP="00B53E51">
      <w:pPr>
        <w:spacing w:line="276" w:lineRule="auto"/>
        <w:rPr>
          <w:lang w:eastAsia="en-US"/>
        </w:rPr>
      </w:pPr>
      <w:r w:rsidRPr="00866D96">
        <w:rPr>
          <w:lang w:eastAsia="en-US"/>
        </w:rPr>
        <w:t>The energy intensity target up to 2030 is based on this past performance data. It is expected that Malawi`s overall energy intensity will decrease by more than 50% over the period 2015 – 2030. The other EE targets below are based on population projections, household connection projections, and projections based on EE initiatives planned or under way.</w:t>
      </w:r>
    </w:p>
    <w:p w14:paraId="43214927" w14:textId="77777777" w:rsidR="00A24B06" w:rsidRPr="00866D96" w:rsidRDefault="00A24B06" w:rsidP="00B53E51">
      <w:pPr>
        <w:spacing w:line="276" w:lineRule="auto"/>
        <w:rPr>
          <w:lang w:eastAsia="en-US"/>
        </w:rPr>
      </w:pPr>
    </w:p>
    <w:p w14:paraId="6F004817" w14:textId="77777777" w:rsidR="003A58CE" w:rsidRPr="006122EE" w:rsidRDefault="003A58CE" w:rsidP="00B53E51">
      <w:pPr>
        <w:pStyle w:val="Caption"/>
        <w:spacing w:line="276" w:lineRule="auto"/>
      </w:pPr>
      <w:bookmarkStart w:id="28" w:name="_Toc447217144"/>
      <w:bookmarkStart w:id="29" w:name="_Toc481614990"/>
      <w:r w:rsidRPr="006122EE">
        <w:t xml:space="preserve">Table </w:t>
      </w:r>
      <w:r w:rsidR="00DC7D8C">
        <w:fldChar w:fldCharType="begin"/>
      </w:r>
      <w:r w:rsidR="00DC7D8C">
        <w:instrText xml:space="preserve"> SEQ Table \* ARABIC </w:instrText>
      </w:r>
      <w:r w:rsidR="00DC7D8C">
        <w:fldChar w:fldCharType="separate"/>
      </w:r>
      <w:r w:rsidR="00866D96">
        <w:rPr>
          <w:noProof/>
        </w:rPr>
        <w:t>5</w:t>
      </w:r>
      <w:r w:rsidR="00DC7D8C">
        <w:rPr>
          <w:noProof/>
        </w:rPr>
        <w:fldChar w:fldCharType="end"/>
      </w:r>
      <w:r w:rsidRPr="006122EE">
        <w:t>: Energy Efficiency Targets</w:t>
      </w:r>
      <w:bookmarkEnd w:id="28"/>
      <w:bookmarkEnd w:id="29"/>
    </w:p>
    <w:tbl>
      <w:tblPr>
        <w:tblStyle w:val="GridTable4-Accent31"/>
        <w:tblW w:w="5000" w:type="pct"/>
        <w:tblLook w:val="04A0" w:firstRow="1" w:lastRow="0" w:firstColumn="1" w:lastColumn="0" w:noHBand="0" w:noVBand="1"/>
      </w:tblPr>
      <w:tblGrid>
        <w:gridCol w:w="7210"/>
        <w:gridCol w:w="2184"/>
      </w:tblGrid>
      <w:tr w:rsidR="003A58CE" w:rsidRPr="006122EE" w14:paraId="0ACB0CB1" w14:textId="77777777" w:rsidTr="00726AF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8" w:type="pct"/>
            <w:hideMark/>
          </w:tcPr>
          <w:p w14:paraId="78DA7BE9" w14:textId="77777777" w:rsidR="003A58CE" w:rsidRPr="00866D96" w:rsidRDefault="003A58CE" w:rsidP="00B53E51">
            <w:pPr>
              <w:spacing w:before="60" w:after="60" w:line="276" w:lineRule="auto"/>
              <w:jc w:val="left"/>
              <w:rPr>
                <w:rFonts w:eastAsia="Times New Roman" w:cs="Arial"/>
                <w:bCs w:val="0"/>
                <w:szCs w:val="20"/>
                <w:lang w:eastAsia="en-US"/>
              </w:rPr>
            </w:pPr>
          </w:p>
        </w:tc>
        <w:tc>
          <w:tcPr>
            <w:tcW w:w="1162" w:type="pct"/>
            <w:noWrap/>
            <w:hideMark/>
          </w:tcPr>
          <w:p w14:paraId="70D086AA" w14:textId="77777777" w:rsidR="003A58CE" w:rsidRPr="00866D96" w:rsidRDefault="003A58CE"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 xml:space="preserve">Target </w:t>
            </w:r>
          </w:p>
        </w:tc>
      </w:tr>
      <w:tr w:rsidR="003A58CE" w:rsidRPr="006122EE" w14:paraId="78E3937C"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8" w:type="pct"/>
            <w:hideMark/>
          </w:tcPr>
          <w:p w14:paraId="2AB28931"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Energy intensity of economy  - Btu/USD (Currently 1,655)</w:t>
            </w:r>
          </w:p>
        </w:tc>
        <w:tc>
          <w:tcPr>
            <w:tcW w:w="1162" w:type="pct"/>
            <w:noWrap/>
            <w:hideMark/>
          </w:tcPr>
          <w:p w14:paraId="1E45DAB2" w14:textId="77777777" w:rsidR="003A58CE" w:rsidRPr="00866D96" w:rsidRDefault="003A58CE"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897 (45.8% decrease)</w:t>
            </w:r>
          </w:p>
        </w:tc>
      </w:tr>
      <w:tr w:rsidR="003A58CE" w:rsidRPr="006122EE" w14:paraId="5BD4D9F4"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3838" w:type="pct"/>
            <w:hideMark/>
          </w:tcPr>
          <w:p w14:paraId="4D9DFE6C"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Solar water heater replacements by 2030 </w:t>
            </w:r>
          </w:p>
        </w:tc>
        <w:tc>
          <w:tcPr>
            <w:tcW w:w="1162" w:type="pct"/>
            <w:noWrap/>
            <w:hideMark/>
          </w:tcPr>
          <w:p w14:paraId="4136512C" w14:textId="77777777" w:rsidR="003A58CE" w:rsidRPr="00866D96" w:rsidRDefault="003A58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40,000</w:t>
            </w:r>
          </w:p>
        </w:tc>
      </w:tr>
      <w:tr w:rsidR="003A58CE" w:rsidRPr="006122EE" w14:paraId="24F3108B"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8" w:type="pct"/>
            <w:hideMark/>
          </w:tcPr>
          <w:p w14:paraId="0FBA3EBC"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New prepaid/smart meters </w:t>
            </w:r>
          </w:p>
        </w:tc>
        <w:tc>
          <w:tcPr>
            <w:tcW w:w="1162" w:type="pct"/>
            <w:noWrap/>
          </w:tcPr>
          <w:p w14:paraId="770564A5" w14:textId="77777777" w:rsidR="003A58CE" w:rsidRPr="00866D96" w:rsidRDefault="00F41C0A"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1.6</w:t>
            </w:r>
            <w:r w:rsidR="003A58CE" w:rsidRPr="00866D96">
              <w:rPr>
                <w:rFonts w:eastAsia="Times New Roman" w:cs="Arial"/>
                <w:color w:val="000000"/>
                <w:szCs w:val="20"/>
                <w:lang w:eastAsia="en-US"/>
              </w:rPr>
              <w:t xml:space="preserve"> million</w:t>
            </w:r>
          </w:p>
        </w:tc>
      </w:tr>
      <w:tr w:rsidR="003A58CE" w:rsidRPr="006122EE" w14:paraId="2E48DAB4" w14:textId="77777777" w:rsidTr="00726AF3">
        <w:trPr>
          <w:trHeight w:val="576"/>
        </w:trPr>
        <w:tc>
          <w:tcPr>
            <w:cnfStyle w:val="001000000000" w:firstRow="0" w:lastRow="0" w:firstColumn="1" w:lastColumn="0" w:oddVBand="0" w:evenVBand="0" w:oddHBand="0" w:evenHBand="0" w:firstRowFirstColumn="0" w:firstRowLastColumn="0" w:lastRowFirstColumn="0" w:lastRowLastColumn="0"/>
            <w:tcW w:w="3838" w:type="pct"/>
            <w:hideMark/>
          </w:tcPr>
          <w:p w14:paraId="1BCE6F0D"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Lighting: Additional LED bulbs installed by 2030</w:t>
            </w:r>
          </w:p>
        </w:tc>
        <w:tc>
          <w:tcPr>
            <w:tcW w:w="1162" w:type="pct"/>
            <w:noWrap/>
          </w:tcPr>
          <w:p w14:paraId="5987154C" w14:textId="77777777" w:rsidR="003A58CE" w:rsidRPr="00866D96" w:rsidRDefault="003A58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8,250,000</w:t>
            </w:r>
          </w:p>
        </w:tc>
      </w:tr>
      <w:tr w:rsidR="003A58CE" w:rsidRPr="006122EE" w14:paraId="4344C1B5"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8" w:type="pct"/>
            <w:hideMark/>
          </w:tcPr>
          <w:p w14:paraId="3BFAF9EB"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New EE barns constructed</w:t>
            </w:r>
          </w:p>
        </w:tc>
        <w:tc>
          <w:tcPr>
            <w:tcW w:w="1162" w:type="pct"/>
            <w:noWrap/>
            <w:hideMark/>
          </w:tcPr>
          <w:p w14:paraId="26526DA3" w14:textId="77777777" w:rsidR="003A58CE" w:rsidRPr="00866D96" w:rsidRDefault="00F41C0A"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5</w:t>
            </w:r>
            <w:r w:rsidR="003A58CE" w:rsidRPr="00866D96">
              <w:rPr>
                <w:rFonts w:eastAsia="Times New Roman" w:cs="Arial"/>
                <w:color w:val="000000"/>
                <w:szCs w:val="20"/>
                <w:lang w:eastAsia="en-US"/>
              </w:rPr>
              <w:t>,000</w:t>
            </w:r>
          </w:p>
        </w:tc>
      </w:tr>
      <w:tr w:rsidR="003A58CE" w:rsidRPr="006122EE" w14:paraId="115FA9C2"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3838" w:type="pct"/>
          </w:tcPr>
          <w:p w14:paraId="3FC81F23" w14:textId="77777777" w:rsidR="003A58CE" w:rsidRPr="00866D96" w:rsidRDefault="003A58CE"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Combined transmission and distribution losses</w:t>
            </w:r>
            <w:r w:rsidR="00CB7353" w:rsidRPr="00866D96">
              <w:rPr>
                <w:rFonts w:eastAsia="Times New Roman" w:cs="Arial"/>
                <w:color w:val="000000"/>
                <w:szCs w:val="20"/>
                <w:lang w:eastAsia="en-US"/>
              </w:rPr>
              <w:t xml:space="preserve"> (currently estimated at 22%)</w:t>
            </w:r>
          </w:p>
        </w:tc>
        <w:tc>
          <w:tcPr>
            <w:tcW w:w="1162" w:type="pct"/>
            <w:noWrap/>
          </w:tcPr>
          <w:p w14:paraId="7B5F4825" w14:textId="77777777" w:rsidR="003A58CE" w:rsidRPr="00866D96" w:rsidRDefault="003A58CE"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12%</w:t>
            </w:r>
          </w:p>
        </w:tc>
      </w:tr>
    </w:tbl>
    <w:p w14:paraId="1E0023C3" w14:textId="77777777" w:rsidR="005F27B0" w:rsidRPr="00866D96" w:rsidRDefault="005F27B0" w:rsidP="00B53E51">
      <w:pPr>
        <w:pStyle w:val="BTitle3"/>
        <w:spacing w:line="276" w:lineRule="auto"/>
        <w:rPr>
          <w:noProof w:val="0"/>
          <w:lang w:val="en-GB"/>
        </w:rPr>
      </w:pPr>
      <w:bookmarkStart w:id="30" w:name="_Toc481614869"/>
      <w:bookmarkStart w:id="31" w:name="_Toc447216973"/>
      <w:r w:rsidRPr="00866D96">
        <w:rPr>
          <w:noProof w:val="0"/>
          <w:lang w:val="en-GB"/>
        </w:rPr>
        <w:t>Transportation Targets</w:t>
      </w:r>
      <w:bookmarkEnd w:id="30"/>
      <w:r w:rsidRPr="00866D96">
        <w:rPr>
          <w:noProof w:val="0"/>
          <w:lang w:val="en-GB"/>
        </w:rPr>
        <w:t xml:space="preserve"> </w:t>
      </w:r>
    </w:p>
    <w:p w14:paraId="0668B0BB" w14:textId="77777777" w:rsidR="005F27B0" w:rsidRDefault="00315EF3" w:rsidP="00B53E51">
      <w:pPr>
        <w:spacing w:line="276" w:lineRule="auto"/>
        <w:rPr>
          <w:rFonts w:cs="Arial"/>
          <w:iCs/>
          <w:color w:val="auto"/>
          <w:szCs w:val="20"/>
        </w:rPr>
      </w:pPr>
      <w:r w:rsidRPr="006122EE">
        <w:rPr>
          <w:rFonts w:cs="Arial"/>
          <w:iCs/>
          <w:color w:val="auto"/>
          <w:szCs w:val="20"/>
        </w:rPr>
        <w:t>Biofuel production targets are based on liquid fuel demand linear projection through 2030, based on past annual growth, and mandatory blend. Mandatory blends considered in 2030 were defined based on discussion with stakeholders</w:t>
      </w:r>
      <w:r w:rsidR="00180601" w:rsidRPr="006122EE">
        <w:rPr>
          <w:rFonts w:cs="Arial"/>
          <w:iCs/>
          <w:color w:val="auto"/>
          <w:szCs w:val="20"/>
        </w:rPr>
        <w:t>.</w:t>
      </w:r>
    </w:p>
    <w:p w14:paraId="7950B4F2" w14:textId="77777777" w:rsidR="00A24B06" w:rsidRPr="006122EE" w:rsidRDefault="00A24B06" w:rsidP="00B53E51">
      <w:pPr>
        <w:spacing w:line="276" w:lineRule="auto"/>
        <w:rPr>
          <w:color w:val="auto"/>
        </w:rPr>
      </w:pPr>
    </w:p>
    <w:p w14:paraId="283A9EE7" w14:textId="77777777" w:rsidR="005F27B0" w:rsidRPr="006122EE" w:rsidRDefault="005F27B0" w:rsidP="00B53E51">
      <w:pPr>
        <w:pStyle w:val="Caption"/>
        <w:spacing w:line="276" w:lineRule="auto"/>
      </w:pPr>
      <w:bookmarkStart w:id="32" w:name="_Toc481614991"/>
      <w:r w:rsidRPr="006122EE">
        <w:t xml:space="preserve">Table </w:t>
      </w:r>
      <w:r w:rsidR="00DC7D8C">
        <w:fldChar w:fldCharType="begin"/>
      </w:r>
      <w:r w:rsidR="00DC7D8C">
        <w:instrText xml:space="preserve"> SEQ Table \* ARABIC </w:instrText>
      </w:r>
      <w:r w:rsidR="00DC7D8C">
        <w:fldChar w:fldCharType="separate"/>
      </w:r>
      <w:r w:rsidR="00866D96">
        <w:rPr>
          <w:noProof/>
        </w:rPr>
        <w:t>6</w:t>
      </w:r>
      <w:r w:rsidR="00DC7D8C">
        <w:rPr>
          <w:noProof/>
        </w:rPr>
        <w:fldChar w:fldCharType="end"/>
      </w:r>
      <w:r w:rsidRPr="006122EE">
        <w:t xml:space="preserve">: </w:t>
      </w:r>
      <w:r w:rsidR="00180601" w:rsidRPr="006122EE">
        <w:t>Targets on alternative fuels</w:t>
      </w:r>
      <w:bookmarkEnd w:id="32"/>
    </w:p>
    <w:tbl>
      <w:tblPr>
        <w:tblStyle w:val="GridTable4-Accent31"/>
        <w:tblW w:w="5000" w:type="pct"/>
        <w:tblLayout w:type="fixed"/>
        <w:tblLook w:val="04A0" w:firstRow="1" w:lastRow="0" w:firstColumn="1" w:lastColumn="0" w:noHBand="0" w:noVBand="1"/>
      </w:tblPr>
      <w:tblGrid>
        <w:gridCol w:w="2570"/>
        <w:gridCol w:w="3217"/>
        <w:gridCol w:w="3607"/>
      </w:tblGrid>
      <w:tr w:rsidR="005F27B0" w:rsidRPr="006122EE" w14:paraId="4559E68B" w14:textId="77777777" w:rsidTr="00726AF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68" w:type="pct"/>
            <w:hideMark/>
          </w:tcPr>
          <w:p w14:paraId="6BEEC87A" w14:textId="77777777" w:rsidR="005F27B0" w:rsidRPr="00866D96" w:rsidRDefault="005F27B0" w:rsidP="00B53E51">
            <w:pPr>
              <w:spacing w:before="60" w:after="60" w:line="276" w:lineRule="auto"/>
              <w:jc w:val="left"/>
              <w:rPr>
                <w:rFonts w:eastAsia="Times New Roman" w:cs="Arial"/>
                <w:bCs w:val="0"/>
                <w:szCs w:val="20"/>
                <w:lang w:eastAsia="en-US"/>
              </w:rPr>
            </w:pPr>
            <w:r w:rsidRPr="00866D96">
              <w:rPr>
                <w:rFonts w:eastAsia="Times New Roman" w:cs="Arial"/>
                <w:szCs w:val="20"/>
                <w:lang w:eastAsia="en-US"/>
              </w:rPr>
              <w:t>Biofuels</w:t>
            </w:r>
          </w:p>
        </w:tc>
        <w:tc>
          <w:tcPr>
            <w:tcW w:w="1712" w:type="pct"/>
            <w:noWrap/>
            <w:hideMark/>
          </w:tcPr>
          <w:p w14:paraId="428DD1E1" w14:textId="77777777" w:rsidR="005F27B0" w:rsidRPr="00866D96" w:rsidRDefault="005F27B0"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 xml:space="preserve">Baseline </w:t>
            </w:r>
            <w:commentRangeStart w:id="33"/>
            <w:commentRangeStart w:id="34"/>
            <w:r w:rsidRPr="00866D96">
              <w:rPr>
                <w:rFonts w:eastAsia="Times New Roman" w:cs="Arial"/>
                <w:szCs w:val="20"/>
                <w:lang w:eastAsia="en-US"/>
              </w:rPr>
              <w:t>(2012)</w:t>
            </w:r>
            <w:commentRangeEnd w:id="33"/>
            <w:r w:rsidR="00F93A54">
              <w:rPr>
                <w:rStyle w:val="CommentReference"/>
                <w:b w:val="0"/>
                <w:bCs w:val="0"/>
                <w:color w:val="000000" w:themeColor="text1"/>
              </w:rPr>
              <w:commentReference w:id="33"/>
            </w:r>
            <w:commentRangeEnd w:id="34"/>
            <w:r w:rsidR="00156C84">
              <w:rPr>
                <w:rStyle w:val="CommentReference"/>
                <w:b w:val="0"/>
                <w:bCs w:val="0"/>
                <w:color w:val="000000" w:themeColor="text1"/>
              </w:rPr>
              <w:commentReference w:id="34"/>
            </w:r>
          </w:p>
        </w:tc>
        <w:tc>
          <w:tcPr>
            <w:tcW w:w="1920" w:type="pct"/>
            <w:noWrap/>
            <w:hideMark/>
          </w:tcPr>
          <w:p w14:paraId="55B96B65" w14:textId="77777777" w:rsidR="005F27B0" w:rsidRPr="00866D96" w:rsidRDefault="005F27B0"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szCs w:val="20"/>
                <w:lang w:eastAsia="en-US"/>
              </w:rPr>
            </w:pPr>
            <w:r w:rsidRPr="00866D96">
              <w:rPr>
                <w:rFonts w:eastAsia="Times New Roman" w:cs="Arial"/>
                <w:szCs w:val="20"/>
                <w:lang w:eastAsia="en-US"/>
              </w:rPr>
              <w:t>Target (2030)</w:t>
            </w:r>
          </w:p>
        </w:tc>
      </w:tr>
      <w:tr w:rsidR="005F27B0" w:rsidRPr="006122EE" w14:paraId="295FEBF9" w14:textId="77777777" w:rsidTr="00BC20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hideMark/>
          </w:tcPr>
          <w:p w14:paraId="24EE4F12" w14:textId="77777777" w:rsidR="005F27B0" w:rsidRPr="00866D96" w:rsidRDefault="005F27B0"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Ethanol production </w:t>
            </w:r>
          </w:p>
        </w:tc>
        <w:tc>
          <w:tcPr>
            <w:tcW w:w="1712" w:type="pct"/>
            <w:noWrap/>
            <w:hideMark/>
          </w:tcPr>
          <w:p w14:paraId="655C2095" w14:textId="77777777" w:rsidR="005F27B0" w:rsidRPr="00866D96" w:rsidRDefault="005F27B0"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commentRangeStart w:id="35"/>
            <w:r w:rsidRPr="00866D96">
              <w:rPr>
                <w:rFonts w:eastAsia="Times New Roman" w:cs="Arial"/>
                <w:color w:val="000000"/>
                <w:szCs w:val="20"/>
                <w:lang w:eastAsia="en-US"/>
              </w:rPr>
              <w:t xml:space="preserve">19 </w:t>
            </w:r>
            <w:commentRangeEnd w:id="35"/>
            <w:r w:rsidR="000C386B">
              <w:rPr>
                <w:rStyle w:val="CommentReference"/>
              </w:rPr>
              <w:commentReference w:id="35"/>
            </w:r>
            <w:r w:rsidRPr="00866D96">
              <w:rPr>
                <w:rFonts w:eastAsia="Times New Roman" w:cs="Arial"/>
                <w:color w:val="000000"/>
                <w:szCs w:val="20"/>
                <w:lang w:eastAsia="en-US"/>
              </w:rPr>
              <w:t xml:space="preserve">million </w:t>
            </w:r>
            <w:r w:rsidR="000C3D74" w:rsidRPr="006122EE">
              <w:rPr>
                <w:rFonts w:eastAsia="Times New Roman" w:cs="Arial"/>
                <w:color w:val="000000"/>
                <w:szCs w:val="20"/>
                <w:lang w:eastAsia="en-US"/>
              </w:rPr>
              <w:t>litres</w:t>
            </w:r>
          </w:p>
        </w:tc>
        <w:tc>
          <w:tcPr>
            <w:tcW w:w="1920" w:type="pct"/>
            <w:noWrap/>
            <w:hideMark/>
          </w:tcPr>
          <w:p w14:paraId="1A5AD311" w14:textId="77777777" w:rsidR="005F27B0" w:rsidRPr="00866D96" w:rsidRDefault="005F27B0"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40 million</w:t>
            </w:r>
            <w:r w:rsidR="000C3D74" w:rsidRPr="006122EE">
              <w:rPr>
                <w:rFonts w:eastAsia="Times New Roman" w:cs="Arial"/>
                <w:color w:val="000000"/>
                <w:szCs w:val="20"/>
                <w:lang w:eastAsia="en-US"/>
              </w:rPr>
              <w:t xml:space="preserve"> litres</w:t>
            </w:r>
          </w:p>
        </w:tc>
      </w:tr>
      <w:tr w:rsidR="005F27B0" w:rsidRPr="006122EE" w14:paraId="2468893D" w14:textId="77777777" w:rsidTr="00BC204F">
        <w:trPr>
          <w:trHeight w:val="288"/>
        </w:trPr>
        <w:tc>
          <w:tcPr>
            <w:cnfStyle w:val="001000000000" w:firstRow="0" w:lastRow="0" w:firstColumn="1" w:lastColumn="0" w:oddVBand="0" w:evenVBand="0" w:oddHBand="0" w:evenHBand="0" w:firstRowFirstColumn="0" w:firstRowLastColumn="0" w:lastRowFirstColumn="0" w:lastRowLastColumn="0"/>
            <w:tcW w:w="1368" w:type="pct"/>
          </w:tcPr>
          <w:p w14:paraId="5FEC7D28" w14:textId="77777777" w:rsidR="005F27B0" w:rsidRPr="00866D96" w:rsidRDefault="005F27B0"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Biodiesel production</w:t>
            </w:r>
          </w:p>
        </w:tc>
        <w:tc>
          <w:tcPr>
            <w:tcW w:w="1712" w:type="pct"/>
            <w:noWrap/>
          </w:tcPr>
          <w:p w14:paraId="0E8A4F3C" w14:textId="77777777" w:rsidR="005F27B0" w:rsidRPr="00866D96" w:rsidRDefault="00EF136F"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150,000 litres</w:t>
            </w:r>
          </w:p>
        </w:tc>
        <w:tc>
          <w:tcPr>
            <w:tcW w:w="1920" w:type="pct"/>
            <w:noWrap/>
          </w:tcPr>
          <w:p w14:paraId="6B0E7342" w14:textId="77777777" w:rsidR="005F27B0" w:rsidRPr="00866D96" w:rsidRDefault="000C3D74"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55</w:t>
            </w:r>
            <w:r w:rsidR="00EF136F" w:rsidRPr="00866D96">
              <w:rPr>
                <w:rFonts w:eastAsia="Times New Roman" w:cs="Arial"/>
                <w:color w:val="000000"/>
                <w:szCs w:val="20"/>
                <w:lang w:eastAsia="en-US"/>
              </w:rPr>
              <w:t xml:space="preserve"> </w:t>
            </w:r>
            <w:r w:rsidR="005F27B0" w:rsidRPr="00866D96">
              <w:rPr>
                <w:rFonts w:eastAsia="Times New Roman" w:cs="Arial"/>
                <w:color w:val="000000"/>
                <w:szCs w:val="20"/>
                <w:lang w:eastAsia="en-US"/>
              </w:rPr>
              <w:t xml:space="preserve">million </w:t>
            </w:r>
            <w:r w:rsidRPr="006122EE">
              <w:rPr>
                <w:rFonts w:eastAsia="Times New Roman" w:cs="Arial"/>
                <w:color w:val="000000"/>
                <w:szCs w:val="20"/>
                <w:lang w:eastAsia="en-US"/>
              </w:rPr>
              <w:t>litres</w:t>
            </w:r>
          </w:p>
        </w:tc>
      </w:tr>
      <w:tr w:rsidR="005F27B0" w:rsidRPr="006122EE" w14:paraId="0F631782" w14:textId="77777777" w:rsidTr="00BC20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hideMark/>
          </w:tcPr>
          <w:p w14:paraId="5965B01E" w14:textId="77777777" w:rsidR="005F27B0" w:rsidRPr="00866D96" w:rsidRDefault="005F27B0"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Ethanol blend</w:t>
            </w:r>
          </w:p>
        </w:tc>
        <w:tc>
          <w:tcPr>
            <w:tcW w:w="1712" w:type="pct"/>
            <w:noWrap/>
          </w:tcPr>
          <w:p w14:paraId="2D224943" w14:textId="77777777" w:rsidR="005F27B0" w:rsidRPr="00866D96" w:rsidRDefault="005F27B0"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commentRangeStart w:id="36"/>
            <w:r w:rsidRPr="00866D96">
              <w:rPr>
                <w:rFonts w:eastAsia="Times New Roman" w:cs="Arial"/>
                <w:color w:val="000000"/>
                <w:szCs w:val="20"/>
                <w:lang w:eastAsia="en-US"/>
              </w:rPr>
              <w:t>10</w:t>
            </w:r>
            <w:r w:rsidR="001E45E1" w:rsidRPr="00866D96">
              <w:rPr>
                <w:rFonts w:eastAsia="Times New Roman" w:cs="Arial"/>
                <w:color w:val="000000"/>
                <w:szCs w:val="20"/>
                <w:lang w:eastAsia="en-US"/>
              </w:rPr>
              <w:t>%</w:t>
            </w:r>
            <w:commentRangeEnd w:id="36"/>
            <w:r w:rsidR="00770399">
              <w:rPr>
                <w:rStyle w:val="CommentReference"/>
              </w:rPr>
              <w:commentReference w:id="36"/>
            </w:r>
          </w:p>
        </w:tc>
        <w:tc>
          <w:tcPr>
            <w:tcW w:w="1920" w:type="pct"/>
            <w:noWrap/>
          </w:tcPr>
          <w:p w14:paraId="17616B6E" w14:textId="77777777" w:rsidR="005F27B0" w:rsidRPr="00866D96" w:rsidRDefault="005F27B0"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30</w:t>
            </w:r>
            <w:r w:rsidR="001E45E1" w:rsidRPr="00866D96">
              <w:rPr>
                <w:rFonts w:eastAsia="Times New Roman" w:cs="Arial"/>
                <w:color w:val="000000"/>
                <w:szCs w:val="20"/>
                <w:lang w:eastAsia="en-US"/>
              </w:rPr>
              <w:t>%</w:t>
            </w:r>
          </w:p>
        </w:tc>
      </w:tr>
      <w:tr w:rsidR="005F27B0" w:rsidRPr="006122EE" w14:paraId="3307F3C9" w14:textId="77777777" w:rsidTr="00BC204F">
        <w:trPr>
          <w:trHeight w:val="288"/>
        </w:trPr>
        <w:tc>
          <w:tcPr>
            <w:cnfStyle w:val="001000000000" w:firstRow="0" w:lastRow="0" w:firstColumn="1" w:lastColumn="0" w:oddVBand="0" w:evenVBand="0" w:oddHBand="0" w:evenHBand="0" w:firstRowFirstColumn="0" w:firstRowLastColumn="0" w:lastRowFirstColumn="0" w:lastRowLastColumn="0"/>
            <w:tcW w:w="1368" w:type="pct"/>
            <w:hideMark/>
          </w:tcPr>
          <w:p w14:paraId="678980B5" w14:textId="77777777" w:rsidR="005F27B0" w:rsidRPr="00866D96" w:rsidRDefault="005F27B0" w:rsidP="00B53E51">
            <w:pPr>
              <w:spacing w:before="60" w:after="60" w:line="276" w:lineRule="auto"/>
              <w:jc w:val="left"/>
              <w:rPr>
                <w:rFonts w:eastAsia="Times New Roman" w:cs="Arial"/>
                <w:b w:val="0"/>
                <w:color w:val="000000"/>
                <w:szCs w:val="20"/>
                <w:lang w:eastAsia="en-US"/>
              </w:rPr>
            </w:pPr>
            <w:r w:rsidRPr="00866D96">
              <w:rPr>
                <w:rFonts w:eastAsia="Times New Roman" w:cs="Arial"/>
                <w:color w:val="000000"/>
                <w:szCs w:val="20"/>
                <w:lang w:eastAsia="en-US"/>
              </w:rPr>
              <w:t xml:space="preserve">Biodiesel </w:t>
            </w:r>
          </w:p>
        </w:tc>
        <w:tc>
          <w:tcPr>
            <w:tcW w:w="1712" w:type="pct"/>
            <w:noWrap/>
          </w:tcPr>
          <w:p w14:paraId="211B9F95" w14:textId="77777777" w:rsidR="005F27B0" w:rsidRPr="00866D96" w:rsidRDefault="005F27B0"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i/>
                <w:color w:val="000000"/>
                <w:szCs w:val="20"/>
                <w:lang w:eastAsia="en-US"/>
              </w:rPr>
            </w:pPr>
            <w:commentRangeStart w:id="37"/>
            <w:r w:rsidRPr="00866D96">
              <w:rPr>
                <w:rFonts w:eastAsia="Times New Roman" w:cs="Arial"/>
                <w:i/>
                <w:color w:val="000000"/>
                <w:szCs w:val="20"/>
                <w:lang w:eastAsia="en-US"/>
              </w:rPr>
              <w:t>No mandatory blend in 2012</w:t>
            </w:r>
            <w:commentRangeEnd w:id="37"/>
            <w:r w:rsidR="00770399">
              <w:rPr>
                <w:rStyle w:val="CommentReference"/>
              </w:rPr>
              <w:commentReference w:id="37"/>
            </w:r>
          </w:p>
        </w:tc>
        <w:tc>
          <w:tcPr>
            <w:tcW w:w="1920" w:type="pct"/>
            <w:noWrap/>
          </w:tcPr>
          <w:p w14:paraId="3BC5EC53" w14:textId="77777777" w:rsidR="005F27B0" w:rsidRPr="00866D96" w:rsidRDefault="00EF136F" w:rsidP="00B53E5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866D96">
              <w:rPr>
                <w:rFonts w:eastAsia="Times New Roman" w:cs="Arial"/>
                <w:color w:val="000000"/>
                <w:szCs w:val="20"/>
                <w:lang w:eastAsia="en-US"/>
              </w:rPr>
              <w:t>15</w:t>
            </w:r>
            <w:r w:rsidR="001E45E1" w:rsidRPr="00866D96">
              <w:rPr>
                <w:rFonts w:eastAsia="Times New Roman" w:cs="Arial"/>
                <w:color w:val="000000"/>
                <w:szCs w:val="20"/>
                <w:lang w:eastAsia="en-US"/>
              </w:rPr>
              <w:t>%</w:t>
            </w:r>
          </w:p>
        </w:tc>
      </w:tr>
    </w:tbl>
    <w:p w14:paraId="5320325F" w14:textId="77777777" w:rsidR="009E38D3" w:rsidRDefault="009E38D3" w:rsidP="00B53E51">
      <w:pPr>
        <w:spacing w:line="276" w:lineRule="auto"/>
        <w:rPr>
          <w:rFonts w:cs="Arial"/>
          <w:iCs/>
          <w:color w:val="auto"/>
          <w:szCs w:val="20"/>
        </w:rPr>
      </w:pPr>
      <w:r w:rsidRPr="006122EE">
        <w:t xml:space="preserve">The automobile fuel efficiency target is based on the </w:t>
      </w:r>
      <w:r w:rsidRPr="006122EE">
        <w:rPr>
          <w:lang w:eastAsia="en-US"/>
        </w:rPr>
        <w:t xml:space="preserve">Global Fuel Economy Initiative (GFEI), one of the </w:t>
      </w:r>
      <w:r w:rsidR="00327938" w:rsidRPr="006122EE">
        <w:rPr>
          <w:lang w:eastAsia="en-US"/>
        </w:rPr>
        <w:t>SE4ALL</w:t>
      </w:r>
      <w:r w:rsidRPr="006122EE">
        <w:rPr>
          <w:lang w:eastAsia="en-US"/>
        </w:rPr>
        <w:t xml:space="preserve"> flagship programs with the main objective being to reduce emissions and at least double the efficiency of the global vehicle fleet from an average of 8 litres/100 km in 2005 to 4 litres/100 km by 2050</w:t>
      </w:r>
      <w:r w:rsidRPr="006122EE">
        <w:t>. The fuel efficiency target for Malawi is slightly lower than the GFEI target because of the low fuel efficiency starting point of Malawian vehicles, but represents an improvement over the country’s current fuel efficiency level, which is not known</w:t>
      </w:r>
      <w:r w:rsidR="00315EF3" w:rsidRPr="006122EE">
        <w:t xml:space="preserve"> due to lack of data. The target</w:t>
      </w:r>
      <w:r w:rsidR="00315EF3" w:rsidRPr="006122EE">
        <w:rPr>
          <w:rFonts w:cs="Arial"/>
          <w:iCs/>
          <w:color w:val="auto"/>
          <w:szCs w:val="20"/>
        </w:rPr>
        <w:t xml:space="preserve"> should be revised, at the latest by end of 2017, based on </w:t>
      </w:r>
      <w:r w:rsidR="00D52C5E" w:rsidRPr="006122EE">
        <w:rPr>
          <w:rFonts w:cs="Arial"/>
          <w:iCs/>
          <w:color w:val="auto"/>
          <w:szCs w:val="20"/>
        </w:rPr>
        <w:t>the collection of</w:t>
      </w:r>
      <w:r w:rsidR="00315EF3" w:rsidRPr="006122EE">
        <w:rPr>
          <w:rFonts w:cs="Arial"/>
          <w:iCs/>
          <w:color w:val="auto"/>
          <w:szCs w:val="20"/>
        </w:rPr>
        <w:t xml:space="preserve"> data </w:t>
      </w:r>
      <w:r w:rsidR="00D52C5E" w:rsidRPr="006122EE">
        <w:rPr>
          <w:rFonts w:cs="Arial"/>
          <w:iCs/>
          <w:color w:val="auto"/>
          <w:szCs w:val="20"/>
        </w:rPr>
        <w:t>pursuant to t</w:t>
      </w:r>
      <w:r w:rsidR="00315EF3" w:rsidRPr="006122EE">
        <w:rPr>
          <w:rFonts w:cs="Arial"/>
          <w:iCs/>
          <w:color w:val="auto"/>
          <w:szCs w:val="20"/>
        </w:rPr>
        <w:t xml:space="preserve">he </w:t>
      </w:r>
      <w:r w:rsidR="00D52C5E" w:rsidRPr="006122EE">
        <w:rPr>
          <w:rFonts w:cs="Arial"/>
          <w:iCs/>
          <w:color w:val="auto"/>
          <w:szCs w:val="20"/>
        </w:rPr>
        <w:t xml:space="preserve">development of the </w:t>
      </w:r>
      <w:r w:rsidR="00315EF3" w:rsidRPr="006122EE">
        <w:rPr>
          <w:rFonts w:cs="Arial"/>
          <w:iCs/>
          <w:color w:val="auto"/>
          <w:szCs w:val="20"/>
        </w:rPr>
        <w:t xml:space="preserve">National Transport Master Plan currently </w:t>
      </w:r>
      <w:r w:rsidR="00D52C5E" w:rsidRPr="006122EE">
        <w:rPr>
          <w:rFonts w:cs="Arial"/>
          <w:iCs/>
          <w:color w:val="auto"/>
          <w:szCs w:val="20"/>
        </w:rPr>
        <w:t>under way.</w:t>
      </w:r>
    </w:p>
    <w:p w14:paraId="153943E0" w14:textId="77777777" w:rsidR="00A24B06" w:rsidRPr="006122EE" w:rsidRDefault="00A24B06" w:rsidP="00B53E51">
      <w:pPr>
        <w:spacing w:line="276" w:lineRule="auto"/>
      </w:pPr>
    </w:p>
    <w:p w14:paraId="50EDA84A" w14:textId="77777777" w:rsidR="00180601" w:rsidRPr="006122EE" w:rsidRDefault="00180601" w:rsidP="00B53E51">
      <w:pPr>
        <w:pStyle w:val="Caption"/>
        <w:spacing w:line="276" w:lineRule="auto"/>
      </w:pPr>
      <w:bookmarkStart w:id="38" w:name="_Toc481614992"/>
      <w:r w:rsidRPr="006122EE">
        <w:t xml:space="preserve">Table </w:t>
      </w:r>
      <w:r w:rsidR="00DC7D8C">
        <w:fldChar w:fldCharType="begin"/>
      </w:r>
      <w:r w:rsidR="00DC7D8C">
        <w:instrText xml:space="preserve"> SEQ Table \* ARABIC </w:instrText>
      </w:r>
      <w:r w:rsidR="00DC7D8C">
        <w:fldChar w:fldCharType="separate"/>
      </w:r>
      <w:r w:rsidR="00866D96">
        <w:rPr>
          <w:noProof/>
        </w:rPr>
        <w:t>7</w:t>
      </w:r>
      <w:r w:rsidR="00DC7D8C">
        <w:rPr>
          <w:noProof/>
        </w:rPr>
        <w:fldChar w:fldCharType="end"/>
      </w:r>
      <w:r w:rsidRPr="006122EE">
        <w:t>: Target on urban transportation</w:t>
      </w:r>
      <w:bookmarkEnd w:id="38"/>
    </w:p>
    <w:tbl>
      <w:tblPr>
        <w:tblStyle w:val="GridTable4-Accent31"/>
        <w:tblW w:w="3623" w:type="pct"/>
        <w:jc w:val="center"/>
        <w:tblLook w:val="04A0" w:firstRow="1" w:lastRow="0" w:firstColumn="1" w:lastColumn="0" w:noHBand="0" w:noVBand="1"/>
      </w:tblPr>
      <w:tblGrid>
        <w:gridCol w:w="4058"/>
        <w:gridCol w:w="2749"/>
      </w:tblGrid>
      <w:tr w:rsidR="000D2D33" w:rsidRPr="006122EE" w14:paraId="5CBD9884" w14:textId="77777777" w:rsidTr="00866D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81" w:type="pct"/>
            <w:noWrap/>
            <w:hideMark/>
          </w:tcPr>
          <w:p w14:paraId="485DF666" w14:textId="77777777" w:rsidR="000D2D33" w:rsidRPr="006122EE" w:rsidRDefault="000D2D33" w:rsidP="00B53E51">
            <w:pPr>
              <w:spacing w:before="60" w:after="60" w:line="276" w:lineRule="auto"/>
              <w:jc w:val="left"/>
              <w:rPr>
                <w:rFonts w:eastAsia="Times New Roman" w:cs="Arial"/>
                <w:b w:val="0"/>
                <w:szCs w:val="20"/>
                <w:lang w:eastAsia="en-US"/>
              </w:rPr>
            </w:pPr>
            <w:r w:rsidRPr="00866D96">
              <w:rPr>
                <w:rFonts w:eastAsia="Times New Roman" w:cs="Arial"/>
                <w:szCs w:val="20"/>
                <w:lang w:eastAsia="en-US"/>
              </w:rPr>
              <w:t>Urban Transportation</w:t>
            </w:r>
          </w:p>
        </w:tc>
        <w:tc>
          <w:tcPr>
            <w:tcW w:w="2019" w:type="pct"/>
          </w:tcPr>
          <w:p w14:paraId="57C286E3" w14:textId="77777777" w:rsidR="000D2D33" w:rsidRPr="006122EE" w:rsidRDefault="000D2D33" w:rsidP="00B53E51">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szCs w:val="20"/>
                <w:lang w:eastAsia="en-US"/>
              </w:rPr>
            </w:pPr>
            <w:r>
              <w:rPr>
                <w:rFonts w:eastAsia="Times New Roman" w:cs="Arial"/>
                <w:b w:val="0"/>
                <w:szCs w:val="20"/>
                <w:lang w:eastAsia="en-US"/>
              </w:rPr>
              <w:t>Target</w:t>
            </w:r>
          </w:p>
        </w:tc>
      </w:tr>
      <w:tr w:rsidR="000D2D33" w:rsidRPr="006122EE" w14:paraId="215EFA2D" w14:textId="77777777" w:rsidTr="00866D9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981" w:type="pct"/>
            <w:hideMark/>
          </w:tcPr>
          <w:p w14:paraId="7090E8ED" w14:textId="77777777" w:rsidR="000D2D33" w:rsidRPr="00866D96" w:rsidRDefault="000D2D33" w:rsidP="00B53E51">
            <w:pPr>
              <w:spacing w:before="60" w:after="60" w:line="276" w:lineRule="auto"/>
              <w:jc w:val="left"/>
              <w:rPr>
                <w:rFonts w:eastAsia="Times New Roman" w:cs="Arial"/>
                <w:b w:val="0"/>
                <w:color w:val="000000"/>
                <w:szCs w:val="20"/>
                <w:lang w:eastAsia="en-US"/>
              </w:rPr>
            </w:pPr>
            <w:r w:rsidRPr="006122EE">
              <w:rPr>
                <w:rFonts w:eastAsia="Times New Roman" w:cs="Arial"/>
                <w:b w:val="0"/>
                <w:color w:val="000000"/>
                <w:szCs w:val="20"/>
                <w:lang w:eastAsia="en-US"/>
              </w:rPr>
              <w:t>F</w:t>
            </w:r>
            <w:r w:rsidRPr="00866D96">
              <w:rPr>
                <w:rFonts w:eastAsia="Times New Roman" w:cs="Arial"/>
                <w:color w:val="000000"/>
                <w:szCs w:val="20"/>
                <w:lang w:eastAsia="en-US"/>
              </w:rPr>
              <w:t xml:space="preserve">uel efficiency by 2030 </w:t>
            </w:r>
          </w:p>
        </w:tc>
        <w:tc>
          <w:tcPr>
            <w:tcW w:w="2019" w:type="pct"/>
            <w:noWrap/>
            <w:hideMark/>
          </w:tcPr>
          <w:p w14:paraId="0244B84C" w14:textId="77777777" w:rsidR="000D2D33" w:rsidRPr="00866D96" w:rsidRDefault="000D2D33" w:rsidP="00B53E51">
            <w:pPr>
              <w:spacing w:before="6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highlight w:val="yellow"/>
                <w:lang w:eastAsia="en-US"/>
              </w:rPr>
            </w:pPr>
            <w:r w:rsidRPr="00866D96">
              <w:rPr>
                <w:rFonts w:eastAsia="Times New Roman" w:cs="Arial"/>
                <w:color w:val="000000"/>
                <w:szCs w:val="20"/>
                <w:lang w:eastAsia="en-US"/>
              </w:rPr>
              <w:t>8 litres/100 km</w:t>
            </w:r>
          </w:p>
        </w:tc>
      </w:tr>
    </w:tbl>
    <w:p w14:paraId="53B05D86" w14:textId="77777777" w:rsidR="00831A6B" w:rsidRPr="00866D96" w:rsidRDefault="00831A6B" w:rsidP="00B53E51">
      <w:pPr>
        <w:pStyle w:val="BTitle20"/>
        <w:rPr>
          <w:noProof w:val="0"/>
        </w:rPr>
      </w:pPr>
      <w:bookmarkStart w:id="39" w:name="_Toc453606245"/>
      <w:bookmarkStart w:id="40" w:name="_Toc453606903"/>
      <w:bookmarkStart w:id="41" w:name="_Toc453606246"/>
      <w:bookmarkStart w:id="42" w:name="_Toc453606904"/>
      <w:bookmarkStart w:id="43" w:name="_Toc453606263"/>
      <w:bookmarkStart w:id="44" w:name="_Toc453606921"/>
      <w:bookmarkStart w:id="45" w:name="_Toc481614870"/>
      <w:bookmarkEnd w:id="8"/>
      <w:bookmarkEnd w:id="31"/>
      <w:bookmarkEnd w:id="39"/>
      <w:bookmarkEnd w:id="40"/>
      <w:bookmarkEnd w:id="41"/>
      <w:bookmarkEnd w:id="42"/>
      <w:bookmarkEnd w:id="43"/>
      <w:bookmarkEnd w:id="44"/>
      <w:r w:rsidRPr="00866D96">
        <w:rPr>
          <w:noProof w:val="0"/>
        </w:rPr>
        <w:t>Priority actions</w:t>
      </w:r>
      <w:bookmarkEnd w:id="45"/>
    </w:p>
    <w:p w14:paraId="3000D1F8" w14:textId="77777777" w:rsidR="00831A6B" w:rsidRPr="00866D96" w:rsidRDefault="00831A6B" w:rsidP="00B53E51">
      <w:pPr>
        <w:pStyle w:val="BTitle3"/>
        <w:spacing w:line="276" w:lineRule="auto"/>
        <w:rPr>
          <w:noProof w:val="0"/>
          <w:lang w:val="en-GB"/>
        </w:rPr>
      </w:pPr>
      <w:bookmarkStart w:id="46" w:name="_Toc447216975"/>
      <w:bookmarkStart w:id="47" w:name="_Toc481614871"/>
      <w:r w:rsidRPr="00866D96">
        <w:rPr>
          <w:noProof w:val="0"/>
          <w:lang w:val="en-GB"/>
        </w:rPr>
        <w:t>Access to improved cooking</w:t>
      </w:r>
      <w:bookmarkEnd w:id="46"/>
      <w:bookmarkEnd w:id="47"/>
    </w:p>
    <w:p w14:paraId="2A83ED56" w14:textId="77777777" w:rsidR="00831A6B" w:rsidRPr="00866D96" w:rsidRDefault="00831A6B" w:rsidP="00B53E51">
      <w:pPr>
        <w:pStyle w:val="DBulletlevel1"/>
        <w:spacing w:line="276" w:lineRule="auto"/>
        <w:rPr>
          <w:noProof w:val="0"/>
        </w:rPr>
      </w:pPr>
      <w:r w:rsidRPr="00866D96">
        <w:rPr>
          <w:noProof w:val="0"/>
        </w:rPr>
        <w:t>The Department of Energy will work with the Department of Forestry to increase the up-stream supply of biomass.</w:t>
      </w:r>
    </w:p>
    <w:p w14:paraId="2234D8B5" w14:textId="77777777" w:rsidR="00831A6B" w:rsidRPr="00866D96" w:rsidRDefault="00831A6B" w:rsidP="00B53E51">
      <w:pPr>
        <w:pStyle w:val="DBulletlevel1"/>
        <w:spacing w:line="276" w:lineRule="auto"/>
        <w:rPr>
          <w:noProof w:val="0"/>
        </w:rPr>
      </w:pPr>
      <w:r w:rsidRPr="00866D96">
        <w:rPr>
          <w:noProof w:val="0"/>
        </w:rPr>
        <w:t xml:space="preserve">The Department of Energy, working with the Ministry of Finance, Malawi Revenue Authority and Malawi Trade and Investment Centre, will encourage and incentivize businesses to enter into supplying alternative fuels for cooking, including LPG, biogas, biomass briquettes, bamboo, pellets, and ethanol gel; and improved biomass cook stoves, solar </w:t>
      </w:r>
      <w:r w:rsidR="00E22BFB" w:rsidRPr="00866D96">
        <w:rPr>
          <w:noProof w:val="0"/>
        </w:rPr>
        <w:t xml:space="preserve">PV </w:t>
      </w:r>
      <w:r w:rsidRPr="00866D96">
        <w:rPr>
          <w:noProof w:val="0"/>
        </w:rPr>
        <w:t>cookers and biogas cookers</w:t>
      </w:r>
      <w:r w:rsidR="00E22BFB" w:rsidRPr="00866D96">
        <w:rPr>
          <w:noProof w:val="0"/>
        </w:rPr>
        <w:t>. Within this activity, the highest priority will be on improved biomass cook stoves, followed by an expanded focus on LPG.</w:t>
      </w:r>
      <w:r w:rsidRPr="00866D96">
        <w:rPr>
          <w:noProof w:val="0"/>
        </w:rPr>
        <w:t xml:space="preserve"> </w:t>
      </w:r>
      <w:r w:rsidR="00FC0DD2">
        <w:rPr>
          <w:noProof w:val="0"/>
        </w:rPr>
        <w:t xml:space="preserve"> Given the economics of biogas, the focus of biogas policy will be on institutions likes schools, not households.</w:t>
      </w:r>
    </w:p>
    <w:p w14:paraId="606A50C6" w14:textId="77777777" w:rsidR="00831A6B" w:rsidRPr="00866D96" w:rsidRDefault="00831A6B" w:rsidP="00B53E51">
      <w:pPr>
        <w:pStyle w:val="DBulletlevel1"/>
        <w:spacing w:line="276" w:lineRule="auto"/>
        <w:rPr>
          <w:noProof w:val="0"/>
        </w:rPr>
      </w:pPr>
      <w:r w:rsidRPr="00866D96">
        <w:rPr>
          <w:noProof w:val="0"/>
        </w:rPr>
        <w:t xml:space="preserve">The Department of Energy will </w:t>
      </w:r>
      <w:r w:rsidR="00E22BFB" w:rsidRPr="00866D96">
        <w:rPr>
          <w:noProof w:val="0"/>
        </w:rPr>
        <w:t>develop a strategy</w:t>
      </w:r>
      <w:r w:rsidRPr="00866D96">
        <w:rPr>
          <w:noProof w:val="0"/>
        </w:rPr>
        <w:t xml:space="preserve"> to assist poor households in the urban areas </w:t>
      </w:r>
      <w:r w:rsidR="00E22BFB" w:rsidRPr="00866D96">
        <w:rPr>
          <w:noProof w:val="0"/>
        </w:rPr>
        <w:t xml:space="preserve">to </w:t>
      </w:r>
      <w:r w:rsidRPr="00866D96">
        <w:rPr>
          <w:noProof w:val="0"/>
        </w:rPr>
        <w:t>access energy-efficient wood and charcoal stoves.</w:t>
      </w:r>
    </w:p>
    <w:p w14:paraId="69A99E88" w14:textId="77777777" w:rsidR="00F852DA" w:rsidRPr="00866D96" w:rsidRDefault="00F852DA" w:rsidP="00B53E51">
      <w:pPr>
        <w:pStyle w:val="DBulletlevel1"/>
        <w:spacing w:line="276" w:lineRule="auto"/>
        <w:rPr>
          <w:noProof w:val="0"/>
          <w:color w:val="auto"/>
        </w:rPr>
      </w:pPr>
      <w:r w:rsidRPr="00866D96">
        <w:rPr>
          <w:noProof w:val="0"/>
          <w:color w:val="auto"/>
        </w:rPr>
        <w:t>The Department of Energy will facilitate development of a sustainable value chain for biogas production for targeted communities, institutions, and industries.</w:t>
      </w:r>
    </w:p>
    <w:p w14:paraId="2B33C91C" w14:textId="77777777" w:rsidR="00F852DA" w:rsidRPr="00866D96" w:rsidRDefault="00F852DA" w:rsidP="00B53E51">
      <w:pPr>
        <w:pStyle w:val="DBulletlevel1"/>
        <w:spacing w:line="276" w:lineRule="auto"/>
        <w:rPr>
          <w:noProof w:val="0"/>
          <w:color w:val="auto"/>
        </w:rPr>
      </w:pPr>
      <w:r w:rsidRPr="00866D96">
        <w:rPr>
          <w:noProof w:val="0"/>
          <w:color w:val="auto"/>
        </w:rPr>
        <w:t>The Department of Energy will promote sustainable charcoal production at different scales of production.</w:t>
      </w:r>
    </w:p>
    <w:p w14:paraId="7CB6FAC1" w14:textId="77777777" w:rsidR="00F852DA" w:rsidRPr="00866D96" w:rsidRDefault="00F852DA" w:rsidP="00B53E51">
      <w:pPr>
        <w:pStyle w:val="DBulletlevel1"/>
        <w:spacing w:line="276" w:lineRule="auto"/>
        <w:rPr>
          <w:noProof w:val="0"/>
          <w:color w:val="auto"/>
        </w:rPr>
      </w:pPr>
      <w:r w:rsidRPr="00866D96">
        <w:rPr>
          <w:noProof w:val="0"/>
          <w:color w:val="auto"/>
        </w:rPr>
        <w:t>The Department of Energy will promote the manufacture, distribution, use and financing mechanisms for different end use energy technologies.</w:t>
      </w:r>
    </w:p>
    <w:p w14:paraId="12BEB82D" w14:textId="77777777" w:rsidR="00F852DA" w:rsidRPr="00866D96" w:rsidRDefault="00F852DA" w:rsidP="00B53E51">
      <w:pPr>
        <w:pStyle w:val="DBulletlevel1"/>
        <w:spacing w:line="276" w:lineRule="auto"/>
        <w:rPr>
          <w:noProof w:val="0"/>
        </w:rPr>
      </w:pPr>
      <w:r w:rsidRPr="00866D96">
        <w:rPr>
          <w:noProof w:val="0"/>
          <w:color w:val="auto"/>
        </w:rPr>
        <w:t>The Department of Energy in collaboration with cooperating par</w:t>
      </w:r>
      <w:r w:rsidR="000D2D33">
        <w:rPr>
          <w:noProof w:val="0"/>
          <w:color w:val="auto"/>
        </w:rPr>
        <w:t>t</w:t>
      </w:r>
      <w:r w:rsidRPr="00866D96">
        <w:rPr>
          <w:noProof w:val="0"/>
          <w:color w:val="auto"/>
        </w:rPr>
        <w:t>ners will conduct research into alternative production of charcoal</w:t>
      </w:r>
    </w:p>
    <w:p w14:paraId="39AC45C7" w14:textId="77777777" w:rsidR="00831A6B" w:rsidRPr="00866D96" w:rsidRDefault="00831A6B" w:rsidP="00B53E51">
      <w:pPr>
        <w:pStyle w:val="BTitle3"/>
        <w:spacing w:line="276" w:lineRule="auto"/>
        <w:rPr>
          <w:noProof w:val="0"/>
          <w:lang w:val="en-GB"/>
        </w:rPr>
      </w:pPr>
      <w:bookmarkStart w:id="48" w:name="_Toc447216976"/>
      <w:bookmarkStart w:id="49" w:name="_Toc481614872"/>
      <w:r w:rsidRPr="00866D96">
        <w:rPr>
          <w:noProof w:val="0"/>
          <w:lang w:val="en-GB"/>
        </w:rPr>
        <w:t>Access to electricity</w:t>
      </w:r>
      <w:bookmarkEnd w:id="48"/>
      <w:bookmarkEnd w:id="49"/>
    </w:p>
    <w:p w14:paraId="20FDBC4F" w14:textId="77777777" w:rsidR="00D831A4" w:rsidRPr="00866D96" w:rsidRDefault="00381442" w:rsidP="00B53E51">
      <w:pPr>
        <w:pStyle w:val="DBulletlevel1"/>
        <w:spacing w:line="276" w:lineRule="auto"/>
        <w:rPr>
          <w:noProof w:val="0"/>
        </w:rPr>
      </w:pPr>
      <w:r w:rsidRPr="00866D96">
        <w:rPr>
          <w:noProof w:val="0"/>
        </w:rPr>
        <w:t xml:space="preserve">Under Phase 8 of </w:t>
      </w:r>
      <w:r w:rsidR="00B22AC9" w:rsidRPr="00866D96">
        <w:rPr>
          <w:noProof w:val="0"/>
        </w:rPr>
        <w:t>MAREP</w:t>
      </w:r>
      <w:r w:rsidRPr="00866D96">
        <w:rPr>
          <w:noProof w:val="0"/>
        </w:rPr>
        <w:t>’s rural electrification plan, the agency</w:t>
      </w:r>
      <w:r w:rsidR="00B22AC9" w:rsidRPr="00866D96">
        <w:rPr>
          <w:noProof w:val="0"/>
        </w:rPr>
        <w:t xml:space="preserve"> will continue with electrification of more than two rural trading centres per District until 2030</w:t>
      </w:r>
      <w:r w:rsidRPr="00866D96">
        <w:rPr>
          <w:noProof w:val="0"/>
        </w:rPr>
        <w:t xml:space="preserve">. About 80 training </w:t>
      </w:r>
      <w:r w:rsidR="000D2D33" w:rsidRPr="006122EE">
        <w:rPr>
          <w:noProof w:val="0"/>
        </w:rPr>
        <w:t>centres</w:t>
      </w:r>
      <w:r w:rsidRPr="00866D96">
        <w:rPr>
          <w:noProof w:val="0"/>
        </w:rPr>
        <w:t xml:space="preserve"> are planned to be connected between 2016 and 2017</w:t>
      </w:r>
      <w:r w:rsidR="008E69B8" w:rsidRPr="00866D96">
        <w:rPr>
          <w:rStyle w:val="FootnoteReference"/>
          <w:noProof w:val="0"/>
        </w:rPr>
        <w:t xml:space="preserve"> </w:t>
      </w:r>
      <w:r w:rsidR="008E69B8" w:rsidRPr="00866D96">
        <w:rPr>
          <w:rStyle w:val="FootnoteReference"/>
          <w:noProof w:val="0"/>
        </w:rPr>
        <w:footnoteReference w:id="6"/>
      </w:r>
      <w:r w:rsidRPr="00866D96">
        <w:rPr>
          <w:noProof w:val="0"/>
        </w:rPr>
        <w:t xml:space="preserve">. </w:t>
      </w:r>
    </w:p>
    <w:p w14:paraId="412DF472" w14:textId="77777777" w:rsidR="00831A6B" w:rsidRPr="00866D96" w:rsidRDefault="00831A6B" w:rsidP="00B53E51">
      <w:pPr>
        <w:pStyle w:val="DBulletlevel1"/>
        <w:spacing w:line="276" w:lineRule="auto"/>
        <w:rPr>
          <w:noProof w:val="0"/>
        </w:rPr>
      </w:pPr>
      <w:r w:rsidRPr="00866D96">
        <w:rPr>
          <w:noProof w:val="0"/>
        </w:rPr>
        <w:t>MAREP will electrify all public institutions 5Km away from the MV line through off-grid options.</w:t>
      </w:r>
    </w:p>
    <w:p w14:paraId="1B0799C6" w14:textId="77777777" w:rsidR="00831A6B" w:rsidRPr="00866D96" w:rsidRDefault="00831A6B" w:rsidP="00B53E51">
      <w:pPr>
        <w:pStyle w:val="DBulletlevel1"/>
        <w:spacing w:line="276" w:lineRule="auto"/>
        <w:rPr>
          <w:noProof w:val="0"/>
        </w:rPr>
      </w:pPr>
      <w:r w:rsidRPr="00866D96">
        <w:rPr>
          <w:noProof w:val="0"/>
        </w:rPr>
        <w:t>MAREP will continue the practice of providing prepaid meters to all new connections.</w:t>
      </w:r>
    </w:p>
    <w:p w14:paraId="0DA30B0A" w14:textId="77777777" w:rsidR="00831A6B" w:rsidRPr="00866D96" w:rsidRDefault="00934E54" w:rsidP="00B53E51">
      <w:pPr>
        <w:pStyle w:val="DBulletlevel1"/>
        <w:spacing w:line="276" w:lineRule="auto"/>
        <w:rPr>
          <w:noProof w:val="0"/>
        </w:rPr>
      </w:pPr>
      <w:r>
        <w:rPr>
          <w:noProof w:val="0"/>
        </w:rPr>
        <w:t>MAREP will revive support for m</w:t>
      </w:r>
      <w:r w:rsidR="00831A6B" w:rsidRPr="00866D96">
        <w:rPr>
          <w:noProof w:val="0"/>
        </w:rPr>
        <w:t>ini-grids.</w:t>
      </w:r>
    </w:p>
    <w:p w14:paraId="42EB2466" w14:textId="77777777" w:rsidR="00831A6B" w:rsidRPr="00866D96" w:rsidRDefault="002E6EBF" w:rsidP="00B53E51">
      <w:pPr>
        <w:pStyle w:val="DBulletlevel1"/>
        <w:spacing w:line="276" w:lineRule="auto"/>
        <w:rPr>
          <w:noProof w:val="0"/>
        </w:rPr>
      </w:pPr>
      <w:r w:rsidRPr="00866D96">
        <w:rPr>
          <w:noProof w:val="0"/>
        </w:rPr>
        <w:t>MBS</w:t>
      </w:r>
      <w:r w:rsidR="00831A6B" w:rsidRPr="00866D96">
        <w:rPr>
          <w:noProof w:val="0"/>
        </w:rPr>
        <w:t xml:space="preserve"> will lead an effort to enforce standards on imported and domestically manufactured RE products used to provide electricity in unserved areas. </w:t>
      </w:r>
      <w:r w:rsidRPr="00866D96">
        <w:rPr>
          <w:noProof w:val="0"/>
        </w:rPr>
        <w:t>The Department of Energy w</w:t>
      </w:r>
      <w:r w:rsidR="00831A6B" w:rsidRPr="00866D96">
        <w:rPr>
          <w:noProof w:val="0"/>
        </w:rPr>
        <w:t xml:space="preserve">ill </w:t>
      </w:r>
      <w:r w:rsidRPr="00866D96">
        <w:rPr>
          <w:noProof w:val="0"/>
        </w:rPr>
        <w:t xml:space="preserve">support MBS and </w:t>
      </w:r>
      <w:r w:rsidR="00831A6B" w:rsidRPr="00866D96">
        <w:rPr>
          <w:noProof w:val="0"/>
        </w:rPr>
        <w:t>work to increase MBS</w:t>
      </w:r>
      <w:r w:rsidRPr="00866D96">
        <w:rPr>
          <w:noProof w:val="0"/>
        </w:rPr>
        <w:t>’s capability</w:t>
      </w:r>
      <w:r w:rsidR="00831A6B" w:rsidRPr="00866D96">
        <w:rPr>
          <w:noProof w:val="0"/>
        </w:rPr>
        <w:t xml:space="preserve"> to carry out this function.</w:t>
      </w:r>
    </w:p>
    <w:p w14:paraId="51E02582" w14:textId="77777777" w:rsidR="00831A6B" w:rsidRPr="00866D96" w:rsidRDefault="00831A6B" w:rsidP="00B53E51">
      <w:pPr>
        <w:pStyle w:val="DBulletlevel1"/>
        <w:spacing w:line="276" w:lineRule="auto"/>
        <w:rPr>
          <w:noProof w:val="0"/>
        </w:rPr>
      </w:pPr>
      <w:r w:rsidRPr="00866D96">
        <w:rPr>
          <w:noProof w:val="0"/>
        </w:rPr>
        <w:t>The Department of Energy will resuscitate the Guarantee Fund to help finance solar energy installations</w:t>
      </w:r>
      <w:r w:rsidR="00A2120E" w:rsidRPr="00866D96">
        <w:rPr>
          <w:noProof w:val="0"/>
        </w:rPr>
        <w:t xml:space="preserve"> and other off-grid RE solutions</w:t>
      </w:r>
      <w:r w:rsidRPr="00866D96">
        <w:rPr>
          <w:noProof w:val="0"/>
        </w:rPr>
        <w:t>.</w:t>
      </w:r>
    </w:p>
    <w:p w14:paraId="1F0BDEDF" w14:textId="77777777" w:rsidR="00831A6B" w:rsidRPr="00866D96" w:rsidRDefault="00831A6B" w:rsidP="00B53E51">
      <w:pPr>
        <w:pStyle w:val="DBulletlevel1"/>
        <w:spacing w:line="276" w:lineRule="auto"/>
        <w:rPr>
          <w:noProof w:val="0"/>
        </w:rPr>
      </w:pPr>
      <w:r w:rsidRPr="00866D96">
        <w:rPr>
          <w:noProof w:val="0"/>
        </w:rPr>
        <w:t>The Government will encourage private parties to operate mini-grids and will provide a subsidy for the operation and maintenance of mini-grids and a low price for licensing the mini-grids.</w:t>
      </w:r>
    </w:p>
    <w:p w14:paraId="2571C10B" w14:textId="77777777" w:rsidR="00B22AC9" w:rsidRPr="00866D96" w:rsidRDefault="00B22AC9" w:rsidP="00B53E51">
      <w:pPr>
        <w:pStyle w:val="DBulletlevel1"/>
        <w:spacing w:line="276" w:lineRule="auto"/>
        <w:rPr>
          <w:noProof w:val="0"/>
        </w:rPr>
      </w:pPr>
      <w:r w:rsidRPr="00866D96">
        <w:rPr>
          <w:noProof w:val="0"/>
        </w:rPr>
        <w:t>Ministry of Agriculture, Irrigation and Water Development will continue to irrigate schemes far away from the grid with solar PV.</w:t>
      </w:r>
    </w:p>
    <w:p w14:paraId="18078709" w14:textId="77777777" w:rsidR="00B22AC9" w:rsidRPr="00866D96" w:rsidRDefault="00B22AC9" w:rsidP="00B53E51">
      <w:pPr>
        <w:pStyle w:val="DBulletlevel1"/>
        <w:spacing w:line="276" w:lineRule="auto"/>
        <w:rPr>
          <w:noProof w:val="0"/>
        </w:rPr>
      </w:pPr>
      <w:r w:rsidRPr="00866D96">
        <w:rPr>
          <w:noProof w:val="0"/>
        </w:rPr>
        <w:t xml:space="preserve">Ministry of Health will ensure that health centres far </w:t>
      </w:r>
      <w:r w:rsidR="000D2D33" w:rsidRPr="006122EE">
        <w:rPr>
          <w:noProof w:val="0"/>
        </w:rPr>
        <w:t>away</w:t>
      </w:r>
      <w:r w:rsidRPr="00866D96">
        <w:rPr>
          <w:noProof w:val="0"/>
        </w:rPr>
        <w:t xml:space="preserve"> from the grid are electrified by solar PV.</w:t>
      </w:r>
    </w:p>
    <w:p w14:paraId="73D4150C" w14:textId="77777777" w:rsidR="00831A6B" w:rsidRPr="00866D96" w:rsidRDefault="00831A6B" w:rsidP="00B53E51">
      <w:pPr>
        <w:pStyle w:val="BTitle3"/>
        <w:spacing w:line="276" w:lineRule="auto"/>
        <w:rPr>
          <w:noProof w:val="0"/>
          <w:lang w:val="en-GB"/>
        </w:rPr>
      </w:pPr>
      <w:bookmarkStart w:id="50" w:name="_Toc447216977"/>
      <w:bookmarkStart w:id="51" w:name="_Toc481614873"/>
      <w:r w:rsidRPr="00866D96">
        <w:rPr>
          <w:noProof w:val="0"/>
          <w:lang w:val="en-GB"/>
        </w:rPr>
        <w:t>Renewable energy</w:t>
      </w:r>
      <w:bookmarkEnd w:id="50"/>
      <w:bookmarkEnd w:id="51"/>
    </w:p>
    <w:p w14:paraId="2A3850B7" w14:textId="77777777" w:rsidR="00DB4718" w:rsidRPr="00934E54" w:rsidRDefault="00DB4718" w:rsidP="00934E54">
      <w:pPr>
        <w:pStyle w:val="CSubtitle1"/>
        <w:rPr>
          <w:rStyle w:val="BodycopyChar"/>
          <w:color w:val="92D400" w:themeColor="accent2"/>
          <w:lang w:eastAsia="fr-FR"/>
        </w:rPr>
      </w:pPr>
      <w:bookmarkStart w:id="52" w:name="_Toc481614874"/>
      <w:bookmarkStart w:id="53" w:name="_Toc453606932"/>
      <w:r w:rsidRPr="00934E54">
        <w:rPr>
          <w:rStyle w:val="BodycopyChar"/>
          <w:color w:val="92D400" w:themeColor="accent2"/>
          <w:lang w:eastAsia="fr-FR"/>
        </w:rPr>
        <w:t>Comprehensive Renewable Energy Policy</w:t>
      </w:r>
      <w:bookmarkEnd w:id="52"/>
    </w:p>
    <w:p w14:paraId="4D7D50ED" w14:textId="77777777" w:rsidR="00831A6B" w:rsidRPr="006122EE" w:rsidRDefault="00831A6B" w:rsidP="00B53E51">
      <w:pPr>
        <w:spacing w:line="276" w:lineRule="auto"/>
      </w:pPr>
      <w:r w:rsidRPr="00866D96">
        <w:rPr>
          <w:rStyle w:val="BodycopyChar"/>
          <w:lang w:val="en-GB"/>
        </w:rPr>
        <w:t xml:space="preserve">The </w:t>
      </w:r>
      <w:r w:rsidR="00870666" w:rsidRPr="00866D96">
        <w:rPr>
          <w:rStyle w:val="BodycopyChar"/>
          <w:lang w:val="en-GB"/>
        </w:rPr>
        <w:t xml:space="preserve">highest </w:t>
      </w:r>
      <w:r w:rsidR="00C47921" w:rsidRPr="00866D96">
        <w:rPr>
          <w:rStyle w:val="BodycopyChar"/>
          <w:lang w:val="en-GB"/>
        </w:rPr>
        <w:t xml:space="preserve">priority </w:t>
      </w:r>
      <w:r w:rsidR="00870666" w:rsidRPr="00866D96">
        <w:rPr>
          <w:rStyle w:val="BodycopyChar"/>
          <w:lang w:val="en-GB"/>
        </w:rPr>
        <w:t xml:space="preserve">renewable energy </w:t>
      </w:r>
      <w:r w:rsidR="00C47921" w:rsidRPr="00866D96">
        <w:rPr>
          <w:rStyle w:val="BodycopyChar"/>
          <w:lang w:val="en-GB"/>
        </w:rPr>
        <w:t xml:space="preserve">priority </w:t>
      </w:r>
      <w:r w:rsidR="00870666" w:rsidRPr="00866D96">
        <w:rPr>
          <w:rStyle w:val="BodycopyChar"/>
          <w:lang w:val="en-GB"/>
        </w:rPr>
        <w:t xml:space="preserve">for the </w:t>
      </w:r>
      <w:r w:rsidRPr="00866D96">
        <w:rPr>
          <w:rStyle w:val="BodycopyChar"/>
          <w:lang w:val="en-GB"/>
        </w:rPr>
        <w:t xml:space="preserve">Government  </w:t>
      </w:r>
      <w:r w:rsidR="00870666" w:rsidRPr="00866D96">
        <w:rPr>
          <w:rStyle w:val="BodycopyChar"/>
          <w:lang w:val="en-GB"/>
        </w:rPr>
        <w:t xml:space="preserve">is to </w:t>
      </w:r>
      <w:r w:rsidRPr="00866D96">
        <w:rPr>
          <w:rStyle w:val="BodycopyChar"/>
          <w:lang w:val="en-GB"/>
        </w:rPr>
        <w:t xml:space="preserve">adopt a comprehensive renewable energy policy </w:t>
      </w:r>
      <w:r w:rsidR="00401EF8" w:rsidRPr="00866D96">
        <w:rPr>
          <w:rStyle w:val="BodycopyChar"/>
          <w:lang w:val="en-GB"/>
        </w:rPr>
        <w:t>and Integrated Resource Plan</w:t>
      </w:r>
      <w:r w:rsidR="000C3D74" w:rsidRPr="006122EE">
        <w:rPr>
          <w:rStyle w:val="BodycopyChar"/>
          <w:lang w:val="en-GB"/>
        </w:rPr>
        <w:t xml:space="preserve">. </w:t>
      </w:r>
      <w:r w:rsidR="00C47921" w:rsidRPr="00866D96">
        <w:rPr>
          <w:rStyle w:val="BodycopyChar"/>
          <w:lang w:val="en-GB"/>
        </w:rPr>
        <w:t xml:space="preserve">The policy </w:t>
      </w:r>
      <w:r w:rsidRPr="00866D96">
        <w:rPr>
          <w:rStyle w:val="BodycopyChar"/>
          <w:lang w:val="en-GB"/>
        </w:rPr>
        <w:t xml:space="preserve"> will include</w:t>
      </w:r>
      <w:r w:rsidRPr="006122EE">
        <w:t>:</w:t>
      </w:r>
      <w:bookmarkEnd w:id="53"/>
    </w:p>
    <w:p w14:paraId="5B9662C5" w14:textId="77777777" w:rsidR="00831A6B" w:rsidRPr="00866D96" w:rsidRDefault="00831A6B" w:rsidP="00B53E51">
      <w:pPr>
        <w:pStyle w:val="DBulletlevel1"/>
        <w:spacing w:line="276" w:lineRule="auto"/>
        <w:rPr>
          <w:noProof w:val="0"/>
        </w:rPr>
      </w:pPr>
      <w:r w:rsidRPr="00866D96">
        <w:rPr>
          <w:noProof w:val="0"/>
        </w:rPr>
        <w:t xml:space="preserve">Formal adoption of </w:t>
      </w:r>
      <w:r w:rsidR="00401EF8" w:rsidRPr="00866D96">
        <w:rPr>
          <w:noProof w:val="0"/>
        </w:rPr>
        <w:t xml:space="preserve">IPP </w:t>
      </w:r>
      <w:r w:rsidRPr="00866D96">
        <w:rPr>
          <w:noProof w:val="0"/>
        </w:rPr>
        <w:t>rules for</w:t>
      </w:r>
      <w:r w:rsidR="000B47E2" w:rsidRPr="00866D96">
        <w:rPr>
          <w:noProof w:val="0"/>
        </w:rPr>
        <w:t xml:space="preserve"> approval of IPPs and</w:t>
      </w:r>
      <w:r w:rsidRPr="00866D96">
        <w:rPr>
          <w:noProof w:val="0"/>
        </w:rPr>
        <w:t xml:space="preserve"> for the acquisition of RE electricity, such as REFit, RE Obligation, or RE auction</w:t>
      </w:r>
      <w:r w:rsidR="00180601" w:rsidRPr="00866D96">
        <w:rPr>
          <w:noProof w:val="0"/>
        </w:rPr>
        <w:t>.</w:t>
      </w:r>
    </w:p>
    <w:p w14:paraId="33581521" w14:textId="77777777" w:rsidR="00831A6B" w:rsidRPr="00866D96" w:rsidRDefault="00831A6B" w:rsidP="00B53E51">
      <w:pPr>
        <w:pStyle w:val="DBulletlevel1"/>
        <w:spacing w:line="276" w:lineRule="auto"/>
        <w:rPr>
          <w:noProof w:val="0"/>
        </w:rPr>
      </w:pPr>
      <w:r w:rsidRPr="00866D96">
        <w:rPr>
          <w:noProof w:val="0"/>
        </w:rPr>
        <w:t>Adoption of net metering for smaller, on-site RE projects</w:t>
      </w:r>
      <w:r w:rsidR="00180601" w:rsidRPr="00866D96">
        <w:rPr>
          <w:noProof w:val="0"/>
        </w:rPr>
        <w:t>.</w:t>
      </w:r>
    </w:p>
    <w:p w14:paraId="552F6C9A" w14:textId="77777777" w:rsidR="00831A6B" w:rsidRPr="00866D96" w:rsidRDefault="00831A6B" w:rsidP="00B53E51">
      <w:pPr>
        <w:pStyle w:val="DBulletlevel1"/>
        <w:spacing w:line="276" w:lineRule="auto"/>
        <w:rPr>
          <w:noProof w:val="0"/>
          <w:lang w:eastAsia="en-US"/>
        </w:rPr>
      </w:pPr>
      <w:r w:rsidRPr="00866D96">
        <w:rPr>
          <w:noProof w:val="0"/>
        </w:rPr>
        <w:t>Providing financial incentives such as tax incentives and production credits to RE developers.</w:t>
      </w:r>
    </w:p>
    <w:p w14:paraId="17663314" w14:textId="77777777" w:rsidR="00831A6B" w:rsidRPr="00866D96" w:rsidRDefault="00831A6B" w:rsidP="00B53E51">
      <w:pPr>
        <w:pStyle w:val="DBulletlevel1"/>
        <w:spacing w:line="276" w:lineRule="auto"/>
        <w:rPr>
          <w:noProof w:val="0"/>
          <w:lang w:eastAsia="en-US"/>
        </w:rPr>
      </w:pPr>
      <w:r w:rsidRPr="00866D96">
        <w:rPr>
          <w:noProof w:val="0"/>
        </w:rPr>
        <w:t>Establishing rules for on-site supply of RE electricity to large users by third party developers.</w:t>
      </w:r>
    </w:p>
    <w:p w14:paraId="46C245A8" w14:textId="77777777" w:rsidR="00831A6B" w:rsidRPr="00866D96" w:rsidRDefault="00831A6B" w:rsidP="00B53E51">
      <w:pPr>
        <w:pStyle w:val="DBulletlevel1"/>
        <w:spacing w:line="276" w:lineRule="auto"/>
        <w:rPr>
          <w:noProof w:val="0"/>
          <w:lang w:eastAsia="en-US"/>
        </w:rPr>
      </w:pPr>
      <w:r w:rsidRPr="00866D96">
        <w:rPr>
          <w:noProof w:val="0"/>
        </w:rPr>
        <w:t xml:space="preserve">Adopting performance standards for RE equipment, and training and licensing of RE installers. </w:t>
      </w:r>
    </w:p>
    <w:p w14:paraId="25F70B22" w14:textId="77777777" w:rsidR="00831A6B" w:rsidRPr="00866D96" w:rsidRDefault="00831A6B" w:rsidP="00B53E51">
      <w:pPr>
        <w:pStyle w:val="DBulletlevel1"/>
        <w:spacing w:line="276" w:lineRule="auto"/>
        <w:rPr>
          <w:noProof w:val="0"/>
        </w:rPr>
      </w:pPr>
      <w:r w:rsidRPr="00866D96">
        <w:rPr>
          <w:noProof w:val="0"/>
        </w:rPr>
        <w:t>Targets and timetables for the acquisition of RE electricity</w:t>
      </w:r>
      <w:r w:rsidR="00180601" w:rsidRPr="00866D96">
        <w:rPr>
          <w:noProof w:val="0"/>
        </w:rPr>
        <w:t xml:space="preserve">.  </w:t>
      </w:r>
    </w:p>
    <w:p w14:paraId="1172EDAC" w14:textId="77777777" w:rsidR="00831A6B" w:rsidRPr="00866D96" w:rsidRDefault="00831A6B" w:rsidP="00B53E51">
      <w:pPr>
        <w:pStyle w:val="DBulletlevel1"/>
        <w:spacing w:line="276" w:lineRule="auto"/>
        <w:rPr>
          <w:noProof w:val="0"/>
        </w:rPr>
      </w:pPr>
      <w:r w:rsidRPr="00866D96">
        <w:rPr>
          <w:noProof w:val="0"/>
        </w:rPr>
        <w:t>Streamlining the project planning process and decreas</w:t>
      </w:r>
      <w:r w:rsidR="0071416B" w:rsidRPr="00866D96">
        <w:rPr>
          <w:noProof w:val="0"/>
        </w:rPr>
        <w:t>ing</w:t>
      </w:r>
      <w:r w:rsidRPr="00866D96">
        <w:rPr>
          <w:noProof w:val="0"/>
        </w:rPr>
        <w:t xml:space="preserve"> project development and licensing costs</w:t>
      </w:r>
      <w:r w:rsidR="00180601" w:rsidRPr="00866D96">
        <w:rPr>
          <w:noProof w:val="0"/>
        </w:rPr>
        <w:t>.</w:t>
      </w:r>
    </w:p>
    <w:p w14:paraId="01149C8E" w14:textId="77777777" w:rsidR="00831A6B" w:rsidRPr="00866D96" w:rsidRDefault="00831A6B" w:rsidP="00B53E51">
      <w:pPr>
        <w:pStyle w:val="DBulletlevel1"/>
        <w:spacing w:line="276" w:lineRule="auto"/>
        <w:rPr>
          <w:noProof w:val="0"/>
        </w:rPr>
      </w:pPr>
      <w:r w:rsidRPr="00866D96">
        <w:rPr>
          <w:noProof w:val="0"/>
        </w:rPr>
        <w:t>Assigning roles to ESCOM, MERA, the Department of Energy, other government entities, and other players</w:t>
      </w:r>
      <w:r w:rsidR="00180601" w:rsidRPr="00866D96">
        <w:rPr>
          <w:noProof w:val="0"/>
        </w:rPr>
        <w:t>.</w:t>
      </w:r>
      <w:r w:rsidRPr="00866D96">
        <w:rPr>
          <w:noProof w:val="0"/>
        </w:rPr>
        <w:t xml:space="preserve"> </w:t>
      </w:r>
    </w:p>
    <w:p w14:paraId="0EC6A87D" w14:textId="77777777" w:rsidR="00DB4718" w:rsidRPr="00866D96" w:rsidRDefault="00831A6B" w:rsidP="00B53E51">
      <w:pPr>
        <w:pStyle w:val="DBulletlevel1"/>
        <w:spacing w:line="276" w:lineRule="auto"/>
        <w:rPr>
          <w:noProof w:val="0"/>
        </w:rPr>
      </w:pPr>
      <w:r w:rsidRPr="00866D96">
        <w:rPr>
          <w:noProof w:val="0"/>
        </w:rPr>
        <w:t>Ensuring adequate consultation with stakeholders and the public in the project development process</w:t>
      </w:r>
      <w:r w:rsidR="00180601" w:rsidRPr="00866D96">
        <w:rPr>
          <w:noProof w:val="0"/>
        </w:rPr>
        <w:t>.</w:t>
      </w:r>
      <w:bookmarkStart w:id="54" w:name="_Toc453606933"/>
    </w:p>
    <w:p w14:paraId="763A8006" w14:textId="77777777" w:rsidR="00DB4718" w:rsidRPr="00866D96" w:rsidRDefault="00DB4718" w:rsidP="00B53E51">
      <w:pPr>
        <w:pStyle w:val="CSubtitle1"/>
        <w:spacing w:line="276" w:lineRule="auto"/>
        <w:rPr>
          <w:noProof w:val="0"/>
          <w:lang w:val="en-GB"/>
        </w:rPr>
      </w:pPr>
      <w:bookmarkStart w:id="55" w:name="_Toc481614875"/>
      <w:r w:rsidRPr="00866D96">
        <w:rPr>
          <w:noProof w:val="0"/>
          <w:lang w:val="en-GB"/>
        </w:rPr>
        <w:t>Policy on Independent Power Producers (IPPs)</w:t>
      </w:r>
      <w:bookmarkEnd w:id="55"/>
      <w:r w:rsidRPr="00866D96">
        <w:rPr>
          <w:noProof w:val="0"/>
          <w:lang w:val="en-GB"/>
        </w:rPr>
        <w:t xml:space="preserve"> </w:t>
      </w:r>
    </w:p>
    <w:p w14:paraId="3D4E6FDC" w14:textId="77777777" w:rsidR="002676C7" w:rsidRPr="006122EE" w:rsidRDefault="00C47921" w:rsidP="00B53E51">
      <w:pPr>
        <w:pStyle w:val="Bodycopy"/>
        <w:spacing w:line="276" w:lineRule="auto"/>
      </w:pPr>
      <w:r w:rsidRPr="006122EE">
        <w:t>Based on work already conducted on a draft IPP framework, the</w:t>
      </w:r>
      <w:r w:rsidR="002676C7" w:rsidRPr="006122EE">
        <w:t xml:space="preserve"> Government will adopt an effective IPP policy</w:t>
      </w:r>
      <w:r w:rsidRPr="006122EE">
        <w:t>, including support for the feed-in tariff.</w:t>
      </w:r>
    </w:p>
    <w:p w14:paraId="05262EF4" w14:textId="77777777" w:rsidR="002676C7" w:rsidRPr="00866D96" w:rsidRDefault="002676C7" w:rsidP="00B53E51">
      <w:pPr>
        <w:pStyle w:val="DBulletlevel1"/>
        <w:spacing w:line="276" w:lineRule="auto"/>
        <w:rPr>
          <w:noProof w:val="0"/>
        </w:rPr>
      </w:pPr>
      <w:r w:rsidRPr="00866D96">
        <w:rPr>
          <w:noProof w:val="0"/>
        </w:rPr>
        <w:t>The feed-in tariff provides a guide for IPPs to participate in supplying power, and ESCOM has had discussions with RE IPPs. Some PPAs have been signed, but no projects have been built. A specific IPP policy is needed to set the terms for IPP participation in the power market. The policy, which may overlap with the RE policy outlined above, will:</w:t>
      </w:r>
    </w:p>
    <w:p w14:paraId="24E40CED" w14:textId="77777777" w:rsidR="002676C7" w:rsidRPr="00866D96" w:rsidRDefault="002676C7" w:rsidP="00B53E51">
      <w:pPr>
        <w:pStyle w:val="DBulletlevel1"/>
        <w:numPr>
          <w:ilvl w:val="2"/>
          <w:numId w:val="29"/>
        </w:numPr>
        <w:spacing w:line="276" w:lineRule="auto"/>
        <w:rPr>
          <w:noProof w:val="0"/>
        </w:rPr>
      </w:pPr>
      <w:r w:rsidRPr="00866D96">
        <w:rPr>
          <w:noProof w:val="0"/>
        </w:rPr>
        <w:t>State that at least some predetermined level of new RE supply will be provided by IPPs.</w:t>
      </w:r>
    </w:p>
    <w:p w14:paraId="5BD0A21C" w14:textId="77777777" w:rsidR="002676C7" w:rsidRPr="00866D96" w:rsidRDefault="002676C7" w:rsidP="00B53E51">
      <w:pPr>
        <w:pStyle w:val="DBulletlevel1"/>
        <w:numPr>
          <w:ilvl w:val="2"/>
          <w:numId w:val="29"/>
        </w:numPr>
        <w:spacing w:line="276" w:lineRule="auto"/>
        <w:rPr>
          <w:noProof w:val="0"/>
        </w:rPr>
      </w:pPr>
      <w:r w:rsidRPr="00866D96">
        <w:rPr>
          <w:noProof w:val="0"/>
        </w:rPr>
        <w:t>Allow IPPs to sell directly to large users – with prepayment meter (PPM) funds going straight to the IPP.</w:t>
      </w:r>
    </w:p>
    <w:p w14:paraId="6DE7E6FC" w14:textId="77777777" w:rsidR="002676C7" w:rsidRPr="00866D96" w:rsidRDefault="002676C7" w:rsidP="00B53E51">
      <w:pPr>
        <w:pStyle w:val="DBulletlevel1"/>
        <w:numPr>
          <w:ilvl w:val="2"/>
          <w:numId w:val="29"/>
        </w:numPr>
        <w:spacing w:line="276" w:lineRule="auto"/>
        <w:rPr>
          <w:noProof w:val="0"/>
        </w:rPr>
      </w:pPr>
      <w:r w:rsidRPr="00866D96">
        <w:rPr>
          <w:noProof w:val="0"/>
        </w:rPr>
        <w:t>Establish clear land ownership and leasing rules for IPPs.</w:t>
      </w:r>
    </w:p>
    <w:p w14:paraId="74953114" w14:textId="77777777" w:rsidR="002676C7" w:rsidRPr="00866D96" w:rsidRDefault="002676C7" w:rsidP="00B53E51">
      <w:pPr>
        <w:pStyle w:val="DBulletlevel1"/>
        <w:numPr>
          <w:ilvl w:val="2"/>
          <w:numId w:val="29"/>
        </w:numPr>
        <w:spacing w:line="276" w:lineRule="auto"/>
        <w:rPr>
          <w:noProof w:val="0"/>
        </w:rPr>
      </w:pPr>
      <w:r w:rsidRPr="00866D96">
        <w:rPr>
          <w:noProof w:val="0"/>
        </w:rPr>
        <w:t>Streamline the licensing process and minimize licensing fees and requirements.</w:t>
      </w:r>
    </w:p>
    <w:p w14:paraId="1A88BCE3" w14:textId="77777777" w:rsidR="002676C7" w:rsidRPr="00866D96" w:rsidRDefault="00DB4718" w:rsidP="00B53E51">
      <w:pPr>
        <w:pStyle w:val="CSubtitle1"/>
        <w:spacing w:line="276" w:lineRule="auto"/>
        <w:rPr>
          <w:noProof w:val="0"/>
          <w:lang w:val="en-GB"/>
        </w:rPr>
      </w:pPr>
      <w:bookmarkStart w:id="56" w:name="_Toc481614876"/>
      <w:r w:rsidRPr="00866D96">
        <w:rPr>
          <w:noProof w:val="0"/>
          <w:lang w:val="en-GB"/>
        </w:rPr>
        <w:t>Address Financial Barriers</w:t>
      </w:r>
      <w:bookmarkEnd w:id="56"/>
    </w:p>
    <w:p w14:paraId="0AC3043E" w14:textId="77777777" w:rsidR="00831A6B" w:rsidRPr="00866D96" w:rsidRDefault="00831A6B" w:rsidP="00B53E51">
      <w:pPr>
        <w:spacing w:line="276" w:lineRule="auto"/>
      </w:pPr>
      <w:bookmarkStart w:id="57" w:name="_Toc481614877"/>
      <w:r w:rsidRPr="00866D96">
        <w:rPr>
          <w:rStyle w:val="CSubtitle1Char"/>
          <w:b w:val="0"/>
          <w:noProof w:val="0"/>
          <w:color w:val="000000" w:themeColor="text1"/>
          <w:lang w:val="en-GB"/>
        </w:rPr>
        <w:t>The Government will take steps to address the financial barriers that currently exist for RE projects</w:t>
      </w:r>
      <w:r w:rsidR="00A264FB" w:rsidRPr="00866D96">
        <w:rPr>
          <w:rStyle w:val="CSubtitle1Char"/>
          <w:b w:val="0"/>
          <w:noProof w:val="0"/>
          <w:color w:val="000000" w:themeColor="text1"/>
          <w:lang w:val="en-GB"/>
        </w:rPr>
        <w:t>, thereby de-risking the investments</w:t>
      </w:r>
      <w:bookmarkEnd w:id="57"/>
      <w:r w:rsidRPr="006122EE">
        <w:t xml:space="preserve">. Among the actions it </w:t>
      </w:r>
      <w:r w:rsidR="00755736" w:rsidRPr="006122EE">
        <w:t>will consider taking</w:t>
      </w:r>
      <w:r w:rsidRPr="006122EE">
        <w:t xml:space="preserve"> are:</w:t>
      </w:r>
      <w:bookmarkEnd w:id="54"/>
      <w:r w:rsidRPr="006122EE">
        <w:t xml:space="preserve"> </w:t>
      </w:r>
    </w:p>
    <w:p w14:paraId="768685B4" w14:textId="77777777" w:rsidR="00831A6B" w:rsidRPr="00866D96" w:rsidRDefault="00831A6B" w:rsidP="00B53E51">
      <w:pPr>
        <w:pStyle w:val="DBulletlevel1"/>
        <w:spacing w:line="276" w:lineRule="auto"/>
        <w:rPr>
          <w:noProof w:val="0"/>
        </w:rPr>
      </w:pPr>
      <w:r w:rsidRPr="00866D96">
        <w:rPr>
          <w:noProof w:val="0"/>
        </w:rPr>
        <w:t>Helping identify funding for pre-feasibility studies for RE projects, particularly in the areas of waste-to-energy systems and cogeneration</w:t>
      </w:r>
      <w:r w:rsidR="00180601" w:rsidRPr="00866D96">
        <w:rPr>
          <w:noProof w:val="0"/>
        </w:rPr>
        <w:t>.</w:t>
      </w:r>
    </w:p>
    <w:p w14:paraId="21C439A9" w14:textId="77777777" w:rsidR="00831A6B" w:rsidRPr="00866D96" w:rsidRDefault="00DB4718" w:rsidP="00B53E51">
      <w:pPr>
        <w:pStyle w:val="DBulletlevel1"/>
        <w:spacing w:line="276" w:lineRule="auto"/>
        <w:rPr>
          <w:noProof w:val="0"/>
        </w:rPr>
      </w:pPr>
      <w:r w:rsidRPr="00866D96">
        <w:rPr>
          <w:noProof w:val="0"/>
        </w:rPr>
        <w:t>Adopting o</w:t>
      </w:r>
      <w:r w:rsidR="00831A6B" w:rsidRPr="00866D96">
        <w:rPr>
          <w:noProof w:val="0"/>
        </w:rPr>
        <w:t>n-bill financing for small-scale on-site solar systems, including solar geysers</w:t>
      </w:r>
      <w:r w:rsidR="00180601" w:rsidRPr="00866D96">
        <w:rPr>
          <w:noProof w:val="0"/>
        </w:rPr>
        <w:t>.</w:t>
      </w:r>
    </w:p>
    <w:p w14:paraId="7FE4D831" w14:textId="77777777" w:rsidR="00755736" w:rsidRPr="00866D96" w:rsidRDefault="00831A6B" w:rsidP="00B53E51">
      <w:pPr>
        <w:pStyle w:val="DBulletlevel1"/>
        <w:spacing w:line="276" w:lineRule="auto"/>
        <w:rPr>
          <w:noProof w:val="0"/>
        </w:rPr>
      </w:pPr>
      <w:r w:rsidRPr="00866D96">
        <w:rPr>
          <w:noProof w:val="0"/>
        </w:rPr>
        <w:t xml:space="preserve">Assisting and encouraging </w:t>
      </w:r>
      <w:r w:rsidR="00755736" w:rsidRPr="00866D96">
        <w:rPr>
          <w:noProof w:val="0"/>
        </w:rPr>
        <w:t>commercial banks to work with multilateral and bilateral donors to establish special on-lending and co-financing initiatives to increase the availability of affordable debt capital to small-scale renewable energy businesses.</w:t>
      </w:r>
    </w:p>
    <w:p w14:paraId="0946BACD" w14:textId="77777777" w:rsidR="00831A6B" w:rsidRPr="00866D96" w:rsidRDefault="00831A6B" w:rsidP="00B53E51">
      <w:pPr>
        <w:pStyle w:val="DBulletlevel1"/>
        <w:spacing w:line="276" w:lineRule="auto"/>
        <w:rPr>
          <w:noProof w:val="0"/>
        </w:rPr>
      </w:pPr>
      <w:r w:rsidRPr="00866D96">
        <w:rPr>
          <w:noProof w:val="0"/>
        </w:rPr>
        <w:t xml:space="preserve">Assisting and encouraging </w:t>
      </w:r>
      <w:r w:rsidR="00755736" w:rsidRPr="00866D96">
        <w:rPr>
          <w:noProof w:val="0"/>
        </w:rPr>
        <w:t xml:space="preserve">commercial </w:t>
      </w:r>
      <w:r w:rsidRPr="00866D96">
        <w:rPr>
          <w:noProof w:val="0"/>
        </w:rPr>
        <w:t xml:space="preserve">banks to pursue </w:t>
      </w:r>
      <w:r w:rsidR="009A7797" w:rsidRPr="00866D96">
        <w:rPr>
          <w:noProof w:val="0"/>
        </w:rPr>
        <w:t>a renewable energy</w:t>
      </w:r>
      <w:r w:rsidRPr="00866D96">
        <w:rPr>
          <w:noProof w:val="0"/>
        </w:rPr>
        <w:t xml:space="preserve"> loan bundling strategy that allows the bundled loans to be sold on the secondary market, as is being done in Kenya and Rwanda</w:t>
      </w:r>
      <w:r w:rsidR="00180601" w:rsidRPr="00866D96">
        <w:rPr>
          <w:noProof w:val="0"/>
        </w:rPr>
        <w:t>.</w:t>
      </w:r>
    </w:p>
    <w:p w14:paraId="79790CA2" w14:textId="77777777" w:rsidR="00831A6B" w:rsidRPr="00866D96" w:rsidRDefault="00831A6B" w:rsidP="00B53E51">
      <w:pPr>
        <w:pStyle w:val="DBulletlevel1"/>
        <w:spacing w:line="276" w:lineRule="auto"/>
        <w:rPr>
          <w:noProof w:val="0"/>
        </w:rPr>
      </w:pPr>
      <w:r w:rsidRPr="00866D96">
        <w:rPr>
          <w:noProof w:val="0"/>
        </w:rPr>
        <w:t xml:space="preserve">Pursuing solutions to </w:t>
      </w:r>
      <w:r w:rsidR="00C65527" w:rsidRPr="00866D96">
        <w:rPr>
          <w:noProof w:val="0"/>
        </w:rPr>
        <w:t xml:space="preserve">the </w:t>
      </w:r>
      <w:r w:rsidRPr="00866D96">
        <w:rPr>
          <w:noProof w:val="0"/>
        </w:rPr>
        <w:t xml:space="preserve">high country risk problem, </w:t>
      </w:r>
      <w:r w:rsidR="00A264FB" w:rsidRPr="00866D96">
        <w:rPr>
          <w:noProof w:val="0"/>
        </w:rPr>
        <w:t>such as</w:t>
      </w:r>
      <w:r w:rsidRPr="00866D96">
        <w:rPr>
          <w:noProof w:val="0"/>
        </w:rPr>
        <w:t xml:space="preserve"> off-taker (ESCOM) </w:t>
      </w:r>
      <w:r w:rsidR="00833A86" w:rsidRPr="00866D96">
        <w:rPr>
          <w:noProof w:val="0"/>
        </w:rPr>
        <w:t>payment</w:t>
      </w:r>
      <w:r w:rsidRPr="00866D96">
        <w:rPr>
          <w:noProof w:val="0"/>
        </w:rPr>
        <w:t xml:space="preserve"> risk, </w:t>
      </w:r>
      <w:r w:rsidR="00DF68F1" w:rsidRPr="00866D96">
        <w:rPr>
          <w:noProof w:val="0"/>
        </w:rPr>
        <w:t>foreign exchange</w:t>
      </w:r>
      <w:r w:rsidR="00A264FB" w:rsidRPr="00866D96">
        <w:rPr>
          <w:noProof w:val="0"/>
        </w:rPr>
        <w:t xml:space="preserve"> risk, and regulatory and policy-related risk</w:t>
      </w:r>
      <w:r w:rsidR="00833A86" w:rsidRPr="00866D96">
        <w:rPr>
          <w:noProof w:val="0"/>
        </w:rPr>
        <w:t>.</w:t>
      </w:r>
      <w:r w:rsidR="000D2D33">
        <w:rPr>
          <w:noProof w:val="0"/>
        </w:rPr>
        <w:t xml:space="preserve"> </w:t>
      </w:r>
      <w:r w:rsidR="00833A86" w:rsidRPr="00866D96">
        <w:rPr>
          <w:noProof w:val="0"/>
        </w:rPr>
        <w:t xml:space="preserve">The government will examine ways to reduce the </w:t>
      </w:r>
      <w:r w:rsidR="00C209D5" w:rsidRPr="00866D96">
        <w:rPr>
          <w:noProof w:val="0"/>
        </w:rPr>
        <w:t>f</w:t>
      </w:r>
      <w:r w:rsidR="00DF68F1" w:rsidRPr="00866D96">
        <w:rPr>
          <w:noProof w:val="0"/>
        </w:rPr>
        <w:t xml:space="preserve">oreign exchange </w:t>
      </w:r>
      <w:r w:rsidR="00833A86" w:rsidRPr="00866D96">
        <w:rPr>
          <w:noProof w:val="0"/>
        </w:rPr>
        <w:t xml:space="preserve">risk and will address off-taker payment risk through either the use of </w:t>
      </w:r>
      <w:r w:rsidR="000D2D33" w:rsidRPr="006122EE">
        <w:rPr>
          <w:noProof w:val="0"/>
        </w:rPr>
        <w:t>sovereign</w:t>
      </w:r>
      <w:r w:rsidR="00833A86" w:rsidRPr="00866D96">
        <w:rPr>
          <w:noProof w:val="0"/>
        </w:rPr>
        <w:t xml:space="preserve"> guarantees or by allowing RE IPPs to receive PPA payments directly from the </w:t>
      </w:r>
      <w:r w:rsidR="000D2D33" w:rsidRPr="006122EE">
        <w:rPr>
          <w:noProof w:val="0"/>
        </w:rPr>
        <w:t>utility</w:t>
      </w:r>
      <w:r w:rsidR="00833A86" w:rsidRPr="00866D96">
        <w:rPr>
          <w:noProof w:val="0"/>
        </w:rPr>
        <w:t xml:space="preserve"> bill collection </w:t>
      </w:r>
      <w:r w:rsidR="00C209D5" w:rsidRPr="00866D96">
        <w:rPr>
          <w:noProof w:val="0"/>
        </w:rPr>
        <w:t xml:space="preserve">entity </w:t>
      </w:r>
      <w:r w:rsidR="00833A86" w:rsidRPr="00866D96">
        <w:rPr>
          <w:noProof w:val="0"/>
        </w:rPr>
        <w:t xml:space="preserve">before the </w:t>
      </w:r>
      <w:r w:rsidR="00C209D5" w:rsidRPr="00866D96">
        <w:rPr>
          <w:noProof w:val="0"/>
        </w:rPr>
        <w:t>collected</w:t>
      </w:r>
      <w:r w:rsidR="00833A86" w:rsidRPr="00866D96">
        <w:rPr>
          <w:noProof w:val="0"/>
        </w:rPr>
        <w:t xml:space="preserve"> bill revenue is given to ESCOM. This later approach is already being undertaken for the first solar IPPs</w:t>
      </w:r>
      <w:r w:rsidR="00180601" w:rsidRPr="00866D96">
        <w:rPr>
          <w:noProof w:val="0"/>
        </w:rPr>
        <w:t>.</w:t>
      </w:r>
    </w:p>
    <w:p w14:paraId="33E68B9A" w14:textId="77777777" w:rsidR="00831A6B" w:rsidRPr="00866D96" w:rsidRDefault="00831A6B" w:rsidP="00B53E51">
      <w:pPr>
        <w:pStyle w:val="DBulletlevel1"/>
        <w:spacing w:line="276" w:lineRule="auto"/>
        <w:rPr>
          <w:noProof w:val="0"/>
        </w:rPr>
      </w:pPr>
      <w:r w:rsidRPr="00866D96">
        <w:rPr>
          <w:noProof w:val="0"/>
        </w:rPr>
        <w:t>Eliminating or decreasing the VAT on RE products.</w:t>
      </w:r>
      <w:r w:rsidR="006101A7" w:rsidRPr="00866D96">
        <w:rPr>
          <w:noProof w:val="0"/>
        </w:rPr>
        <w:t xml:space="preserve"> This can only be done if </w:t>
      </w:r>
      <w:r w:rsidR="00031040" w:rsidRPr="00866D96">
        <w:rPr>
          <w:noProof w:val="0"/>
        </w:rPr>
        <w:t xml:space="preserve">it can be shown that </w:t>
      </w:r>
      <w:r w:rsidR="006101A7" w:rsidRPr="00866D96">
        <w:rPr>
          <w:noProof w:val="0"/>
        </w:rPr>
        <w:t xml:space="preserve">the increased revenues resulting from RE investment </w:t>
      </w:r>
      <w:r w:rsidR="00031040" w:rsidRPr="00866D96">
        <w:rPr>
          <w:noProof w:val="0"/>
        </w:rPr>
        <w:t xml:space="preserve">will </w:t>
      </w:r>
      <w:r w:rsidR="006101A7" w:rsidRPr="00866D96">
        <w:rPr>
          <w:noProof w:val="0"/>
        </w:rPr>
        <w:t>offset the lost revenue from the VAT exemption</w:t>
      </w:r>
      <w:r w:rsidR="00031040" w:rsidRPr="00866D96">
        <w:rPr>
          <w:noProof w:val="0"/>
        </w:rPr>
        <w:t>s</w:t>
      </w:r>
      <w:r w:rsidR="006101A7" w:rsidRPr="00866D96">
        <w:rPr>
          <w:noProof w:val="0"/>
        </w:rPr>
        <w:t xml:space="preserve">. </w:t>
      </w:r>
      <w:r w:rsidR="008D2D8F" w:rsidRPr="00866D96">
        <w:rPr>
          <w:noProof w:val="0"/>
        </w:rPr>
        <w:t xml:space="preserve">The </w:t>
      </w:r>
      <w:r w:rsidR="007C3A79" w:rsidRPr="00866D96">
        <w:rPr>
          <w:noProof w:val="0"/>
        </w:rPr>
        <w:t>equipment</w:t>
      </w:r>
      <w:r w:rsidR="008D2D8F" w:rsidRPr="00866D96">
        <w:rPr>
          <w:noProof w:val="0"/>
        </w:rPr>
        <w:t xml:space="preserve"> exempted from the VAT will have to be clearly identified and </w:t>
      </w:r>
      <w:r w:rsidR="007C3A79" w:rsidRPr="00866D96">
        <w:rPr>
          <w:noProof w:val="0"/>
        </w:rPr>
        <w:t>be used only for</w:t>
      </w:r>
      <w:r w:rsidR="008D2D8F" w:rsidRPr="00866D96">
        <w:rPr>
          <w:noProof w:val="0"/>
        </w:rPr>
        <w:t xml:space="preserve"> renewable e</w:t>
      </w:r>
      <w:r w:rsidR="00696B16" w:rsidRPr="00866D96">
        <w:rPr>
          <w:noProof w:val="0"/>
        </w:rPr>
        <w:t>nergy projects</w:t>
      </w:r>
      <w:r w:rsidR="008D2D8F" w:rsidRPr="00866D96">
        <w:rPr>
          <w:noProof w:val="0"/>
        </w:rPr>
        <w:t>.</w:t>
      </w:r>
    </w:p>
    <w:p w14:paraId="2E866A63" w14:textId="77777777" w:rsidR="00DF0FFB" w:rsidRPr="006122EE" w:rsidRDefault="00831A6B" w:rsidP="00B53E51">
      <w:pPr>
        <w:pStyle w:val="DBulletlevel1"/>
        <w:spacing w:line="276" w:lineRule="auto"/>
        <w:rPr>
          <w:rStyle w:val="CSubtitle1Char"/>
          <w:b w:val="0"/>
          <w:noProof w:val="0"/>
          <w:color w:val="000000" w:themeColor="text1"/>
          <w:lang w:val="en-GB" w:eastAsia="en-GB"/>
        </w:rPr>
      </w:pPr>
      <w:r w:rsidRPr="00866D96">
        <w:rPr>
          <w:noProof w:val="0"/>
        </w:rPr>
        <w:t>Establishing rules for solar service agreements so that solar vendor/installer can receive tax incentives from the government as well as payments from the solar consumer for the electricity, and can then sell that electricity to ESCOM at the feed-in tariff price</w:t>
      </w:r>
      <w:r w:rsidR="00180601" w:rsidRPr="00866D96">
        <w:rPr>
          <w:noProof w:val="0"/>
        </w:rPr>
        <w:t>.</w:t>
      </w:r>
      <w:bookmarkStart w:id="58" w:name="_Toc453606934"/>
    </w:p>
    <w:p w14:paraId="75AC30D4" w14:textId="77777777" w:rsidR="00DF0FFB" w:rsidRPr="00934E54" w:rsidRDefault="00DF0FFB" w:rsidP="00934E54">
      <w:pPr>
        <w:pStyle w:val="CSubtitle1"/>
        <w:rPr>
          <w:rStyle w:val="CSubtitle1Char"/>
          <w:b/>
        </w:rPr>
      </w:pPr>
      <w:bookmarkStart w:id="59" w:name="_Toc481614878"/>
      <w:r w:rsidRPr="00934E54">
        <w:rPr>
          <w:rStyle w:val="CSubtitle1Char"/>
          <w:b/>
        </w:rPr>
        <w:t>National Energy Efficiency &amp; Renewable Energy Development Commission</w:t>
      </w:r>
      <w:bookmarkEnd w:id="59"/>
    </w:p>
    <w:p w14:paraId="69DA1F30" w14:textId="77777777" w:rsidR="00831A6B" w:rsidRPr="006122EE" w:rsidRDefault="00831A6B" w:rsidP="00B53E51">
      <w:pPr>
        <w:spacing w:line="276" w:lineRule="auto"/>
      </w:pPr>
      <w:bookmarkStart w:id="60" w:name="_Toc481614879"/>
      <w:r w:rsidRPr="00866D96">
        <w:rPr>
          <w:rStyle w:val="CSubtitle1Char"/>
          <w:b w:val="0"/>
          <w:noProof w:val="0"/>
          <w:color w:val="000000" w:themeColor="text1"/>
          <w:lang w:val="en-GB"/>
        </w:rPr>
        <w:t xml:space="preserve">The Government will consider establishing a dedicated EE/RE </w:t>
      </w:r>
      <w:bookmarkEnd w:id="58"/>
      <w:r w:rsidR="00DF0FFB" w:rsidRPr="006122EE">
        <w:rPr>
          <w:rStyle w:val="CSubtitle1Char"/>
          <w:b w:val="0"/>
          <w:noProof w:val="0"/>
          <w:color w:val="000000" w:themeColor="text1"/>
          <w:lang w:val="en-GB" w:eastAsia="en-GB"/>
        </w:rPr>
        <w:t>commission</w:t>
      </w:r>
      <w:bookmarkEnd w:id="60"/>
    </w:p>
    <w:p w14:paraId="6FEB5D1C" w14:textId="77777777" w:rsidR="00DF0FFB" w:rsidRPr="00866D96" w:rsidRDefault="00C47921" w:rsidP="00B53E51">
      <w:pPr>
        <w:pStyle w:val="DBulletlevel1"/>
        <w:spacing w:line="276" w:lineRule="auto"/>
        <w:rPr>
          <w:noProof w:val="0"/>
        </w:rPr>
      </w:pPr>
      <w:r w:rsidRPr="00866D96">
        <w:rPr>
          <w:noProof w:val="0"/>
        </w:rPr>
        <w:t xml:space="preserve">The </w:t>
      </w:r>
      <w:r w:rsidR="00DF0FFB" w:rsidRPr="00866D96">
        <w:rPr>
          <w:noProof w:val="0"/>
        </w:rPr>
        <w:t>commission</w:t>
      </w:r>
      <w:r w:rsidR="00831A6B" w:rsidRPr="00866D96">
        <w:rPr>
          <w:noProof w:val="0"/>
        </w:rPr>
        <w:t xml:space="preserve"> would be somewhat like India’s IREDA and have a clear mandate to implement the national RE policy. The activities of the </w:t>
      </w:r>
      <w:r w:rsidR="00DF0FFB" w:rsidRPr="00866D96">
        <w:rPr>
          <w:noProof w:val="0"/>
        </w:rPr>
        <w:t xml:space="preserve">commission </w:t>
      </w:r>
      <w:r w:rsidR="00831A6B" w:rsidRPr="00866D96">
        <w:rPr>
          <w:noProof w:val="0"/>
        </w:rPr>
        <w:t xml:space="preserve">would include helping establish the country’s IPP policy, helping IPP developers through the regulatory process, certifying RE products and installers, working with MERA on setting and revising feed-in tariffs, and developing new policy to be established as law.   </w:t>
      </w:r>
      <w:bookmarkStart w:id="61" w:name="_Toc453606935"/>
    </w:p>
    <w:p w14:paraId="335FF1DC" w14:textId="77777777" w:rsidR="00DF0FFB" w:rsidRPr="00866D96" w:rsidRDefault="00DF0FFB" w:rsidP="00B53E51">
      <w:pPr>
        <w:pStyle w:val="CSubtitle1"/>
        <w:spacing w:line="276" w:lineRule="auto"/>
        <w:rPr>
          <w:noProof w:val="0"/>
          <w:lang w:val="en-GB"/>
        </w:rPr>
      </w:pPr>
      <w:bookmarkStart w:id="62" w:name="_Toc481614880"/>
      <w:r w:rsidRPr="00866D96">
        <w:rPr>
          <w:noProof w:val="0"/>
          <w:lang w:val="en-GB"/>
        </w:rPr>
        <w:t>Modernize the Electric Grid</w:t>
      </w:r>
      <w:bookmarkEnd w:id="62"/>
    </w:p>
    <w:p w14:paraId="02CE53FA" w14:textId="77777777" w:rsidR="00831A6B" w:rsidRPr="006122EE" w:rsidRDefault="002676C7" w:rsidP="00B53E51">
      <w:pPr>
        <w:spacing w:line="276" w:lineRule="auto"/>
      </w:pPr>
      <w:r w:rsidRPr="006122EE">
        <w:t>The Government will take steps to i</w:t>
      </w:r>
      <w:r w:rsidR="00831A6B" w:rsidRPr="006122EE">
        <w:t>mprove and modernize the electric grid</w:t>
      </w:r>
      <w:bookmarkEnd w:id="61"/>
      <w:r w:rsidR="00180601" w:rsidRPr="006122EE">
        <w:t>:</w:t>
      </w:r>
    </w:p>
    <w:p w14:paraId="40784323" w14:textId="77777777" w:rsidR="00831A6B" w:rsidRPr="00866D96" w:rsidRDefault="00831A6B" w:rsidP="00B53E51">
      <w:pPr>
        <w:pStyle w:val="DBulletlevel1"/>
        <w:spacing w:line="276" w:lineRule="auto"/>
        <w:rPr>
          <w:noProof w:val="0"/>
        </w:rPr>
      </w:pPr>
      <w:r w:rsidRPr="00866D96">
        <w:rPr>
          <w:noProof w:val="0"/>
        </w:rPr>
        <w:t>Widespread development of RE is not possible without an improved T&amp;D infrastructure to allow wheeling of RE-generated electricity and increased overall reliability</w:t>
      </w:r>
      <w:r w:rsidR="00180601" w:rsidRPr="00866D96">
        <w:rPr>
          <w:noProof w:val="0"/>
        </w:rPr>
        <w:t>.</w:t>
      </w:r>
    </w:p>
    <w:p w14:paraId="60B45AB9" w14:textId="77777777" w:rsidR="00831A6B" w:rsidRPr="00866D96" w:rsidRDefault="00831A6B" w:rsidP="00B53E51">
      <w:pPr>
        <w:pStyle w:val="DBulletlevel1"/>
        <w:spacing w:line="276" w:lineRule="auto"/>
        <w:rPr>
          <w:noProof w:val="0"/>
        </w:rPr>
      </w:pPr>
      <w:r w:rsidRPr="00866D96">
        <w:rPr>
          <w:noProof w:val="0"/>
        </w:rPr>
        <w:t>Modernization of the grid, including the use of advanced information and communication technologies, will be beneficial on a number of levels, including the ability to incorporate and manage electricity coming to the grid from a variety of intermittent RE sources.</w:t>
      </w:r>
    </w:p>
    <w:p w14:paraId="02096738" w14:textId="77777777" w:rsidR="00DF0FFB" w:rsidRPr="006122EE" w:rsidRDefault="00831A6B" w:rsidP="00B53E51">
      <w:pPr>
        <w:pStyle w:val="DBulletlevel1"/>
        <w:spacing w:line="276" w:lineRule="auto"/>
        <w:rPr>
          <w:rStyle w:val="CSubtitle1Char"/>
          <w:b w:val="0"/>
          <w:noProof w:val="0"/>
          <w:color w:val="000000" w:themeColor="text1"/>
          <w:lang w:val="en-GB" w:eastAsia="en-GB"/>
        </w:rPr>
      </w:pPr>
      <w:r w:rsidRPr="00866D96">
        <w:rPr>
          <w:noProof w:val="0"/>
          <w:lang w:eastAsia="en-US"/>
        </w:rPr>
        <w:t>Other grid improvement</w:t>
      </w:r>
      <w:r w:rsidRPr="00866D96">
        <w:rPr>
          <w:noProof w:val="0"/>
        </w:rPr>
        <w:t xml:space="preserve"> techniques could include GIS mapping, synchrophasers, and AMI metering with remote reading and load control</w:t>
      </w:r>
      <w:r w:rsidR="00180601" w:rsidRPr="00866D96">
        <w:rPr>
          <w:noProof w:val="0"/>
        </w:rPr>
        <w:t>.</w:t>
      </w:r>
      <w:bookmarkStart w:id="63" w:name="_Toc453606937"/>
    </w:p>
    <w:p w14:paraId="3DC9740F" w14:textId="77777777" w:rsidR="00DF0FFB" w:rsidRPr="00934E54" w:rsidRDefault="00DF0FFB" w:rsidP="00934E54">
      <w:pPr>
        <w:pStyle w:val="CSubtitle1"/>
        <w:rPr>
          <w:rStyle w:val="CSubtitle1Char"/>
          <w:b/>
        </w:rPr>
      </w:pPr>
      <w:bookmarkStart w:id="64" w:name="_Toc481614881"/>
      <w:r w:rsidRPr="00934E54">
        <w:rPr>
          <w:rStyle w:val="CSubtitle1Char"/>
          <w:b/>
        </w:rPr>
        <w:t>Education and Training</w:t>
      </w:r>
      <w:bookmarkEnd w:id="64"/>
    </w:p>
    <w:p w14:paraId="74763D70" w14:textId="77777777" w:rsidR="00831A6B" w:rsidRPr="006122EE" w:rsidRDefault="002676C7" w:rsidP="00B53E51">
      <w:pPr>
        <w:spacing w:line="276" w:lineRule="auto"/>
      </w:pPr>
      <w:bookmarkStart w:id="65" w:name="_Toc481614882"/>
      <w:r w:rsidRPr="00866D96">
        <w:rPr>
          <w:rStyle w:val="CSubtitle1Char"/>
          <w:b w:val="0"/>
          <w:noProof w:val="0"/>
          <w:color w:val="000000" w:themeColor="text1"/>
          <w:lang w:val="en-GB" w:eastAsia="en-GB"/>
        </w:rPr>
        <w:t>The Government will i</w:t>
      </w:r>
      <w:r w:rsidR="00831A6B" w:rsidRPr="00866D96">
        <w:rPr>
          <w:rStyle w:val="CSubtitle1Char"/>
          <w:b w:val="0"/>
          <w:noProof w:val="0"/>
          <w:color w:val="000000" w:themeColor="text1"/>
          <w:lang w:val="en-GB" w:eastAsia="en-GB"/>
        </w:rPr>
        <w:t>mplement</w:t>
      </w:r>
      <w:r w:rsidR="00831A6B" w:rsidRPr="00866D96">
        <w:rPr>
          <w:rStyle w:val="CSubtitle1Char"/>
          <w:b w:val="0"/>
          <w:noProof w:val="0"/>
          <w:color w:val="000000" w:themeColor="text1"/>
          <w:lang w:val="en-GB"/>
        </w:rPr>
        <w:t xml:space="preserve"> RE education and training </w:t>
      </w:r>
      <w:r w:rsidR="00831A6B" w:rsidRPr="00866D96">
        <w:rPr>
          <w:rStyle w:val="CSubtitle1Char"/>
          <w:b w:val="0"/>
          <w:noProof w:val="0"/>
          <w:color w:val="000000" w:themeColor="text1"/>
          <w:lang w:val="en-GB" w:eastAsia="en-GB"/>
        </w:rPr>
        <w:t>program</w:t>
      </w:r>
      <w:r w:rsidRPr="00866D96">
        <w:rPr>
          <w:rStyle w:val="CSubtitle1Char"/>
          <w:b w:val="0"/>
          <w:noProof w:val="0"/>
          <w:color w:val="000000" w:themeColor="text1"/>
          <w:lang w:val="en-GB" w:eastAsia="en-GB"/>
        </w:rPr>
        <w:t>s</w:t>
      </w:r>
      <w:bookmarkEnd w:id="65"/>
      <w:r w:rsidR="00C47921" w:rsidRPr="006122EE">
        <w:t>:</w:t>
      </w:r>
      <w:bookmarkEnd w:id="63"/>
    </w:p>
    <w:p w14:paraId="771FE84C" w14:textId="77777777" w:rsidR="00831A6B" w:rsidRPr="00866D96" w:rsidRDefault="00831A6B" w:rsidP="00B53E51">
      <w:pPr>
        <w:pStyle w:val="DBulletlevel1"/>
        <w:spacing w:line="276" w:lineRule="auto"/>
        <w:rPr>
          <w:noProof w:val="0"/>
        </w:rPr>
      </w:pPr>
      <w:r w:rsidRPr="00866D96">
        <w:rPr>
          <w:noProof w:val="0"/>
          <w:color w:val="000000"/>
        </w:rPr>
        <w:t xml:space="preserve">Improve/increase </w:t>
      </w:r>
      <w:r w:rsidRPr="00866D96">
        <w:rPr>
          <w:noProof w:val="0"/>
        </w:rPr>
        <w:t>educational and training opportunities for students as well as officials in national government, local government, financial institutions and small and medium-sized enterprises (SMEs)</w:t>
      </w:r>
      <w:r w:rsidR="00180601" w:rsidRPr="00866D96">
        <w:rPr>
          <w:noProof w:val="0"/>
        </w:rPr>
        <w:t>.</w:t>
      </w:r>
    </w:p>
    <w:p w14:paraId="1E1F9A22" w14:textId="77777777" w:rsidR="00831A6B" w:rsidRPr="00866D96" w:rsidRDefault="00831A6B" w:rsidP="00B53E51">
      <w:pPr>
        <w:pStyle w:val="DBulletlevel1"/>
        <w:spacing w:line="276" w:lineRule="auto"/>
        <w:rPr>
          <w:noProof w:val="0"/>
        </w:rPr>
      </w:pPr>
      <w:r w:rsidRPr="00866D96">
        <w:rPr>
          <w:noProof w:val="0"/>
        </w:rPr>
        <w:t>Establish RE training programs at technical colleges</w:t>
      </w:r>
      <w:r w:rsidR="00180601" w:rsidRPr="00866D96">
        <w:rPr>
          <w:noProof w:val="0"/>
        </w:rPr>
        <w:t>.</w:t>
      </w:r>
    </w:p>
    <w:p w14:paraId="3D68BAD5" w14:textId="77777777" w:rsidR="00831A6B" w:rsidRPr="00866D96" w:rsidRDefault="00831A6B" w:rsidP="00B53E51">
      <w:pPr>
        <w:pStyle w:val="DBulletlevel1"/>
        <w:spacing w:line="276" w:lineRule="auto"/>
        <w:rPr>
          <w:noProof w:val="0"/>
        </w:rPr>
      </w:pPr>
      <w:r w:rsidRPr="00866D96">
        <w:rPr>
          <w:noProof w:val="0"/>
          <w:lang w:eastAsia="en-US"/>
        </w:rPr>
        <w:t>Establish an RE internship</w:t>
      </w:r>
      <w:r w:rsidRPr="00866D96">
        <w:rPr>
          <w:noProof w:val="0"/>
        </w:rPr>
        <w:t xml:space="preserve"> program for college graduates</w:t>
      </w:r>
      <w:r w:rsidR="00180601" w:rsidRPr="00866D96">
        <w:rPr>
          <w:noProof w:val="0"/>
        </w:rPr>
        <w:t>.</w:t>
      </w:r>
    </w:p>
    <w:p w14:paraId="75D444DC" w14:textId="77777777" w:rsidR="00831A6B" w:rsidRPr="00866D96" w:rsidRDefault="00831A6B" w:rsidP="00B53E51">
      <w:pPr>
        <w:pStyle w:val="DBulletlevel1"/>
        <w:spacing w:line="276" w:lineRule="auto"/>
        <w:rPr>
          <w:noProof w:val="0"/>
        </w:rPr>
      </w:pPr>
      <w:r w:rsidRPr="00866D96">
        <w:rPr>
          <w:noProof w:val="0"/>
        </w:rPr>
        <w:t>Establish an R</w:t>
      </w:r>
      <w:r w:rsidRPr="00866D96">
        <w:rPr>
          <w:rFonts w:eastAsia="Calibri"/>
          <w:noProof w:val="0"/>
        </w:rPr>
        <w:t>E awareness initiative, including introduction a media strategy including radio and newspaper, and holding RE fairs</w:t>
      </w:r>
      <w:r w:rsidRPr="00866D96">
        <w:rPr>
          <w:noProof w:val="0"/>
        </w:rPr>
        <w:t>.</w:t>
      </w:r>
    </w:p>
    <w:p w14:paraId="6B6290B3" w14:textId="77777777" w:rsidR="00831A6B" w:rsidRPr="00866D96" w:rsidRDefault="00831A6B" w:rsidP="00B53E51">
      <w:pPr>
        <w:pStyle w:val="BTitle3"/>
        <w:spacing w:line="276" w:lineRule="auto"/>
        <w:rPr>
          <w:noProof w:val="0"/>
          <w:lang w:val="en-GB"/>
        </w:rPr>
      </w:pPr>
      <w:bookmarkStart w:id="66" w:name="_Toc447216980"/>
      <w:bookmarkStart w:id="67" w:name="_Toc481614883"/>
      <w:r w:rsidRPr="00866D96">
        <w:rPr>
          <w:noProof w:val="0"/>
          <w:lang w:val="en-GB"/>
        </w:rPr>
        <w:t>Energy Efficiency</w:t>
      </w:r>
      <w:bookmarkEnd w:id="66"/>
      <w:bookmarkEnd w:id="67"/>
    </w:p>
    <w:p w14:paraId="3F5608B5" w14:textId="77777777" w:rsidR="00831A6B" w:rsidRPr="006122EE" w:rsidRDefault="00831A6B" w:rsidP="00B53E51">
      <w:pPr>
        <w:spacing w:line="276" w:lineRule="auto"/>
      </w:pPr>
      <w:bookmarkStart w:id="68" w:name="_Toc453606939"/>
      <w:r w:rsidRPr="006122EE">
        <w:rPr>
          <w:b/>
          <w:color w:val="92D400" w:themeColor="accent2"/>
          <w:sz w:val="24"/>
        </w:rPr>
        <w:t>Solar hot water heating</w:t>
      </w:r>
      <w:bookmarkEnd w:id="68"/>
    </w:p>
    <w:p w14:paraId="6298CDF6" w14:textId="77777777" w:rsidR="006C2D66" w:rsidRPr="006122EE" w:rsidRDefault="006C2D66" w:rsidP="00B53E51">
      <w:pPr>
        <w:spacing w:line="276" w:lineRule="auto"/>
        <w:rPr>
          <w:lang w:eastAsia="fr-FR"/>
        </w:rPr>
      </w:pPr>
      <w:r w:rsidRPr="006122EE">
        <w:rPr>
          <w:lang w:eastAsia="fr-FR"/>
        </w:rPr>
        <w:t>The Department of Energy will coordinate with other ministries and stakeholders to move a solar hot water heating initiative forward. It will support the following actions.</w:t>
      </w:r>
    </w:p>
    <w:p w14:paraId="1B2237C7" w14:textId="77777777" w:rsidR="00831A6B" w:rsidRPr="00866D96" w:rsidRDefault="00831A6B" w:rsidP="00B53E51">
      <w:pPr>
        <w:pStyle w:val="DBulletlevel1"/>
        <w:spacing w:line="276" w:lineRule="auto"/>
        <w:rPr>
          <w:noProof w:val="0"/>
        </w:rPr>
      </w:pPr>
      <w:r w:rsidRPr="00866D96">
        <w:rPr>
          <w:noProof w:val="0"/>
        </w:rPr>
        <w:t xml:space="preserve">Future new housing schemes will be required to install solar geysers. </w:t>
      </w:r>
    </w:p>
    <w:p w14:paraId="0AC285DE" w14:textId="77777777" w:rsidR="00831A6B" w:rsidRPr="00866D96" w:rsidRDefault="00831A6B" w:rsidP="00B53E51">
      <w:pPr>
        <w:pStyle w:val="DBulletlevel1"/>
        <w:spacing w:line="276" w:lineRule="auto"/>
        <w:rPr>
          <w:noProof w:val="0"/>
        </w:rPr>
      </w:pPr>
      <w:r w:rsidRPr="00866D96">
        <w:rPr>
          <w:noProof w:val="0"/>
        </w:rPr>
        <w:t xml:space="preserve">A large scale promotion campaign will be carried out through the local banks and the Utility company, offering subsidized loans that can be repaid through the electricity bills of the households. </w:t>
      </w:r>
    </w:p>
    <w:p w14:paraId="63964E71" w14:textId="77777777" w:rsidR="00831A6B" w:rsidRPr="00866D96" w:rsidRDefault="00831A6B" w:rsidP="00B53E51">
      <w:pPr>
        <w:pStyle w:val="DBulletlevel1"/>
        <w:spacing w:line="276" w:lineRule="auto"/>
        <w:rPr>
          <w:noProof w:val="0"/>
        </w:rPr>
      </w:pPr>
      <w:r w:rsidRPr="00866D96">
        <w:rPr>
          <w:noProof w:val="0"/>
        </w:rPr>
        <w:t xml:space="preserve">Additional tax incentives will </w:t>
      </w:r>
      <w:r w:rsidR="006C2D66" w:rsidRPr="00866D96">
        <w:rPr>
          <w:noProof w:val="0"/>
        </w:rPr>
        <w:t xml:space="preserve">be proposed that will </w:t>
      </w:r>
      <w:r w:rsidRPr="00866D96">
        <w:rPr>
          <w:noProof w:val="0"/>
        </w:rPr>
        <w:t>encourage local manufacturers to engage in production of solar powered geysers.</w:t>
      </w:r>
    </w:p>
    <w:p w14:paraId="184C391E" w14:textId="77777777" w:rsidR="00831A6B" w:rsidRPr="006122EE" w:rsidRDefault="00831A6B" w:rsidP="00B53E51">
      <w:pPr>
        <w:spacing w:line="276" w:lineRule="auto"/>
      </w:pPr>
      <w:bookmarkStart w:id="69" w:name="_Toc453606940"/>
      <w:r w:rsidRPr="006122EE">
        <w:rPr>
          <w:b/>
          <w:color w:val="92D400" w:themeColor="accent2"/>
          <w:sz w:val="24"/>
        </w:rPr>
        <w:t>Domestic lighting</w:t>
      </w:r>
      <w:bookmarkEnd w:id="69"/>
    </w:p>
    <w:p w14:paraId="3F37F53C" w14:textId="77777777" w:rsidR="00831A6B" w:rsidRPr="00866D96" w:rsidRDefault="00831A6B" w:rsidP="00B53E51">
      <w:pPr>
        <w:pStyle w:val="DBulletlevel1"/>
        <w:spacing w:line="276" w:lineRule="auto"/>
        <w:rPr>
          <w:noProof w:val="0"/>
        </w:rPr>
      </w:pPr>
      <w:r w:rsidRPr="00866D96">
        <w:rPr>
          <w:noProof w:val="0"/>
        </w:rPr>
        <w:t xml:space="preserve">The Government and ESCOM will expand their effort to promote efficient household lighting. </w:t>
      </w:r>
    </w:p>
    <w:p w14:paraId="60C7E79F" w14:textId="77777777" w:rsidR="00831A6B" w:rsidRPr="00866D96" w:rsidRDefault="00831A6B" w:rsidP="00B53E51">
      <w:pPr>
        <w:pStyle w:val="DBulletlevel1"/>
        <w:spacing w:line="276" w:lineRule="auto"/>
        <w:rPr>
          <w:noProof w:val="0"/>
        </w:rPr>
      </w:pPr>
      <w:r w:rsidRPr="00866D96">
        <w:rPr>
          <w:noProof w:val="0"/>
        </w:rPr>
        <w:t xml:space="preserve">Future programs will involve popularization of the most efficient technologies currently present at the market (e.g. LED) and will be combined with extensive awareness raising campaigns. </w:t>
      </w:r>
    </w:p>
    <w:p w14:paraId="700D9D05" w14:textId="77777777" w:rsidR="00831A6B" w:rsidRPr="006122EE" w:rsidRDefault="00831A6B" w:rsidP="00B53E51">
      <w:pPr>
        <w:spacing w:line="276" w:lineRule="auto"/>
      </w:pPr>
      <w:bookmarkStart w:id="70" w:name="_Toc453606941"/>
      <w:r w:rsidRPr="006122EE">
        <w:rPr>
          <w:b/>
          <w:color w:val="92D400" w:themeColor="accent2"/>
          <w:sz w:val="24"/>
        </w:rPr>
        <w:t>Pre-paid meters</w:t>
      </w:r>
      <w:bookmarkEnd w:id="70"/>
    </w:p>
    <w:p w14:paraId="554DB5FC" w14:textId="77777777" w:rsidR="00831A6B" w:rsidRPr="00866D96" w:rsidRDefault="00831A6B" w:rsidP="00B53E51">
      <w:pPr>
        <w:pStyle w:val="DBulletlevel1"/>
        <w:spacing w:line="276" w:lineRule="auto"/>
        <w:rPr>
          <w:noProof w:val="0"/>
        </w:rPr>
      </w:pPr>
      <w:r w:rsidRPr="00866D96">
        <w:rPr>
          <w:noProof w:val="0"/>
        </w:rPr>
        <w:t>ESCOM will extend the PPM program until a 100% coverage in the residential sector is reached before 2030.</w:t>
      </w:r>
    </w:p>
    <w:p w14:paraId="214B776A" w14:textId="77777777" w:rsidR="00831A6B" w:rsidRPr="00866D96" w:rsidRDefault="00831A6B" w:rsidP="00B53E51">
      <w:pPr>
        <w:pStyle w:val="DBulletlevel1"/>
        <w:spacing w:line="276" w:lineRule="auto"/>
        <w:rPr>
          <w:noProof w:val="0"/>
        </w:rPr>
      </w:pPr>
      <w:r w:rsidRPr="00866D96">
        <w:rPr>
          <w:noProof w:val="0"/>
        </w:rPr>
        <w:t>Pre-paid metering for public sector entities will also be considered</w:t>
      </w:r>
      <w:r w:rsidR="00180601" w:rsidRPr="00866D96">
        <w:rPr>
          <w:noProof w:val="0"/>
        </w:rPr>
        <w:t>.</w:t>
      </w:r>
    </w:p>
    <w:p w14:paraId="6730E271" w14:textId="77777777" w:rsidR="00831A6B" w:rsidRPr="00866D96" w:rsidRDefault="00831A6B" w:rsidP="00B53E51">
      <w:pPr>
        <w:pStyle w:val="CSubtitle1"/>
        <w:spacing w:line="276" w:lineRule="auto"/>
        <w:rPr>
          <w:noProof w:val="0"/>
          <w:lang w:val="en-GB"/>
        </w:rPr>
      </w:pPr>
      <w:bookmarkStart w:id="71" w:name="_Toc453606942"/>
      <w:bookmarkStart w:id="72" w:name="_Toc481614884"/>
      <w:r w:rsidRPr="00866D96">
        <w:rPr>
          <w:noProof w:val="0"/>
          <w:lang w:val="en-GB"/>
        </w:rPr>
        <w:t>Large industrial and mining companies</w:t>
      </w:r>
      <w:bookmarkEnd w:id="71"/>
      <w:bookmarkEnd w:id="72"/>
      <w:r w:rsidRPr="00866D96">
        <w:rPr>
          <w:noProof w:val="0"/>
          <w:lang w:val="en-GB"/>
        </w:rPr>
        <w:t xml:space="preserve"> </w:t>
      </w:r>
    </w:p>
    <w:p w14:paraId="596BE716" w14:textId="77777777" w:rsidR="00831A6B" w:rsidRPr="006122EE" w:rsidRDefault="00831A6B" w:rsidP="00B53E51">
      <w:pPr>
        <w:spacing w:line="276" w:lineRule="auto"/>
      </w:pPr>
      <w:r w:rsidRPr="006122EE">
        <w:t>Malawi can achieve substantial energy saving results by supporting and incentivizing various programs for EE promotion in the industrial and mining sectors. Special attention will be paid to the following priority areas:</w:t>
      </w:r>
    </w:p>
    <w:p w14:paraId="1B8D0F43" w14:textId="77777777" w:rsidR="00831A6B" w:rsidRPr="00866D96" w:rsidRDefault="00831A6B" w:rsidP="00B53E51">
      <w:pPr>
        <w:pStyle w:val="DBulletlevel1"/>
        <w:spacing w:line="276" w:lineRule="auto"/>
        <w:rPr>
          <w:noProof w:val="0"/>
        </w:rPr>
      </w:pPr>
      <w:r w:rsidRPr="00866D96">
        <w:rPr>
          <w:noProof w:val="0"/>
        </w:rPr>
        <w:t>Programs for replacement of standard burnt motors, gear boxes and conveyors with energy efficient ones</w:t>
      </w:r>
      <w:r w:rsidR="00180601" w:rsidRPr="00866D96">
        <w:rPr>
          <w:noProof w:val="0"/>
        </w:rPr>
        <w:t>.</w:t>
      </w:r>
    </w:p>
    <w:p w14:paraId="0D8F2FC5" w14:textId="77777777" w:rsidR="00831A6B" w:rsidRPr="00866D96" w:rsidRDefault="00831A6B" w:rsidP="00B53E51">
      <w:pPr>
        <w:pStyle w:val="DBulletlevel1"/>
        <w:spacing w:line="276" w:lineRule="auto"/>
        <w:rPr>
          <w:noProof w:val="0"/>
        </w:rPr>
      </w:pPr>
      <w:r w:rsidRPr="00866D96">
        <w:rPr>
          <w:noProof w:val="0"/>
        </w:rPr>
        <w:t>Installation of variable speed drives on large motors operating under fluctuating loads</w:t>
      </w:r>
      <w:r w:rsidR="00180601" w:rsidRPr="00866D96">
        <w:rPr>
          <w:noProof w:val="0"/>
        </w:rPr>
        <w:t>.</w:t>
      </w:r>
    </w:p>
    <w:p w14:paraId="49285568" w14:textId="77777777" w:rsidR="00C264AA" w:rsidRPr="00866D96" w:rsidRDefault="00831A6B" w:rsidP="00B53E51">
      <w:pPr>
        <w:pStyle w:val="DBulletlevel1"/>
        <w:spacing w:line="276" w:lineRule="auto"/>
        <w:rPr>
          <w:noProof w:val="0"/>
        </w:rPr>
      </w:pPr>
      <w:r w:rsidRPr="00866D96">
        <w:rPr>
          <w:noProof w:val="0"/>
        </w:rPr>
        <w:t xml:space="preserve">Mandatory </w:t>
      </w:r>
      <w:r w:rsidR="00C264AA" w:rsidRPr="00866D96">
        <w:rPr>
          <w:noProof w:val="0"/>
        </w:rPr>
        <w:t>energy audits for large users</w:t>
      </w:r>
      <w:r w:rsidR="00180601" w:rsidRPr="00866D96">
        <w:rPr>
          <w:noProof w:val="0"/>
        </w:rPr>
        <w:t>.</w:t>
      </w:r>
    </w:p>
    <w:p w14:paraId="2B616381" w14:textId="77777777" w:rsidR="00831A6B" w:rsidRPr="00866D96" w:rsidRDefault="00C264AA" w:rsidP="00B53E51">
      <w:pPr>
        <w:pStyle w:val="DBulletlevel1"/>
        <w:spacing w:line="276" w:lineRule="auto"/>
        <w:rPr>
          <w:noProof w:val="0"/>
        </w:rPr>
      </w:pPr>
      <w:r w:rsidRPr="00866D96">
        <w:rPr>
          <w:noProof w:val="0"/>
        </w:rPr>
        <w:t xml:space="preserve">Mandatory </w:t>
      </w:r>
      <w:r w:rsidR="00831A6B" w:rsidRPr="00866D96">
        <w:rPr>
          <w:noProof w:val="0"/>
        </w:rPr>
        <w:t>regular examination and maintenance of large motors</w:t>
      </w:r>
      <w:r w:rsidR="00180601" w:rsidRPr="00866D96">
        <w:rPr>
          <w:noProof w:val="0"/>
        </w:rPr>
        <w:t>.</w:t>
      </w:r>
    </w:p>
    <w:p w14:paraId="523314D8" w14:textId="77777777" w:rsidR="00831A6B" w:rsidRPr="00866D96" w:rsidRDefault="00831A6B" w:rsidP="00B53E51">
      <w:pPr>
        <w:pStyle w:val="DBulletlevel1"/>
        <w:spacing w:line="276" w:lineRule="auto"/>
        <w:rPr>
          <w:noProof w:val="0"/>
        </w:rPr>
      </w:pPr>
      <w:r w:rsidRPr="00866D96">
        <w:rPr>
          <w:noProof w:val="0"/>
        </w:rPr>
        <w:t>Automation of steam generating boilers</w:t>
      </w:r>
      <w:r w:rsidR="00180601" w:rsidRPr="00866D96">
        <w:rPr>
          <w:noProof w:val="0"/>
        </w:rPr>
        <w:t>.</w:t>
      </w:r>
    </w:p>
    <w:p w14:paraId="0CB3792A" w14:textId="77777777" w:rsidR="00831A6B" w:rsidRPr="00866D96" w:rsidRDefault="00831A6B" w:rsidP="00B53E51">
      <w:pPr>
        <w:pStyle w:val="DBulletlevel1"/>
        <w:spacing w:line="276" w:lineRule="auto"/>
        <w:rPr>
          <w:noProof w:val="0"/>
        </w:rPr>
      </w:pPr>
      <w:r w:rsidRPr="00866D96">
        <w:rPr>
          <w:noProof w:val="0"/>
        </w:rPr>
        <w:t>Installation of combined heat and power generators where applicable</w:t>
      </w:r>
      <w:r w:rsidR="00180601" w:rsidRPr="00866D96">
        <w:rPr>
          <w:noProof w:val="0"/>
        </w:rPr>
        <w:t>.</w:t>
      </w:r>
    </w:p>
    <w:p w14:paraId="5C3BF9CD" w14:textId="77777777" w:rsidR="00831A6B" w:rsidRPr="00866D96" w:rsidRDefault="00831A6B" w:rsidP="00B53E51">
      <w:pPr>
        <w:pStyle w:val="DBulletlevel1"/>
        <w:spacing w:line="276" w:lineRule="auto"/>
        <w:rPr>
          <w:noProof w:val="0"/>
        </w:rPr>
      </w:pPr>
      <w:r w:rsidRPr="00866D96">
        <w:rPr>
          <w:noProof w:val="0"/>
        </w:rPr>
        <w:t xml:space="preserve">Promotion of sub metering in complex industrial and manufacturing processes. </w:t>
      </w:r>
    </w:p>
    <w:p w14:paraId="03EB1A7F" w14:textId="77777777" w:rsidR="00831A6B" w:rsidRPr="00866D96" w:rsidRDefault="00831A6B" w:rsidP="00B53E51">
      <w:pPr>
        <w:pStyle w:val="CSubtitle1"/>
        <w:spacing w:line="276" w:lineRule="auto"/>
        <w:rPr>
          <w:noProof w:val="0"/>
          <w:lang w:val="en-GB"/>
        </w:rPr>
      </w:pPr>
      <w:bookmarkStart w:id="73" w:name="_Toc453606943"/>
      <w:bookmarkStart w:id="74" w:name="_Toc481614885"/>
      <w:r w:rsidRPr="00866D96">
        <w:rPr>
          <w:noProof w:val="0"/>
          <w:lang w:val="en-GB"/>
        </w:rPr>
        <w:t>Agriculture</w:t>
      </w:r>
      <w:bookmarkEnd w:id="73"/>
      <w:bookmarkEnd w:id="74"/>
    </w:p>
    <w:p w14:paraId="6D6438A0" w14:textId="77777777" w:rsidR="00831A6B" w:rsidRPr="00866D96" w:rsidRDefault="00831A6B" w:rsidP="00B53E51">
      <w:pPr>
        <w:pStyle w:val="DBulletlevel1"/>
        <w:spacing w:line="276" w:lineRule="auto"/>
        <w:rPr>
          <w:noProof w:val="0"/>
        </w:rPr>
      </w:pPr>
      <w:r w:rsidRPr="00866D96">
        <w:rPr>
          <w:noProof w:val="0"/>
        </w:rPr>
        <w:t>Focus on the highest energy consuming process</w:t>
      </w:r>
      <w:r w:rsidR="007B6D3D" w:rsidRPr="00866D96">
        <w:rPr>
          <w:noProof w:val="0"/>
        </w:rPr>
        <w:t>es</w:t>
      </w:r>
      <w:r w:rsidRPr="00866D96">
        <w:rPr>
          <w:noProof w:val="0"/>
        </w:rPr>
        <w:t xml:space="preserve"> – tobacco curing, tea drying, irrigation water pumping</w:t>
      </w:r>
      <w:r w:rsidR="00180601" w:rsidRPr="00866D96">
        <w:rPr>
          <w:noProof w:val="0"/>
        </w:rPr>
        <w:t>.</w:t>
      </w:r>
    </w:p>
    <w:p w14:paraId="38DD3EB2" w14:textId="77777777" w:rsidR="00831A6B" w:rsidRPr="006122EE" w:rsidRDefault="00831A6B" w:rsidP="00B53E51">
      <w:pPr>
        <w:spacing w:line="276" w:lineRule="auto"/>
      </w:pPr>
      <w:bookmarkStart w:id="75" w:name="_Toc453606944"/>
      <w:r w:rsidRPr="006122EE">
        <w:rPr>
          <w:b/>
          <w:color w:val="92D400" w:themeColor="accent2"/>
          <w:sz w:val="24"/>
        </w:rPr>
        <w:t>Supply-side</w:t>
      </w:r>
      <w:bookmarkEnd w:id="75"/>
    </w:p>
    <w:p w14:paraId="1ABB1426" w14:textId="77777777" w:rsidR="00831A6B" w:rsidRPr="00866D96" w:rsidRDefault="00831A6B" w:rsidP="00B53E51">
      <w:pPr>
        <w:pStyle w:val="DBulletlevel1"/>
        <w:spacing w:line="276" w:lineRule="auto"/>
        <w:rPr>
          <w:noProof w:val="0"/>
        </w:rPr>
      </w:pPr>
      <w:r w:rsidRPr="00866D96">
        <w:rPr>
          <w:noProof w:val="0"/>
        </w:rPr>
        <w:t>Revitalization and upgrade of the existing transmission network</w:t>
      </w:r>
      <w:r w:rsidR="00180601" w:rsidRPr="00866D96">
        <w:rPr>
          <w:noProof w:val="0"/>
        </w:rPr>
        <w:t>.</w:t>
      </w:r>
    </w:p>
    <w:p w14:paraId="1600B559" w14:textId="77777777" w:rsidR="00831A6B" w:rsidRPr="00866D96" w:rsidRDefault="00831A6B" w:rsidP="00B53E51">
      <w:pPr>
        <w:pStyle w:val="DBulletlevel1"/>
        <w:spacing w:line="276" w:lineRule="auto"/>
        <w:rPr>
          <w:noProof w:val="0"/>
        </w:rPr>
      </w:pPr>
      <w:r w:rsidRPr="00866D96">
        <w:rPr>
          <w:noProof w:val="0"/>
        </w:rPr>
        <w:t>Reinforcement of the existing electricity distribution network through upgrades of substations and installation of modern communication equipment</w:t>
      </w:r>
      <w:r w:rsidR="00180601" w:rsidRPr="00866D96">
        <w:rPr>
          <w:noProof w:val="0"/>
        </w:rPr>
        <w:t>.</w:t>
      </w:r>
    </w:p>
    <w:p w14:paraId="3439CC02" w14:textId="77777777" w:rsidR="00831A6B" w:rsidRPr="00866D96" w:rsidRDefault="00831A6B" w:rsidP="00B53E51">
      <w:pPr>
        <w:pStyle w:val="DBulletlevel1"/>
        <w:spacing w:line="276" w:lineRule="auto"/>
        <w:rPr>
          <w:noProof w:val="0"/>
        </w:rPr>
      </w:pPr>
      <w:r w:rsidRPr="00866D96">
        <w:rPr>
          <w:noProof w:val="0"/>
          <w:lang w:eastAsia="en-US"/>
        </w:rPr>
        <w:t>Rehabilitation</w:t>
      </w:r>
      <w:r w:rsidRPr="00866D96">
        <w:rPr>
          <w:noProof w:val="0"/>
        </w:rPr>
        <w:t xml:space="preserve"> of the existing power plants</w:t>
      </w:r>
      <w:r w:rsidR="00180601" w:rsidRPr="00866D96">
        <w:rPr>
          <w:noProof w:val="0"/>
        </w:rPr>
        <w:t>.</w:t>
      </w:r>
    </w:p>
    <w:p w14:paraId="285436CE" w14:textId="77777777" w:rsidR="00831A6B" w:rsidRPr="006122EE" w:rsidRDefault="00831A6B" w:rsidP="00B53E51">
      <w:pPr>
        <w:spacing w:line="276" w:lineRule="auto"/>
      </w:pPr>
      <w:bookmarkStart w:id="76" w:name="_Toc453606945"/>
      <w:r w:rsidRPr="006122EE">
        <w:rPr>
          <w:b/>
          <w:color w:val="92D400" w:themeColor="accent2"/>
          <w:sz w:val="24"/>
        </w:rPr>
        <w:t>Institutional approach</w:t>
      </w:r>
      <w:bookmarkEnd w:id="76"/>
    </w:p>
    <w:p w14:paraId="41C73AA7" w14:textId="77777777" w:rsidR="00831A6B" w:rsidRPr="006122EE" w:rsidRDefault="00711DF9" w:rsidP="00B53E51">
      <w:pPr>
        <w:spacing w:line="276" w:lineRule="auto"/>
        <w:rPr>
          <w:lang w:eastAsia="fr-FR"/>
        </w:rPr>
      </w:pPr>
      <w:r w:rsidRPr="006122EE">
        <w:rPr>
          <w:lang w:eastAsia="fr-FR"/>
        </w:rPr>
        <w:t>In the longer run (up to 2023) e</w:t>
      </w:r>
      <w:r w:rsidR="00831A6B" w:rsidRPr="006122EE">
        <w:rPr>
          <w:lang w:eastAsia="fr-FR"/>
        </w:rPr>
        <w:t xml:space="preserve">stablish a National EE and RE </w:t>
      </w:r>
      <w:r w:rsidR="009C6C5F" w:rsidRPr="006122EE">
        <w:rPr>
          <w:lang w:eastAsia="fr-FR"/>
        </w:rPr>
        <w:t xml:space="preserve">committee </w:t>
      </w:r>
      <w:r w:rsidR="00180601" w:rsidRPr="006122EE">
        <w:rPr>
          <w:lang w:eastAsia="fr-FR"/>
        </w:rPr>
        <w:t>to:</w:t>
      </w:r>
    </w:p>
    <w:p w14:paraId="1321ECE4" w14:textId="77777777" w:rsidR="00831A6B" w:rsidRPr="00866D96" w:rsidRDefault="00831A6B" w:rsidP="00B53E51">
      <w:pPr>
        <w:pStyle w:val="DBulletlevel1"/>
        <w:spacing w:line="276" w:lineRule="auto"/>
        <w:rPr>
          <w:noProof w:val="0"/>
        </w:rPr>
      </w:pPr>
      <w:r w:rsidRPr="00866D96">
        <w:rPr>
          <w:noProof w:val="0"/>
        </w:rPr>
        <w:t>Supervise and follow the achievement of the nationally determined annual targets for energy savings and RE potential utilization</w:t>
      </w:r>
      <w:r w:rsidR="00180601" w:rsidRPr="00866D96">
        <w:rPr>
          <w:noProof w:val="0"/>
        </w:rPr>
        <w:t>.</w:t>
      </w:r>
    </w:p>
    <w:p w14:paraId="1789A09A" w14:textId="77777777" w:rsidR="00831A6B" w:rsidRPr="00866D96" w:rsidRDefault="00831A6B" w:rsidP="00B53E51">
      <w:pPr>
        <w:pStyle w:val="DBulletlevel1"/>
        <w:spacing w:line="276" w:lineRule="auto"/>
        <w:rPr>
          <w:noProof w:val="0"/>
        </w:rPr>
      </w:pPr>
      <w:r w:rsidRPr="00866D96">
        <w:rPr>
          <w:noProof w:val="0"/>
        </w:rPr>
        <w:t>Actively participate in the development of drafts for EE and RE related national legislation and bylaws</w:t>
      </w:r>
      <w:r w:rsidR="00180601" w:rsidRPr="00866D96">
        <w:rPr>
          <w:noProof w:val="0"/>
        </w:rPr>
        <w:t>.</w:t>
      </w:r>
    </w:p>
    <w:p w14:paraId="15E2E926" w14:textId="77777777" w:rsidR="00831A6B" w:rsidRPr="00866D96" w:rsidRDefault="00831A6B" w:rsidP="00B53E51">
      <w:pPr>
        <w:pStyle w:val="DBulletlevel1"/>
        <w:spacing w:line="276" w:lineRule="auto"/>
        <w:rPr>
          <w:noProof w:val="0"/>
        </w:rPr>
      </w:pPr>
      <w:r w:rsidRPr="00866D96">
        <w:rPr>
          <w:noProof w:val="0"/>
        </w:rPr>
        <w:t>Develop national energy savings measurement methodologies (based on internationally accepted protocols)</w:t>
      </w:r>
      <w:r w:rsidR="00180601" w:rsidRPr="00866D96">
        <w:rPr>
          <w:noProof w:val="0"/>
        </w:rPr>
        <w:t>.</w:t>
      </w:r>
    </w:p>
    <w:p w14:paraId="3D1708EF" w14:textId="77777777" w:rsidR="00831A6B" w:rsidRPr="00866D96" w:rsidRDefault="00831A6B" w:rsidP="00B53E51">
      <w:pPr>
        <w:pStyle w:val="DBulletlevel1"/>
        <w:spacing w:line="276" w:lineRule="auto"/>
        <w:rPr>
          <w:noProof w:val="0"/>
        </w:rPr>
      </w:pPr>
      <w:r w:rsidRPr="00866D96">
        <w:rPr>
          <w:noProof w:val="0"/>
        </w:rPr>
        <w:t>Issue national energy auditing guidelines for buildings and industrial processes</w:t>
      </w:r>
      <w:r w:rsidR="00180601" w:rsidRPr="00866D96">
        <w:rPr>
          <w:noProof w:val="0"/>
        </w:rPr>
        <w:t>.</w:t>
      </w:r>
    </w:p>
    <w:p w14:paraId="37BE8028" w14:textId="77777777" w:rsidR="00831A6B" w:rsidRPr="00866D96" w:rsidRDefault="00831A6B" w:rsidP="00B53E51">
      <w:pPr>
        <w:pStyle w:val="DBulletlevel1"/>
        <w:spacing w:line="276" w:lineRule="auto"/>
        <w:rPr>
          <w:noProof w:val="0"/>
        </w:rPr>
      </w:pPr>
      <w:r w:rsidRPr="00866D96">
        <w:rPr>
          <w:noProof w:val="0"/>
        </w:rPr>
        <w:t>Together with the MoNREM determine specific EE targets for large energy consumers</w:t>
      </w:r>
      <w:r w:rsidR="00180601" w:rsidRPr="00866D96">
        <w:rPr>
          <w:noProof w:val="0"/>
        </w:rPr>
        <w:t>.</w:t>
      </w:r>
    </w:p>
    <w:p w14:paraId="22475560" w14:textId="77777777" w:rsidR="00831A6B" w:rsidRPr="00866D96" w:rsidRDefault="00831A6B" w:rsidP="00B53E51">
      <w:pPr>
        <w:pStyle w:val="DBulletlevel1"/>
        <w:spacing w:line="276" w:lineRule="auto"/>
        <w:rPr>
          <w:noProof w:val="0"/>
        </w:rPr>
      </w:pPr>
      <w:r w:rsidRPr="00866D96">
        <w:rPr>
          <w:noProof w:val="0"/>
        </w:rPr>
        <w:t>Collect and record energy savings related data and follow for compliance with the specific EE targets set for large energy consumers</w:t>
      </w:r>
      <w:r w:rsidR="00180601" w:rsidRPr="00866D96">
        <w:rPr>
          <w:noProof w:val="0"/>
        </w:rPr>
        <w:t>.</w:t>
      </w:r>
    </w:p>
    <w:p w14:paraId="25A30B5C" w14:textId="77777777" w:rsidR="00831A6B" w:rsidRPr="00866D96" w:rsidRDefault="00831A6B" w:rsidP="00B53E51">
      <w:pPr>
        <w:pStyle w:val="DBulletlevel1"/>
        <w:spacing w:line="276" w:lineRule="auto"/>
        <w:rPr>
          <w:noProof w:val="0"/>
        </w:rPr>
      </w:pPr>
      <w:r w:rsidRPr="00866D96">
        <w:rPr>
          <w:noProof w:val="0"/>
        </w:rPr>
        <w:t>Issue certificates for energy auditors and maintain a list of certified auditors and auditing firms</w:t>
      </w:r>
      <w:r w:rsidR="00180601" w:rsidRPr="00866D96">
        <w:rPr>
          <w:noProof w:val="0"/>
        </w:rPr>
        <w:t>.</w:t>
      </w:r>
    </w:p>
    <w:p w14:paraId="7AF786D5" w14:textId="77777777" w:rsidR="00666BF3" w:rsidRPr="00866D96" w:rsidRDefault="00831A6B" w:rsidP="00B53E51">
      <w:pPr>
        <w:pStyle w:val="DBulletlevel1"/>
        <w:spacing w:line="276" w:lineRule="auto"/>
        <w:rPr>
          <w:noProof w:val="0"/>
        </w:rPr>
      </w:pPr>
      <w:r w:rsidRPr="00866D96">
        <w:rPr>
          <w:noProof w:val="0"/>
        </w:rPr>
        <w:t>Organize energy management and energy audit training events</w:t>
      </w:r>
      <w:r w:rsidR="00180601" w:rsidRPr="00866D96">
        <w:rPr>
          <w:noProof w:val="0"/>
        </w:rPr>
        <w:t>.</w:t>
      </w:r>
    </w:p>
    <w:p w14:paraId="04FCA559" w14:textId="77777777" w:rsidR="00831A6B" w:rsidRPr="006122EE" w:rsidRDefault="00831A6B" w:rsidP="00B53E51">
      <w:pPr>
        <w:spacing w:line="276" w:lineRule="auto"/>
      </w:pPr>
      <w:bookmarkStart w:id="77" w:name="_Toc453606946"/>
      <w:r w:rsidRPr="006122EE">
        <w:rPr>
          <w:b/>
          <w:color w:val="92D400" w:themeColor="accent2"/>
          <w:sz w:val="24"/>
        </w:rPr>
        <w:t>New Energy efficiency law</w:t>
      </w:r>
      <w:bookmarkEnd w:id="77"/>
    </w:p>
    <w:p w14:paraId="6B60067F" w14:textId="77777777" w:rsidR="00831A6B" w:rsidRPr="00866D96" w:rsidRDefault="00831A6B" w:rsidP="00B53E51">
      <w:pPr>
        <w:pStyle w:val="DBulletlevel1"/>
        <w:spacing w:line="276" w:lineRule="auto"/>
        <w:rPr>
          <w:noProof w:val="0"/>
        </w:rPr>
      </w:pPr>
      <w:r w:rsidRPr="00866D96">
        <w:rPr>
          <w:noProof w:val="0"/>
        </w:rPr>
        <w:t>Energy management regulations</w:t>
      </w:r>
      <w:r w:rsidR="00180601" w:rsidRPr="00866D96">
        <w:rPr>
          <w:noProof w:val="0"/>
        </w:rPr>
        <w:t>.</w:t>
      </w:r>
    </w:p>
    <w:p w14:paraId="5DE614B2" w14:textId="77777777" w:rsidR="00831A6B" w:rsidRPr="00866D96" w:rsidRDefault="00831A6B" w:rsidP="00B53E51">
      <w:pPr>
        <w:pStyle w:val="DBulletlevel1"/>
        <w:spacing w:line="276" w:lineRule="auto"/>
        <w:rPr>
          <w:noProof w:val="0"/>
        </w:rPr>
      </w:pPr>
      <w:r w:rsidRPr="00866D96">
        <w:rPr>
          <w:noProof w:val="0"/>
        </w:rPr>
        <w:t>MEPS</w:t>
      </w:r>
      <w:r w:rsidR="00180601" w:rsidRPr="00866D96">
        <w:rPr>
          <w:noProof w:val="0"/>
        </w:rPr>
        <w:t>.</w:t>
      </w:r>
    </w:p>
    <w:p w14:paraId="5EB4D37E" w14:textId="77777777" w:rsidR="00831A6B" w:rsidRPr="00866D96" w:rsidRDefault="00831A6B" w:rsidP="00B53E51">
      <w:pPr>
        <w:pStyle w:val="DBulletlevel1"/>
        <w:spacing w:line="276" w:lineRule="auto"/>
        <w:rPr>
          <w:noProof w:val="0"/>
        </w:rPr>
      </w:pPr>
      <w:r w:rsidRPr="00866D96">
        <w:rPr>
          <w:noProof w:val="0"/>
        </w:rPr>
        <w:t>Promote green building code</w:t>
      </w:r>
      <w:r w:rsidR="00180601" w:rsidRPr="00866D96">
        <w:rPr>
          <w:noProof w:val="0"/>
        </w:rPr>
        <w:t>.</w:t>
      </w:r>
      <w:r w:rsidRPr="00866D96">
        <w:rPr>
          <w:noProof w:val="0"/>
        </w:rPr>
        <w:t xml:space="preserve"> </w:t>
      </w:r>
    </w:p>
    <w:p w14:paraId="5A227904" w14:textId="77777777" w:rsidR="00831A6B" w:rsidRPr="00866D96" w:rsidRDefault="00831A6B" w:rsidP="00B53E51">
      <w:pPr>
        <w:pStyle w:val="DBulletlevel1"/>
        <w:spacing w:line="276" w:lineRule="auto"/>
        <w:rPr>
          <w:noProof w:val="0"/>
        </w:rPr>
      </w:pPr>
      <w:r w:rsidRPr="00866D96">
        <w:rPr>
          <w:noProof w:val="0"/>
        </w:rPr>
        <w:t>National EE audit and action plan</w:t>
      </w:r>
      <w:r w:rsidR="00180601" w:rsidRPr="00866D96">
        <w:rPr>
          <w:noProof w:val="0"/>
        </w:rPr>
        <w:t>.</w:t>
      </w:r>
    </w:p>
    <w:p w14:paraId="77896C09" w14:textId="77777777" w:rsidR="005F27B0" w:rsidRPr="00866D96" w:rsidRDefault="005F27B0" w:rsidP="00B53E51">
      <w:pPr>
        <w:pStyle w:val="BTitle3"/>
        <w:spacing w:line="276" w:lineRule="auto"/>
        <w:rPr>
          <w:noProof w:val="0"/>
          <w:lang w:val="en-GB"/>
        </w:rPr>
      </w:pPr>
      <w:bookmarkStart w:id="78" w:name="_Toc447216984"/>
      <w:bookmarkStart w:id="79" w:name="_Toc481614886"/>
      <w:r w:rsidRPr="00866D96">
        <w:rPr>
          <w:noProof w:val="0"/>
          <w:lang w:val="en-GB"/>
        </w:rPr>
        <w:t>Transportation – Biofuels</w:t>
      </w:r>
      <w:bookmarkEnd w:id="78"/>
      <w:r w:rsidRPr="00866D96">
        <w:rPr>
          <w:noProof w:val="0"/>
          <w:lang w:val="en-GB"/>
        </w:rPr>
        <w:t xml:space="preserve"> and EV’s</w:t>
      </w:r>
      <w:bookmarkEnd w:id="79"/>
    </w:p>
    <w:p w14:paraId="6E029073" w14:textId="77777777" w:rsidR="005F27B0" w:rsidRPr="00866D96" w:rsidRDefault="005F27B0" w:rsidP="00B53E51">
      <w:pPr>
        <w:pStyle w:val="DBulletlevel1"/>
        <w:spacing w:line="276" w:lineRule="auto"/>
        <w:rPr>
          <w:noProof w:val="0"/>
        </w:rPr>
      </w:pPr>
      <w:r w:rsidRPr="00866D96">
        <w:rPr>
          <w:noProof w:val="0"/>
        </w:rPr>
        <w:t>Establish a biofuels inter-ministerial coordinating committee to promulgate and evaluate biofuels policies</w:t>
      </w:r>
      <w:r w:rsidR="00180601" w:rsidRPr="00866D96">
        <w:rPr>
          <w:noProof w:val="0"/>
        </w:rPr>
        <w:t>.</w:t>
      </w:r>
    </w:p>
    <w:p w14:paraId="736C7D4A" w14:textId="77777777" w:rsidR="005F27B0" w:rsidRPr="00866D96" w:rsidRDefault="005F27B0" w:rsidP="00B53E51">
      <w:pPr>
        <w:pStyle w:val="DBulletlevel1"/>
        <w:spacing w:line="276" w:lineRule="auto"/>
        <w:rPr>
          <w:noProof w:val="0"/>
        </w:rPr>
      </w:pPr>
      <w:r w:rsidRPr="00866D96">
        <w:rPr>
          <w:noProof w:val="0"/>
        </w:rPr>
        <w:t>Reinforce or introduce incentives for biofuel production</w:t>
      </w:r>
      <w:r w:rsidR="00180601" w:rsidRPr="00866D96">
        <w:rPr>
          <w:noProof w:val="0"/>
        </w:rPr>
        <w:t>.</w:t>
      </w:r>
    </w:p>
    <w:p w14:paraId="240F8748" w14:textId="77777777" w:rsidR="005F27B0" w:rsidRPr="00866D96" w:rsidRDefault="005F27B0" w:rsidP="00B53E51">
      <w:pPr>
        <w:pStyle w:val="DBulletlevel1"/>
        <w:spacing w:line="276" w:lineRule="auto"/>
        <w:rPr>
          <w:noProof w:val="0"/>
        </w:rPr>
      </w:pPr>
      <w:r w:rsidRPr="00866D96">
        <w:rPr>
          <w:noProof w:val="0"/>
        </w:rPr>
        <w:t>Promote the use of biofuels through pricing policy, tax incentives for users, price floor for producers and facilitate biofuel distribution</w:t>
      </w:r>
      <w:r w:rsidR="00180601" w:rsidRPr="00866D96">
        <w:rPr>
          <w:noProof w:val="0"/>
        </w:rPr>
        <w:t>.</w:t>
      </w:r>
    </w:p>
    <w:p w14:paraId="02C59154" w14:textId="77777777" w:rsidR="005F27B0" w:rsidRPr="00866D96" w:rsidRDefault="005F27B0" w:rsidP="00B53E51">
      <w:pPr>
        <w:pStyle w:val="DBulletlevel1"/>
        <w:spacing w:line="276" w:lineRule="auto"/>
        <w:rPr>
          <w:noProof w:val="0"/>
        </w:rPr>
      </w:pPr>
      <w:r w:rsidRPr="00866D96">
        <w:rPr>
          <w:noProof w:val="0"/>
        </w:rPr>
        <w:t>Promote EV’s, especially electric buses and trams in the near-term</w:t>
      </w:r>
      <w:r w:rsidR="00180601" w:rsidRPr="00866D96">
        <w:rPr>
          <w:noProof w:val="0"/>
        </w:rPr>
        <w:t>.</w:t>
      </w:r>
    </w:p>
    <w:p w14:paraId="7064F185" w14:textId="77777777" w:rsidR="005F27B0" w:rsidRPr="00866D96" w:rsidRDefault="005F27B0" w:rsidP="00B53E51">
      <w:pPr>
        <w:pStyle w:val="DBulletlevel1"/>
        <w:spacing w:line="276" w:lineRule="auto"/>
        <w:rPr>
          <w:noProof w:val="0"/>
        </w:rPr>
      </w:pPr>
      <w:r w:rsidRPr="00866D96">
        <w:rPr>
          <w:noProof w:val="0"/>
        </w:rPr>
        <w:t>Promote biogas for transportation</w:t>
      </w:r>
      <w:r w:rsidR="00180601" w:rsidRPr="00866D96">
        <w:rPr>
          <w:noProof w:val="0"/>
        </w:rPr>
        <w:t>.</w:t>
      </w:r>
    </w:p>
    <w:p w14:paraId="6B926963" w14:textId="77777777" w:rsidR="005F27B0" w:rsidRPr="00866D96" w:rsidRDefault="005F27B0" w:rsidP="00B53E51">
      <w:pPr>
        <w:pStyle w:val="DBulletlevel1"/>
        <w:spacing w:line="276" w:lineRule="auto"/>
        <w:rPr>
          <w:noProof w:val="0"/>
        </w:rPr>
      </w:pPr>
      <w:r w:rsidRPr="00866D96">
        <w:rPr>
          <w:noProof w:val="0"/>
        </w:rPr>
        <w:t xml:space="preserve">Capitalise on research and development and experience in other countries on other feedstocks (other than jatropha &amp; sugarcane). </w:t>
      </w:r>
    </w:p>
    <w:p w14:paraId="6AE1E549" w14:textId="77777777" w:rsidR="005F27B0" w:rsidRPr="00866D96" w:rsidRDefault="005F27B0" w:rsidP="00B53E51">
      <w:pPr>
        <w:pStyle w:val="BTitle3"/>
        <w:spacing w:line="276" w:lineRule="auto"/>
        <w:rPr>
          <w:noProof w:val="0"/>
          <w:lang w:val="en-GB"/>
        </w:rPr>
      </w:pPr>
      <w:bookmarkStart w:id="80" w:name="_Toc447216985"/>
      <w:bookmarkStart w:id="81" w:name="_Toc481614887"/>
      <w:r w:rsidRPr="00866D96">
        <w:rPr>
          <w:noProof w:val="0"/>
          <w:lang w:val="en-GB"/>
        </w:rPr>
        <w:t>Urban Transportation</w:t>
      </w:r>
      <w:bookmarkEnd w:id="80"/>
      <w:bookmarkEnd w:id="81"/>
    </w:p>
    <w:p w14:paraId="77261821" w14:textId="77777777" w:rsidR="005F27B0" w:rsidRPr="00866D96" w:rsidRDefault="005F27B0" w:rsidP="00B53E51">
      <w:pPr>
        <w:pStyle w:val="DBulletlevel1"/>
        <w:spacing w:line="276" w:lineRule="auto"/>
        <w:rPr>
          <w:noProof w:val="0"/>
        </w:rPr>
      </w:pPr>
      <w:r w:rsidRPr="00866D96">
        <w:rPr>
          <w:noProof w:val="0"/>
        </w:rPr>
        <w:t>Phase out mini-buses</w:t>
      </w:r>
      <w:r w:rsidR="00180601" w:rsidRPr="00866D96">
        <w:rPr>
          <w:noProof w:val="0"/>
        </w:rPr>
        <w:t>.</w:t>
      </w:r>
    </w:p>
    <w:p w14:paraId="0B789883" w14:textId="77777777" w:rsidR="005F27B0" w:rsidRPr="00866D96" w:rsidRDefault="005F27B0" w:rsidP="00B53E51">
      <w:pPr>
        <w:pStyle w:val="DBulletlevel1"/>
        <w:spacing w:line="276" w:lineRule="auto"/>
        <w:rPr>
          <w:noProof w:val="0"/>
        </w:rPr>
      </w:pPr>
      <w:r w:rsidRPr="00866D96">
        <w:rPr>
          <w:noProof w:val="0"/>
        </w:rPr>
        <w:t>Develop a public transportation system</w:t>
      </w:r>
      <w:r w:rsidR="00180601" w:rsidRPr="00866D96">
        <w:rPr>
          <w:noProof w:val="0"/>
        </w:rPr>
        <w:t>.</w:t>
      </w:r>
    </w:p>
    <w:p w14:paraId="2C7F8A12" w14:textId="77777777" w:rsidR="005F27B0" w:rsidRPr="00866D96" w:rsidRDefault="005F27B0" w:rsidP="00B53E51">
      <w:pPr>
        <w:pStyle w:val="DBulletlevel1"/>
        <w:spacing w:line="276" w:lineRule="auto"/>
        <w:rPr>
          <w:noProof w:val="0"/>
        </w:rPr>
      </w:pPr>
      <w:r w:rsidRPr="00866D96">
        <w:rPr>
          <w:noProof w:val="0"/>
        </w:rPr>
        <w:t>Use labels and standards through the integration of EU minimum emission standards for all registered vehicles</w:t>
      </w:r>
      <w:r w:rsidR="008E69B8" w:rsidRPr="00866D96">
        <w:rPr>
          <w:noProof w:val="0"/>
        </w:rPr>
        <w:t>.</w:t>
      </w:r>
    </w:p>
    <w:p w14:paraId="33E09C06" w14:textId="77777777" w:rsidR="005F27B0" w:rsidRPr="00866D96" w:rsidRDefault="005F27B0" w:rsidP="00B53E51">
      <w:pPr>
        <w:pStyle w:val="DBulletlevel1"/>
        <w:spacing w:line="276" w:lineRule="auto"/>
        <w:rPr>
          <w:noProof w:val="0"/>
        </w:rPr>
      </w:pPr>
      <w:r w:rsidRPr="00866D96">
        <w:rPr>
          <w:noProof w:val="0"/>
        </w:rPr>
        <w:t>Promote an appropriate car maintenance</w:t>
      </w:r>
      <w:r w:rsidR="008E69B8" w:rsidRPr="00866D96">
        <w:rPr>
          <w:noProof w:val="0"/>
        </w:rPr>
        <w:t>.</w:t>
      </w:r>
    </w:p>
    <w:p w14:paraId="4ACE5098" w14:textId="77777777" w:rsidR="005F27B0" w:rsidRPr="00866D96" w:rsidRDefault="005F27B0" w:rsidP="00B53E51">
      <w:pPr>
        <w:pStyle w:val="DBulletlevel1"/>
        <w:spacing w:line="276" w:lineRule="auto"/>
        <w:rPr>
          <w:noProof w:val="0"/>
        </w:rPr>
      </w:pPr>
      <w:r w:rsidRPr="00866D96">
        <w:rPr>
          <w:noProof w:val="0"/>
        </w:rPr>
        <w:t>Improve road capacity and maintenance</w:t>
      </w:r>
      <w:r w:rsidR="008E69B8" w:rsidRPr="00866D96">
        <w:rPr>
          <w:noProof w:val="0"/>
        </w:rPr>
        <w:t>.</w:t>
      </w:r>
    </w:p>
    <w:p w14:paraId="67F6BCD2" w14:textId="77777777" w:rsidR="005F27B0" w:rsidRPr="00866D96" w:rsidRDefault="005F27B0" w:rsidP="00B53E51">
      <w:pPr>
        <w:pStyle w:val="DBulletlevel1"/>
        <w:spacing w:line="276" w:lineRule="auto"/>
        <w:rPr>
          <w:noProof w:val="0"/>
        </w:rPr>
      </w:pPr>
      <w:r w:rsidRPr="00866D96">
        <w:rPr>
          <w:noProof w:val="0"/>
        </w:rPr>
        <w:t>Develop urban and suburban rail transportation system</w:t>
      </w:r>
      <w:r w:rsidR="008E69B8" w:rsidRPr="00866D96">
        <w:rPr>
          <w:noProof w:val="0"/>
        </w:rPr>
        <w:t>.</w:t>
      </w:r>
    </w:p>
    <w:p w14:paraId="7FB6A9D0" w14:textId="77777777" w:rsidR="005F27B0" w:rsidRPr="00866D96" w:rsidRDefault="005F27B0" w:rsidP="00B53E51">
      <w:pPr>
        <w:pStyle w:val="DBulletlevel1"/>
        <w:spacing w:line="276" w:lineRule="auto"/>
        <w:rPr>
          <w:noProof w:val="0"/>
        </w:rPr>
      </w:pPr>
      <w:r w:rsidRPr="00866D96">
        <w:rPr>
          <w:noProof w:val="0"/>
        </w:rPr>
        <w:t>Support the development of non-motorised transport</w:t>
      </w:r>
      <w:r w:rsidR="008E69B8" w:rsidRPr="00866D96">
        <w:rPr>
          <w:noProof w:val="0"/>
        </w:rPr>
        <w:t>.</w:t>
      </w:r>
    </w:p>
    <w:p w14:paraId="1D9D957D" w14:textId="77777777" w:rsidR="005F27B0" w:rsidRPr="00866D96" w:rsidRDefault="005F27B0" w:rsidP="00B53E51">
      <w:pPr>
        <w:pStyle w:val="DBulletlevel1"/>
        <w:spacing w:line="276" w:lineRule="auto"/>
        <w:rPr>
          <w:noProof w:val="0"/>
        </w:rPr>
      </w:pPr>
      <w:r w:rsidRPr="00866D96">
        <w:rPr>
          <w:noProof w:val="0"/>
        </w:rPr>
        <w:t>Develop land use planning policies</w:t>
      </w:r>
      <w:r w:rsidR="008E69B8" w:rsidRPr="00866D96">
        <w:rPr>
          <w:noProof w:val="0"/>
        </w:rPr>
        <w:t>.</w:t>
      </w:r>
    </w:p>
    <w:p w14:paraId="417C98E1" w14:textId="77777777" w:rsidR="00831A6B" w:rsidRPr="00866D96" w:rsidRDefault="005F27B0" w:rsidP="00B53E51">
      <w:pPr>
        <w:pStyle w:val="DBulletlevel1"/>
        <w:spacing w:line="276" w:lineRule="auto"/>
        <w:rPr>
          <w:noProof w:val="0"/>
        </w:rPr>
      </w:pPr>
      <w:r w:rsidRPr="00866D96">
        <w:rPr>
          <w:noProof w:val="0"/>
        </w:rPr>
        <w:t>Improve efficiency of traffic flow</w:t>
      </w:r>
      <w:r w:rsidR="008E69B8" w:rsidRPr="00866D96">
        <w:rPr>
          <w:noProof w:val="0"/>
        </w:rPr>
        <w:t>.</w:t>
      </w:r>
    </w:p>
    <w:p w14:paraId="6401B99E" w14:textId="77777777" w:rsidR="00831A6B" w:rsidRPr="006122EE" w:rsidRDefault="00831A6B" w:rsidP="00B53E51">
      <w:pPr>
        <w:spacing w:line="276" w:lineRule="auto"/>
      </w:pPr>
      <w:bookmarkStart w:id="82" w:name="_Toc453606949"/>
      <w:bookmarkStart w:id="83" w:name="_Toc447216986"/>
      <w:r w:rsidRPr="006122EE">
        <w:rPr>
          <w:b/>
          <w:color w:val="92D400" w:themeColor="accent2"/>
          <w:sz w:val="24"/>
        </w:rPr>
        <w:t>Harmonize decision making</w:t>
      </w:r>
      <w:bookmarkEnd w:id="82"/>
    </w:p>
    <w:p w14:paraId="313ABFFC" w14:textId="77777777" w:rsidR="00831A6B" w:rsidRPr="00866D96" w:rsidRDefault="00831A6B" w:rsidP="00B53E51">
      <w:pPr>
        <w:pStyle w:val="DBulletlevel1"/>
        <w:spacing w:line="276" w:lineRule="auto"/>
        <w:rPr>
          <w:noProof w:val="0"/>
        </w:rPr>
      </w:pPr>
      <w:r w:rsidRPr="00866D96">
        <w:rPr>
          <w:noProof w:val="0"/>
        </w:rPr>
        <w:t>Establish inter-ministerial committee with authority to develop and implement the transport planning measures</w:t>
      </w:r>
      <w:r w:rsidR="008E69B8" w:rsidRPr="00866D96">
        <w:rPr>
          <w:noProof w:val="0"/>
        </w:rPr>
        <w:t>.</w:t>
      </w:r>
    </w:p>
    <w:p w14:paraId="35E3FB5E" w14:textId="77777777" w:rsidR="00831A6B" w:rsidRPr="006122EE" w:rsidRDefault="00831A6B" w:rsidP="00B53E51">
      <w:pPr>
        <w:spacing w:line="276" w:lineRule="auto"/>
      </w:pPr>
      <w:bookmarkStart w:id="84" w:name="_Toc453606950"/>
      <w:r w:rsidRPr="006122EE">
        <w:rPr>
          <w:b/>
          <w:color w:val="92D400" w:themeColor="accent2"/>
          <w:sz w:val="24"/>
        </w:rPr>
        <w:t>Mass transit system</w:t>
      </w:r>
      <w:bookmarkEnd w:id="84"/>
    </w:p>
    <w:p w14:paraId="062F104E" w14:textId="77777777" w:rsidR="00831A6B" w:rsidRPr="00866D96" w:rsidRDefault="00831A6B" w:rsidP="00B53E51">
      <w:pPr>
        <w:pStyle w:val="DBulletlevel1"/>
        <w:spacing w:line="276" w:lineRule="auto"/>
        <w:rPr>
          <w:noProof w:val="0"/>
        </w:rPr>
      </w:pPr>
      <w:r w:rsidRPr="00866D96">
        <w:rPr>
          <w:noProof w:val="0"/>
        </w:rPr>
        <w:t>Phase out mini</w:t>
      </w:r>
      <w:r w:rsidR="005155F1" w:rsidRPr="00866D96">
        <w:rPr>
          <w:noProof w:val="0"/>
        </w:rPr>
        <w:t>buses</w:t>
      </w:r>
      <w:r w:rsidRPr="00866D96">
        <w:rPr>
          <w:noProof w:val="0"/>
        </w:rPr>
        <w:t xml:space="preserve"> and create a public road transportation system</w:t>
      </w:r>
      <w:r w:rsidR="008E69B8" w:rsidRPr="00866D96">
        <w:rPr>
          <w:noProof w:val="0"/>
        </w:rPr>
        <w:t>.</w:t>
      </w:r>
    </w:p>
    <w:p w14:paraId="56913AEE" w14:textId="77777777" w:rsidR="00831A6B" w:rsidRPr="006122EE" w:rsidRDefault="00831A6B" w:rsidP="00B53E51">
      <w:pPr>
        <w:pStyle w:val="DBulletlevel1"/>
        <w:spacing w:line="276" w:lineRule="auto"/>
        <w:rPr>
          <w:noProof w:val="0"/>
        </w:rPr>
      </w:pPr>
      <w:r w:rsidRPr="006122EE">
        <w:rPr>
          <w:noProof w:val="0"/>
        </w:rPr>
        <w:t>Phase in a comprehensive public transportation system in major cities with a combination of large and small capacity buses to Blantyre, Lilongwe and Mzuzu including the establishment of dedicated bus lanes on the corridors with the highest ridership levels.</w:t>
      </w:r>
    </w:p>
    <w:p w14:paraId="1C8E97F3" w14:textId="77777777" w:rsidR="00831A6B" w:rsidRPr="006122EE" w:rsidRDefault="00831A6B" w:rsidP="00B53E51">
      <w:pPr>
        <w:pStyle w:val="DBulletlevel1"/>
        <w:spacing w:line="276" w:lineRule="auto"/>
        <w:rPr>
          <w:noProof w:val="0"/>
        </w:rPr>
      </w:pPr>
      <w:r w:rsidRPr="006122EE">
        <w:rPr>
          <w:noProof w:val="0"/>
        </w:rPr>
        <w:t xml:space="preserve">Prohibit the entrance of </w:t>
      </w:r>
      <w:r w:rsidR="005155F1" w:rsidRPr="006122EE">
        <w:rPr>
          <w:noProof w:val="0"/>
        </w:rPr>
        <w:t xml:space="preserve">minibuses </w:t>
      </w:r>
      <w:r w:rsidRPr="006122EE">
        <w:rPr>
          <w:noProof w:val="0"/>
        </w:rPr>
        <w:t>in city centres and other areas with high congestion</w:t>
      </w:r>
      <w:r w:rsidR="008E69B8" w:rsidRPr="006122EE">
        <w:rPr>
          <w:noProof w:val="0"/>
        </w:rPr>
        <w:t>.</w:t>
      </w:r>
    </w:p>
    <w:p w14:paraId="256816CD" w14:textId="77777777" w:rsidR="00831A6B" w:rsidRPr="006122EE" w:rsidRDefault="00831A6B" w:rsidP="00B53E51">
      <w:pPr>
        <w:spacing w:line="276" w:lineRule="auto"/>
      </w:pPr>
      <w:bookmarkStart w:id="85" w:name="_Toc453606951"/>
      <w:r w:rsidRPr="006122EE">
        <w:rPr>
          <w:b/>
          <w:color w:val="92D400" w:themeColor="accent2"/>
          <w:sz w:val="24"/>
        </w:rPr>
        <w:t>Establish a funding system for the transportation system</w:t>
      </w:r>
      <w:bookmarkEnd w:id="83"/>
      <w:bookmarkEnd w:id="85"/>
    </w:p>
    <w:p w14:paraId="253F81ED" w14:textId="77777777" w:rsidR="00831A6B" w:rsidRPr="00866D96" w:rsidRDefault="00831A6B" w:rsidP="00B53E51">
      <w:pPr>
        <w:pStyle w:val="DBulletlevel1"/>
        <w:spacing w:line="276" w:lineRule="auto"/>
        <w:rPr>
          <w:noProof w:val="0"/>
        </w:rPr>
      </w:pPr>
      <w:r w:rsidRPr="00866D96">
        <w:rPr>
          <w:noProof w:val="0"/>
        </w:rPr>
        <w:t>Mobilising funding from international organisations (e.g. UNIDO, UNEP, EU, World Bank) and individual countries</w:t>
      </w:r>
      <w:r w:rsidR="004C19C7" w:rsidRPr="00866D96">
        <w:rPr>
          <w:noProof w:val="0"/>
        </w:rPr>
        <w:t xml:space="preserve"> to support fuel-efficient transit options and sustainable urban transport planning</w:t>
      </w:r>
      <w:r w:rsidR="008E69B8" w:rsidRPr="00866D96">
        <w:rPr>
          <w:noProof w:val="0"/>
        </w:rPr>
        <w:t>.</w:t>
      </w:r>
    </w:p>
    <w:p w14:paraId="10683791" w14:textId="77777777" w:rsidR="00831A6B" w:rsidRPr="00866D96" w:rsidRDefault="00831A6B" w:rsidP="00B53E51">
      <w:pPr>
        <w:pStyle w:val="DBulletlevel1"/>
        <w:spacing w:line="276" w:lineRule="auto"/>
        <w:rPr>
          <w:noProof w:val="0"/>
        </w:rPr>
      </w:pPr>
      <w:r w:rsidRPr="00866D96">
        <w:rPr>
          <w:noProof w:val="0"/>
        </w:rPr>
        <w:t>Use of the levy on second-hand vehicles, coupled with an imposition of a levy on fuel sales and highway tolls to supporting mass transit and other transport-related activities</w:t>
      </w:r>
      <w:r w:rsidR="008E69B8" w:rsidRPr="00866D96">
        <w:rPr>
          <w:noProof w:val="0"/>
        </w:rPr>
        <w:t>.</w:t>
      </w:r>
    </w:p>
    <w:p w14:paraId="092880AF" w14:textId="77777777" w:rsidR="00831A6B" w:rsidRPr="00866D96" w:rsidRDefault="00831A6B" w:rsidP="00B53E51">
      <w:pPr>
        <w:pStyle w:val="DBulletlevel1"/>
        <w:spacing w:line="276" w:lineRule="auto"/>
        <w:rPr>
          <w:noProof w:val="0"/>
        </w:rPr>
      </w:pPr>
      <w:r w:rsidRPr="00866D96">
        <w:rPr>
          <w:noProof w:val="0"/>
        </w:rPr>
        <w:t>Direct funding from the state budget and private investors</w:t>
      </w:r>
      <w:r w:rsidR="008E69B8" w:rsidRPr="00866D96">
        <w:rPr>
          <w:noProof w:val="0"/>
        </w:rPr>
        <w:t>.</w:t>
      </w:r>
    </w:p>
    <w:p w14:paraId="71DD663B" w14:textId="77777777" w:rsidR="00831A6B" w:rsidRPr="00866D96" w:rsidRDefault="00831A6B" w:rsidP="00B53E51">
      <w:pPr>
        <w:pStyle w:val="DBulletlevel1"/>
        <w:spacing w:line="276" w:lineRule="auto"/>
        <w:rPr>
          <w:noProof w:val="0"/>
        </w:rPr>
      </w:pPr>
      <w:r w:rsidRPr="00866D96">
        <w:rPr>
          <w:noProof w:val="0"/>
        </w:rPr>
        <w:t>Provision of concession to associations and other private sector investors</w:t>
      </w:r>
      <w:r w:rsidR="008E69B8" w:rsidRPr="00866D96">
        <w:rPr>
          <w:noProof w:val="0"/>
        </w:rPr>
        <w:t>.</w:t>
      </w:r>
    </w:p>
    <w:p w14:paraId="55A7C92A" w14:textId="77777777" w:rsidR="00831A6B" w:rsidRPr="006122EE" w:rsidRDefault="00831A6B" w:rsidP="00B53E51">
      <w:pPr>
        <w:spacing w:line="276" w:lineRule="auto"/>
      </w:pPr>
      <w:bookmarkStart w:id="86" w:name="_Toc453606952"/>
      <w:r w:rsidRPr="006122EE">
        <w:rPr>
          <w:b/>
          <w:color w:val="92D400" w:themeColor="accent2"/>
          <w:sz w:val="24"/>
        </w:rPr>
        <w:t>Increase the average fuel efficiency of motor vehicles</w:t>
      </w:r>
      <w:bookmarkEnd w:id="86"/>
    </w:p>
    <w:p w14:paraId="20DD211C" w14:textId="77777777" w:rsidR="00831A6B" w:rsidRPr="00866D96" w:rsidRDefault="00831A6B" w:rsidP="00B53E51">
      <w:pPr>
        <w:pStyle w:val="DBulletlevel1"/>
        <w:spacing w:line="276" w:lineRule="auto"/>
        <w:rPr>
          <w:noProof w:val="0"/>
        </w:rPr>
      </w:pPr>
      <w:r w:rsidRPr="00866D96">
        <w:rPr>
          <w:noProof w:val="0"/>
        </w:rPr>
        <w:t>Adopt a system of labels and standards</w:t>
      </w:r>
      <w:r w:rsidR="008E69B8" w:rsidRPr="00866D96">
        <w:rPr>
          <w:noProof w:val="0"/>
        </w:rPr>
        <w:t>.</w:t>
      </w:r>
    </w:p>
    <w:p w14:paraId="5E4BE245" w14:textId="77777777" w:rsidR="00831A6B" w:rsidRPr="00866D96" w:rsidRDefault="00831A6B" w:rsidP="00B53E51">
      <w:pPr>
        <w:pStyle w:val="DBulletlevel1"/>
        <w:spacing w:line="276" w:lineRule="auto"/>
        <w:rPr>
          <w:noProof w:val="0"/>
        </w:rPr>
      </w:pPr>
      <w:r w:rsidRPr="00866D96">
        <w:rPr>
          <w:noProof w:val="0"/>
        </w:rPr>
        <w:t>Promote appropriate car maintenance</w:t>
      </w:r>
      <w:r w:rsidR="008E69B8" w:rsidRPr="00866D96">
        <w:rPr>
          <w:noProof w:val="0"/>
        </w:rPr>
        <w:t>.</w:t>
      </w:r>
    </w:p>
    <w:p w14:paraId="20346CA0" w14:textId="77777777" w:rsidR="00831A6B" w:rsidRPr="00866D96" w:rsidRDefault="00831A6B" w:rsidP="00B53E51">
      <w:pPr>
        <w:pStyle w:val="DBulletlevel1"/>
        <w:spacing w:line="276" w:lineRule="auto"/>
        <w:rPr>
          <w:noProof w:val="0"/>
        </w:rPr>
      </w:pPr>
      <w:r w:rsidRPr="00866D96">
        <w:rPr>
          <w:noProof w:val="0"/>
        </w:rPr>
        <w:t>Improve road capacity and maintenance</w:t>
      </w:r>
      <w:r w:rsidR="008E69B8" w:rsidRPr="00866D96">
        <w:rPr>
          <w:noProof w:val="0"/>
        </w:rPr>
        <w:t>.</w:t>
      </w:r>
    </w:p>
    <w:p w14:paraId="1637FDC2" w14:textId="77777777" w:rsidR="00831A6B" w:rsidRPr="00866D96" w:rsidRDefault="00831A6B" w:rsidP="00B53E51">
      <w:pPr>
        <w:pStyle w:val="DBulletlevel1"/>
        <w:spacing w:line="276" w:lineRule="auto"/>
        <w:rPr>
          <w:noProof w:val="0"/>
        </w:rPr>
      </w:pPr>
      <w:r w:rsidRPr="00866D96">
        <w:rPr>
          <w:noProof w:val="0"/>
        </w:rPr>
        <w:t>Develop urban and suburban rail transportation system</w:t>
      </w:r>
      <w:r w:rsidR="008E69B8" w:rsidRPr="00866D96">
        <w:rPr>
          <w:noProof w:val="0"/>
        </w:rPr>
        <w:t>.</w:t>
      </w:r>
    </w:p>
    <w:p w14:paraId="7D0EC7D3" w14:textId="77777777" w:rsidR="00831A6B" w:rsidRPr="006122EE" w:rsidRDefault="00831A6B" w:rsidP="00B53E51">
      <w:pPr>
        <w:spacing w:line="276" w:lineRule="auto"/>
      </w:pPr>
      <w:bookmarkStart w:id="87" w:name="_Toc453606954"/>
      <w:r w:rsidRPr="006122EE">
        <w:rPr>
          <w:b/>
          <w:color w:val="92D400" w:themeColor="accent2"/>
          <w:sz w:val="24"/>
        </w:rPr>
        <w:t>Establish travel demand management</w:t>
      </w:r>
      <w:bookmarkEnd w:id="87"/>
    </w:p>
    <w:p w14:paraId="3B14ED60" w14:textId="77777777" w:rsidR="00831A6B" w:rsidRPr="00866D96" w:rsidRDefault="00831A6B" w:rsidP="00B53E51">
      <w:pPr>
        <w:pStyle w:val="DBulletlevel1"/>
        <w:spacing w:line="276" w:lineRule="auto"/>
        <w:rPr>
          <w:noProof w:val="0"/>
        </w:rPr>
      </w:pPr>
      <w:r w:rsidRPr="00866D96">
        <w:rPr>
          <w:noProof w:val="0"/>
        </w:rPr>
        <w:t>Land use planning policies that integrate residential and employment areas to minimize the need for transport</w:t>
      </w:r>
      <w:r w:rsidR="008E69B8" w:rsidRPr="00866D96">
        <w:rPr>
          <w:noProof w:val="0"/>
        </w:rPr>
        <w:t>.</w:t>
      </w:r>
      <w:r w:rsidRPr="00866D96">
        <w:rPr>
          <w:noProof w:val="0"/>
        </w:rPr>
        <w:t xml:space="preserve"> </w:t>
      </w:r>
    </w:p>
    <w:p w14:paraId="2CE3624E" w14:textId="77777777" w:rsidR="00831A6B" w:rsidRPr="00866D96" w:rsidRDefault="00831A6B" w:rsidP="00B53E51">
      <w:pPr>
        <w:pStyle w:val="DBulletlevel1"/>
        <w:spacing w:line="276" w:lineRule="auto"/>
        <w:rPr>
          <w:noProof w:val="0"/>
        </w:rPr>
      </w:pPr>
      <w:r w:rsidRPr="00866D96">
        <w:rPr>
          <w:noProof w:val="0"/>
        </w:rPr>
        <w:t>City planning and development measures that focus on high density mixed use development</w:t>
      </w:r>
      <w:r w:rsidR="008E69B8" w:rsidRPr="00866D96">
        <w:rPr>
          <w:noProof w:val="0"/>
        </w:rPr>
        <w:t>.</w:t>
      </w:r>
    </w:p>
    <w:p w14:paraId="2A3F096D" w14:textId="77777777" w:rsidR="00831A6B" w:rsidRPr="00866D96" w:rsidRDefault="00831A6B" w:rsidP="00B53E51">
      <w:pPr>
        <w:pStyle w:val="DBulletlevel1"/>
        <w:spacing w:line="276" w:lineRule="auto"/>
        <w:rPr>
          <w:noProof w:val="0"/>
        </w:rPr>
      </w:pPr>
      <w:r w:rsidRPr="00866D96">
        <w:rPr>
          <w:noProof w:val="0"/>
        </w:rPr>
        <w:t>Improve the efficiency of traffic flow:</w:t>
      </w:r>
    </w:p>
    <w:p w14:paraId="4F597230" w14:textId="77777777" w:rsidR="008E69B8" w:rsidRPr="00866D96" w:rsidRDefault="008E69B8" w:rsidP="00B53E51">
      <w:pPr>
        <w:pStyle w:val="DBulletlevel1"/>
        <w:numPr>
          <w:ilvl w:val="2"/>
          <w:numId w:val="29"/>
        </w:numPr>
        <w:spacing w:line="276" w:lineRule="auto"/>
        <w:rPr>
          <w:noProof w:val="0"/>
        </w:rPr>
      </w:pPr>
      <w:r w:rsidRPr="00866D96">
        <w:rPr>
          <w:noProof w:val="0"/>
        </w:rPr>
        <w:t>Support the development of non-motorized transport.</w:t>
      </w:r>
    </w:p>
    <w:p w14:paraId="357E823D" w14:textId="77777777" w:rsidR="008E69B8" w:rsidRPr="00866D96" w:rsidRDefault="008E69B8" w:rsidP="00B53E51">
      <w:pPr>
        <w:pStyle w:val="DBulletlevel1"/>
        <w:numPr>
          <w:ilvl w:val="2"/>
          <w:numId w:val="29"/>
        </w:numPr>
        <w:spacing w:line="276" w:lineRule="auto"/>
        <w:rPr>
          <w:noProof w:val="0"/>
        </w:rPr>
      </w:pPr>
      <w:r w:rsidRPr="00866D96">
        <w:rPr>
          <w:noProof w:val="0"/>
        </w:rPr>
        <w:t>Parking supply restrictions: This can be achieved either by limiting the physical supply of parking space in the central area or charging parking space to discourage private vehicles entering the central business district.</w:t>
      </w:r>
    </w:p>
    <w:p w14:paraId="51574017" w14:textId="77777777" w:rsidR="008E69B8" w:rsidRPr="00866D96" w:rsidRDefault="008E69B8" w:rsidP="00B53E51">
      <w:pPr>
        <w:pStyle w:val="DBulletlevel1"/>
        <w:numPr>
          <w:ilvl w:val="2"/>
          <w:numId w:val="29"/>
        </w:numPr>
        <w:spacing w:line="276" w:lineRule="auto"/>
        <w:rPr>
          <w:noProof w:val="0"/>
        </w:rPr>
      </w:pPr>
      <w:r w:rsidRPr="00866D96">
        <w:rPr>
          <w:noProof w:val="0"/>
        </w:rPr>
        <w:t>Develop synchronised traffic signals: intelligent traffic light control algorithm (“Adaptive Traffic Control system”) that works on GPS and other data (pilots in Johannesburg).</w:t>
      </w:r>
    </w:p>
    <w:p w14:paraId="1B429BB5" w14:textId="77777777" w:rsidR="008E69B8" w:rsidRPr="00866D96" w:rsidRDefault="008E69B8" w:rsidP="00B53E51">
      <w:pPr>
        <w:pStyle w:val="DBulletlevel1"/>
        <w:numPr>
          <w:ilvl w:val="2"/>
          <w:numId w:val="29"/>
        </w:numPr>
        <w:spacing w:line="276" w:lineRule="auto"/>
        <w:rPr>
          <w:noProof w:val="0"/>
        </w:rPr>
      </w:pPr>
      <w:r w:rsidRPr="00866D96">
        <w:rPr>
          <w:noProof w:val="0"/>
        </w:rPr>
        <w:t xml:space="preserve">Integrate traffic flow concerns in land use planning, by preventing heavy vehicles in densely populated areas, promote mixed use planning to minimise the need of traffic, plan for pedestrians and street vendors to minimise conflict with vehicular traffic etc. </w:t>
      </w:r>
    </w:p>
    <w:p w14:paraId="655C3110" w14:textId="77777777" w:rsidR="008E69B8" w:rsidRPr="00866D96" w:rsidRDefault="008E69B8" w:rsidP="00B53E51">
      <w:pPr>
        <w:pStyle w:val="DBulletlevel1"/>
        <w:numPr>
          <w:ilvl w:val="2"/>
          <w:numId w:val="29"/>
        </w:numPr>
        <w:spacing w:line="276" w:lineRule="auto"/>
        <w:rPr>
          <w:noProof w:val="0"/>
        </w:rPr>
      </w:pPr>
      <w:r w:rsidRPr="00866D96">
        <w:rPr>
          <w:noProof w:val="0"/>
        </w:rPr>
        <w:t>Promote Eco-driving: smarter and more fuel-efficient driving techniques.</w:t>
      </w:r>
    </w:p>
    <w:p w14:paraId="1CD32980" w14:textId="77777777" w:rsidR="008E69B8" w:rsidRPr="00866D96" w:rsidRDefault="008E69B8" w:rsidP="00B53E51">
      <w:pPr>
        <w:pStyle w:val="DBulletlevel1"/>
        <w:numPr>
          <w:ilvl w:val="2"/>
          <w:numId w:val="29"/>
        </w:numPr>
        <w:spacing w:line="276" w:lineRule="auto"/>
        <w:rPr>
          <w:noProof w:val="0"/>
        </w:rPr>
      </w:pPr>
      <w:r w:rsidRPr="00866D96">
        <w:rPr>
          <w:noProof w:val="0"/>
        </w:rPr>
        <w:t>Embark on awareness campaigns on the benefits of public transportation, non-motorised transport and other aspects of sustainable transportation.</w:t>
      </w:r>
    </w:p>
    <w:p w14:paraId="6BEBE28C" w14:textId="77777777" w:rsidR="00886BC8" w:rsidRPr="006122EE" w:rsidRDefault="00886BC8" w:rsidP="00866D96">
      <w:pPr>
        <w:pStyle w:val="DPuces2"/>
        <w:numPr>
          <w:ilvl w:val="0"/>
          <w:numId w:val="0"/>
        </w:numPr>
        <w:ind w:left="1264" w:hanging="357"/>
        <w:rPr>
          <w:rFonts w:eastAsia="Times" w:cs="Times New Roman"/>
          <w:lang w:eastAsia="en-GB"/>
        </w:rPr>
      </w:pPr>
    </w:p>
    <w:p w14:paraId="535F06E6" w14:textId="77777777" w:rsidR="00886BC8" w:rsidRPr="006122EE" w:rsidRDefault="00886BC8" w:rsidP="00866D96">
      <w:pPr>
        <w:pStyle w:val="DPuces2"/>
        <w:numPr>
          <w:ilvl w:val="0"/>
          <w:numId w:val="0"/>
        </w:numPr>
        <w:ind w:left="1264" w:hanging="357"/>
        <w:rPr>
          <w:rFonts w:eastAsia="Times" w:cs="Times New Roman"/>
          <w:lang w:eastAsia="en-GB"/>
        </w:rPr>
      </w:pPr>
    </w:p>
    <w:p w14:paraId="7F989113" w14:textId="77777777" w:rsidR="00886BC8" w:rsidRPr="006122EE" w:rsidRDefault="00886BC8" w:rsidP="00866D96">
      <w:pPr>
        <w:pStyle w:val="DPuces2"/>
        <w:numPr>
          <w:ilvl w:val="0"/>
          <w:numId w:val="0"/>
        </w:numPr>
        <w:ind w:left="1264" w:hanging="357"/>
        <w:rPr>
          <w:rFonts w:eastAsia="Times" w:cs="Times New Roman"/>
          <w:lang w:eastAsia="en-GB"/>
        </w:rPr>
      </w:pPr>
    </w:p>
    <w:p w14:paraId="1B0278D8" w14:textId="77777777" w:rsidR="00886BC8" w:rsidRPr="006122EE" w:rsidRDefault="00886BC8" w:rsidP="00866D96">
      <w:pPr>
        <w:pStyle w:val="DPuces2"/>
        <w:numPr>
          <w:ilvl w:val="0"/>
          <w:numId w:val="0"/>
        </w:numPr>
        <w:ind w:left="1264" w:hanging="357"/>
        <w:rPr>
          <w:rFonts w:eastAsia="Times" w:cs="Times New Roman"/>
          <w:lang w:eastAsia="en-GB"/>
        </w:rPr>
      </w:pPr>
    </w:p>
    <w:p w14:paraId="48E2C285" w14:textId="77777777" w:rsidR="00886BC8" w:rsidRPr="006122EE" w:rsidRDefault="00886BC8" w:rsidP="00866D96">
      <w:pPr>
        <w:pStyle w:val="DPuces2"/>
        <w:numPr>
          <w:ilvl w:val="0"/>
          <w:numId w:val="0"/>
        </w:numPr>
        <w:ind w:left="1264" w:hanging="357"/>
        <w:rPr>
          <w:rFonts w:eastAsia="Times" w:cs="Times New Roman"/>
          <w:lang w:eastAsia="en-GB"/>
        </w:rPr>
      </w:pPr>
    </w:p>
    <w:p w14:paraId="3E4D502B" w14:textId="77777777" w:rsidR="00886BC8" w:rsidRPr="006122EE" w:rsidRDefault="00886BC8" w:rsidP="00866D96">
      <w:pPr>
        <w:pStyle w:val="DPuces2"/>
        <w:numPr>
          <w:ilvl w:val="0"/>
          <w:numId w:val="0"/>
        </w:numPr>
        <w:ind w:left="1264" w:hanging="357"/>
        <w:rPr>
          <w:rFonts w:eastAsia="Times" w:cs="Times New Roman"/>
          <w:lang w:eastAsia="en-GB"/>
        </w:rPr>
      </w:pPr>
    </w:p>
    <w:p w14:paraId="37095205" w14:textId="77777777" w:rsidR="00886BC8" w:rsidRPr="006122EE" w:rsidRDefault="00886BC8" w:rsidP="00866D96">
      <w:pPr>
        <w:pStyle w:val="DPuces2"/>
        <w:numPr>
          <w:ilvl w:val="0"/>
          <w:numId w:val="0"/>
        </w:numPr>
        <w:ind w:left="1264" w:hanging="357"/>
        <w:rPr>
          <w:rFonts w:eastAsia="Times" w:cs="Times New Roman"/>
          <w:lang w:eastAsia="en-GB"/>
        </w:rPr>
      </w:pPr>
    </w:p>
    <w:p w14:paraId="7B9C5FD5" w14:textId="77777777" w:rsidR="00886BC8" w:rsidRPr="006122EE" w:rsidRDefault="00886BC8" w:rsidP="00866D96">
      <w:pPr>
        <w:pStyle w:val="DPuces2"/>
        <w:numPr>
          <w:ilvl w:val="0"/>
          <w:numId w:val="0"/>
        </w:numPr>
        <w:ind w:left="1264" w:hanging="357"/>
        <w:rPr>
          <w:rFonts w:eastAsia="Times" w:cs="Times New Roman"/>
          <w:lang w:eastAsia="en-GB"/>
        </w:rPr>
      </w:pPr>
    </w:p>
    <w:p w14:paraId="39155C4D" w14:textId="77777777" w:rsidR="00886BC8" w:rsidRPr="006122EE" w:rsidRDefault="00886BC8" w:rsidP="00866D96">
      <w:pPr>
        <w:pStyle w:val="DPuces2"/>
        <w:numPr>
          <w:ilvl w:val="0"/>
          <w:numId w:val="0"/>
        </w:numPr>
        <w:ind w:left="1264" w:hanging="357"/>
        <w:rPr>
          <w:rFonts w:eastAsia="Times" w:cs="Times New Roman"/>
          <w:lang w:eastAsia="en-GB"/>
        </w:rPr>
      </w:pPr>
    </w:p>
    <w:p w14:paraId="0382BB6F" w14:textId="77777777" w:rsidR="00886BC8" w:rsidRPr="006122EE" w:rsidRDefault="00886BC8" w:rsidP="00866D96">
      <w:pPr>
        <w:pStyle w:val="DPuces2"/>
        <w:numPr>
          <w:ilvl w:val="0"/>
          <w:numId w:val="0"/>
        </w:numPr>
        <w:ind w:left="1264" w:hanging="357"/>
        <w:rPr>
          <w:rFonts w:eastAsia="Times" w:cs="Times New Roman"/>
          <w:lang w:eastAsia="en-GB"/>
        </w:rPr>
      </w:pPr>
    </w:p>
    <w:p w14:paraId="495D5369" w14:textId="77777777" w:rsidR="00886BC8" w:rsidRPr="006122EE" w:rsidRDefault="00886BC8" w:rsidP="00866D96">
      <w:pPr>
        <w:pStyle w:val="DPuces2"/>
        <w:numPr>
          <w:ilvl w:val="0"/>
          <w:numId w:val="0"/>
        </w:numPr>
        <w:ind w:left="1264" w:hanging="357"/>
        <w:rPr>
          <w:rFonts w:eastAsia="Times" w:cs="Times New Roman"/>
          <w:lang w:eastAsia="en-GB"/>
        </w:rPr>
      </w:pPr>
    </w:p>
    <w:p w14:paraId="1C55C4EE" w14:textId="77777777" w:rsidR="00886BC8" w:rsidRPr="006122EE" w:rsidRDefault="00886BC8" w:rsidP="00866D96">
      <w:pPr>
        <w:pStyle w:val="DPuces2"/>
        <w:numPr>
          <w:ilvl w:val="0"/>
          <w:numId w:val="0"/>
        </w:numPr>
        <w:ind w:left="1264" w:hanging="357"/>
        <w:rPr>
          <w:rFonts w:eastAsia="Times" w:cs="Times New Roman"/>
          <w:lang w:eastAsia="en-GB"/>
        </w:rPr>
      </w:pPr>
    </w:p>
    <w:p w14:paraId="21709383" w14:textId="77777777" w:rsidR="00886BC8" w:rsidRPr="006122EE" w:rsidRDefault="00886BC8" w:rsidP="00866D96">
      <w:pPr>
        <w:pStyle w:val="DPuces2"/>
        <w:numPr>
          <w:ilvl w:val="0"/>
          <w:numId w:val="0"/>
        </w:numPr>
        <w:ind w:left="1264" w:hanging="357"/>
        <w:rPr>
          <w:rFonts w:eastAsia="Times" w:cs="Times New Roman"/>
          <w:lang w:eastAsia="en-GB"/>
        </w:rPr>
      </w:pPr>
    </w:p>
    <w:p w14:paraId="76D7D324" w14:textId="77777777" w:rsidR="00886BC8" w:rsidRPr="006122EE" w:rsidRDefault="00886BC8" w:rsidP="00866D96">
      <w:pPr>
        <w:pStyle w:val="DPuces2"/>
        <w:numPr>
          <w:ilvl w:val="0"/>
          <w:numId w:val="0"/>
        </w:numPr>
        <w:ind w:left="1264" w:hanging="357"/>
        <w:rPr>
          <w:rFonts w:eastAsia="Times" w:cs="Times New Roman"/>
          <w:lang w:eastAsia="en-GB"/>
        </w:rPr>
      </w:pPr>
    </w:p>
    <w:p w14:paraId="50CC0204" w14:textId="77777777" w:rsidR="00886BC8" w:rsidRPr="006122EE" w:rsidRDefault="00886BC8" w:rsidP="00866D96">
      <w:pPr>
        <w:pStyle w:val="DPuces2"/>
        <w:numPr>
          <w:ilvl w:val="0"/>
          <w:numId w:val="0"/>
        </w:numPr>
        <w:ind w:left="1264" w:hanging="357"/>
        <w:rPr>
          <w:rFonts w:eastAsia="Times" w:cs="Times New Roman"/>
          <w:lang w:eastAsia="en-GB"/>
        </w:rPr>
      </w:pPr>
    </w:p>
    <w:p w14:paraId="3D7629B2" w14:textId="77777777" w:rsidR="00886BC8" w:rsidRPr="006122EE" w:rsidRDefault="00886BC8" w:rsidP="00866D96">
      <w:pPr>
        <w:pStyle w:val="DPuces2"/>
        <w:numPr>
          <w:ilvl w:val="0"/>
          <w:numId w:val="0"/>
        </w:numPr>
        <w:ind w:left="1264" w:hanging="357"/>
        <w:rPr>
          <w:rFonts w:eastAsia="Times" w:cs="Times New Roman"/>
          <w:lang w:eastAsia="en-GB"/>
        </w:rPr>
      </w:pPr>
    </w:p>
    <w:p w14:paraId="792A6E1F" w14:textId="77777777" w:rsidR="00886BC8" w:rsidRPr="006122EE" w:rsidRDefault="00886BC8" w:rsidP="00866D96">
      <w:pPr>
        <w:pStyle w:val="DPuces2"/>
        <w:numPr>
          <w:ilvl w:val="0"/>
          <w:numId w:val="0"/>
        </w:numPr>
        <w:ind w:left="1264" w:hanging="357"/>
        <w:rPr>
          <w:rFonts w:eastAsia="Times" w:cs="Times New Roman"/>
          <w:lang w:eastAsia="en-GB"/>
        </w:rPr>
      </w:pPr>
    </w:p>
    <w:p w14:paraId="6BCFA102" w14:textId="77777777" w:rsidR="00886BC8" w:rsidRPr="006122EE" w:rsidRDefault="00886BC8" w:rsidP="00866D96">
      <w:pPr>
        <w:pStyle w:val="DPuces2"/>
        <w:numPr>
          <w:ilvl w:val="0"/>
          <w:numId w:val="0"/>
        </w:numPr>
        <w:ind w:left="1264" w:hanging="357"/>
        <w:rPr>
          <w:rFonts w:eastAsia="Times" w:cs="Times New Roman"/>
          <w:lang w:eastAsia="en-GB"/>
        </w:rPr>
      </w:pPr>
    </w:p>
    <w:p w14:paraId="1760AC69" w14:textId="77777777" w:rsidR="00886BC8" w:rsidRPr="006122EE" w:rsidRDefault="00886BC8" w:rsidP="00866D96">
      <w:pPr>
        <w:pStyle w:val="DPuces2"/>
        <w:numPr>
          <w:ilvl w:val="0"/>
          <w:numId w:val="0"/>
        </w:numPr>
        <w:ind w:left="1264" w:hanging="357"/>
        <w:rPr>
          <w:rFonts w:eastAsia="Times" w:cs="Times New Roman"/>
          <w:lang w:eastAsia="en-GB"/>
        </w:rPr>
      </w:pPr>
    </w:p>
    <w:p w14:paraId="72C2F429" w14:textId="77777777" w:rsidR="00886BC8" w:rsidRPr="006122EE" w:rsidRDefault="00886BC8" w:rsidP="00866D96">
      <w:pPr>
        <w:pStyle w:val="DPuces2"/>
        <w:numPr>
          <w:ilvl w:val="0"/>
          <w:numId w:val="0"/>
        </w:numPr>
        <w:ind w:left="1264" w:hanging="357"/>
        <w:rPr>
          <w:rFonts w:eastAsia="Times" w:cs="Times New Roman"/>
          <w:lang w:eastAsia="en-GB"/>
        </w:rPr>
      </w:pPr>
    </w:p>
    <w:p w14:paraId="3C1DB5B1" w14:textId="77777777" w:rsidR="00886BC8" w:rsidRPr="006122EE" w:rsidRDefault="00886BC8" w:rsidP="00866D96">
      <w:pPr>
        <w:pStyle w:val="DPuces2"/>
        <w:numPr>
          <w:ilvl w:val="0"/>
          <w:numId w:val="0"/>
        </w:numPr>
        <w:ind w:left="1264" w:hanging="357"/>
        <w:rPr>
          <w:rFonts w:eastAsia="Times" w:cs="Times New Roman"/>
          <w:lang w:eastAsia="en-GB"/>
        </w:rPr>
      </w:pPr>
    </w:p>
    <w:p w14:paraId="5AD0173F" w14:textId="77777777" w:rsidR="00886BC8" w:rsidRPr="006122EE" w:rsidRDefault="00886BC8" w:rsidP="00866D96">
      <w:pPr>
        <w:pStyle w:val="DPuces2"/>
        <w:numPr>
          <w:ilvl w:val="0"/>
          <w:numId w:val="0"/>
        </w:numPr>
        <w:ind w:left="1264" w:hanging="357"/>
        <w:rPr>
          <w:rFonts w:eastAsia="Times" w:cs="Times New Roman"/>
          <w:lang w:eastAsia="en-GB"/>
        </w:rPr>
      </w:pPr>
    </w:p>
    <w:p w14:paraId="7C18C4D1" w14:textId="77777777" w:rsidR="00886BC8" w:rsidRPr="006122EE" w:rsidRDefault="00886BC8" w:rsidP="00866D96">
      <w:pPr>
        <w:pStyle w:val="DPuces2"/>
        <w:numPr>
          <w:ilvl w:val="0"/>
          <w:numId w:val="0"/>
        </w:numPr>
        <w:ind w:left="1264" w:hanging="357"/>
        <w:rPr>
          <w:rFonts w:eastAsia="Times" w:cs="Times New Roman"/>
          <w:lang w:eastAsia="en-GB"/>
        </w:rPr>
      </w:pPr>
    </w:p>
    <w:p w14:paraId="5D438C92" w14:textId="77777777" w:rsidR="00540810" w:rsidRPr="006122EE" w:rsidRDefault="00540810" w:rsidP="00866D96">
      <w:pPr>
        <w:pStyle w:val="DPuces2"/>
        <w:numPr>
          <w:ilvl w:val="0"/>
          <w:numId w:val="0"/>
        </w:numPr>
        <w:ind w:left="1264" w:hanging="357"/>
        <w:rPr>
          <w:rFonts w:eastAsia="Times" w:cs="Times New Roman"/>
          <w:lang w:eastAsia="en-GB"/>
        </w:rPr>
      </w:pPr>
    </w:p>
    <w:p w14:paraId="0374A69E" w14:textId="77777777" w:rsidR="00886BC8" w:rsidRPr="006122EE" w:rsidRDefault="00886BC8" w:rsidP="00866D96">
      <w:pPr>
        <w:pStyle w:val="DPuces2"/>
        <w:numPr>
          <w:ilvl w:val="0"/>
          <w:numId w:val="0"/>
        </w:numPr>
        <w:ind w:left="1264" w:hanging="357"/>
        <w:rPr>
          <w:rFonts w:eastAsia="Times" w:cs="Times New Roman"/>
          <w:lang w:eastAsia="en-GB"/>
        </w:rPr>
      </w:pPr>
    </w:p>
    <w:p w14:paraId="2D28AC41" w14:textId="77777777" w:rsidR="00886BC8" w:rsidRPr="006122EE" w:rsidRDefault="00886BC8" w:rsidP="00866D96">
      <w:pPr>
        <w:pStyle w:val="DPuces2"/>
        <w:numPr>
          <w:ilvl w:val="0"/>
          <w:numId w:val="0"/>
        </w:numPr>
        <w:ind w:left="1264" w:hanging="357"/>
        <w:rPr>
          <w:rFonts w:eastAsia="Times" w:cs="Times New Roman"/>
          <w:lang w:eastAsia="en-GB"/>
        </w:rPr>
      </w:pPr>
    </w:p>
    <w:p w14:paraId="0C64FD94" w14:textId="77777777" w:rsidR="00886BC8" w:rsidRPr="006122EE" w:rsidRDefault="00886BC8" w:rsidP="00866D96">
      <w:pPr>
        <w:pStyle w:val="DPuces2"/>
        <w:numPr>
          <w:ilvl w:val="0"/>
          <w:numId w:val="0"/>
        </w:numPr>
        <w:ind w:left="1264" w:hanging="357"/>
      </w:pPr>
    </w:p>
    <w:p w14:paraId="1960C094" w14:textId="77777777" w:rsidR="00AA182C" w:rsidRPr="006122EE" w:rsidRDefault="00AA182C" w:rsidP="00AA182C">
      <w:pPr>
        <w:rPr>
          <w:lang w:eastAsia="en-US"/>
        </w:rPr>
      </w:pPr>
    </w:p>
    <w:p w14:paraId="2FC8AEE1" w14:textId="77777777" w:rsidR="000D2D33" w:rsidRPr="00866D96" w:rsidRDefault="000D2D33" w:rsidP="006E363C">
      <w:pPr>
        <w:pStyle w:val="APageheading"/>
        <w:rPr>
          <w:noProof w:val="0"/>
        </w:rPr>
        <w:sectPr w:rsidR="000D2D33" w:rsidRPr="00866D96" w:rsidSect="00540810">
          <w:footerReference w:type="default" r:id="rId18"/>
          <w:pgSz w:w="11899" w:h="16838" w:code="9"/>
          <w:pgMar w:top="851" w:right="1134" w:bottom="851" w:left="1134" w:header="680" w:footer="668" w:gutter="227"/>
          <w:cols w:space="708"/>
          <w:docGrid w:linePitch="272"/>
        </w:sectPr>
      </w:pPr>
    </w:p>
    <w:p w14:paraId="40E9C1A9" w14:textId="77777777" w:rsidR="008E0E0E" w:rsidRPr="00866D96" w:rsidRDefault="008E0E0E" w:rsidP="006E363C">
      <w:pPr>
        <w:pStyle w:val="APageheading"/>
        <w:rPr>
          <w:noProof w:val="0"/>
        </w:rPr>
      </w:pPr>
      <w:bookmarkStart w:id="88" w:name="_Toc481614888"/>
      <w:r w:rsidRPr="00866D96">
        <w:rPr>
          <w:noProof w:val="0"/>
        </w:rPr>
        <w:t>Introduction</w:t>
      </w:r>
      <w:bookmarkEnd w:id="88"/>
    </w:p>
    <w:p w14:paraId="62B734A7" w14:textId="77777777" w:rsidR="00B47B82" w:rsidRPr="006122EE" w:rsidRDefault="00937935" w:rsidP="00B53E51">
      <w:pPr>
        <w:spacing w:line="276" w:lineRule="auto"/>
      </w:pPr>
      <w:r w:rsidRPr="006122EE">
        <w:t xml:space="preserve">Malawi is a </w:t>
      </w:r>
      <w:r w:rsidR="00916CE6" w:rsidRPr="006122EE">
        <w:t xml:space="preserve">small </w:t>
      </w:r>
      <w:r w:rsidRPr="006122EE">
        <w:t xml:space="preserve">landlocked country </w:t>
      </w:r>
      <w:r w:rsidR="00916CE6" w:rsidRPr="006122EE">
        <w:t xml:space="preserve">in South/Central Africa </w:t>
      </w:r>
      <w:r w:rsidRPr="006122EE">
        <w:t xml:space="preserve">bordered by Mozambique, </w:t>
      </w:r>
      <w:r w:rsidR="006F6B97" w:rsidRPr="006122EE">
        <w:t xml:space="preserve">Tanzania, etc. </w:t>
      </w:r>
      <w:r w:rsidR="00886BC8" w:rsidRPr="006122EE">
        <w:t>Its</w:t>
      </w:r>
      <w:r w:rsidR="006F6B97" w:rsidRPr="006122EE">
        <w:t xml:space="preserve"> population, according to the mo</w:t>
      </w:r>
      <w:r w:rsidR="00916CE6" w:rsidRPr="006122EE">
        <w:t>st recent assessment in 2012, was</w:t>
      </w:r>
      <w:r w:rsidR="006F6B97" w:rsidRPr="006122EE">
        <w:t xml:space="preserve"> 14.8 million people</w:t>
      </w:r>
      <w:r w:rsidR="00B47B82" w:rsidRPr="006122EE">
        <w:t>. By 2014, the population had increased to 16.8 million</w:t>
      </w:r>
      <w:r w:rsidR="008E69B8" w:rsidRPr="006122EE">
        <w:rPr>
          <w:rStyle w:val="FootnoteReference"/>
        </w:rPr>
        <w:footnoteReference w:id="7"/>
      </w:r>
      <w:r w:rsidR="00B47B82" w:rsidRPr="006122EE">
        <w:t>. Approximately 84% of Malawians</w:t>
      </w:r>
      <w:r w:rsidR="006F6B97" w:rsidRPr="006122EE">
        <w:t xml:space="preserve"> live in rural areas</w:t>
      </w:r>
      <w:r w:rsidR="00B47B82" w:rsidRPr="006122EE">
        <w:t>, practicing subsistence farming as their main source of livelihood.</w:t>
      </w:r>
    </w:p>
    <w:p w14:paraId="296BD6B7" w14:textId="77777777" w:rsidR="00B47B82" w:rsidRPr="006122EE" w:rsidRDefault="00B47B82" w:rsidP="00B53E51">
      <w:pPr>
        <w:spacing w:line="276" w:lineRule="auto"/>
        <w:rPr>
          <w:spacing w:val="6"/>
        </w:rPr>
      </w:pPr>
      <w:r w:rsidRPr="006122EE">
        <w:rPr>
          <w:rFonts w:cs="Calibri"/>
        </w:rPr>
        <w:t>Malawi’s</w:t>
      </w:r>
      <w:r w:rsidRPr="006122EE">
        <w:rPr>
          <w:rFonts w:cs="Calibri"/>
          <w:spacing w:val="4"/>
        </w:rPr>
        <w:t xml:space="preserve"> </w:t>
      </w:r>
      <w:r w:rsidRPr="006122EE">
        <w:rPr>
          <w:rFonts w:cs="Calibri"/>
        </w:rPr>
        <w:t>economy</w:t>
      </w:r>
      <w:r w:rsidRPr="006122EE">
        <w:rPr>
          <w:rFonts w:cs="Calibri"/>
          <w:spacing w:val="5"/>
        </w:rPr>
        <w:t xml:space="preserve"> </w:t>
      </w:r>
      <w:r w:rsidRPr="006122EE">
        <w:rPr>
          <w:rFonts w:cs="Calibri"/>
        </w:rPr>
        <w:t>is</w:t>
      </w:r>
      <w:r w:rsidRPr="006122EE">
        <w:rPr>
          <w:rFonts w:cs="Calibri"/>
          <w:spacing w:val="7"/>
        </w:rPr>
        <w:t xml:space="preserve"> </w:t>
      </w:r>
      <w:r w:rsidRPr="006122EE">
        <w:t>based</w:t>
      </w:r>
      <w:r w:rsidRPr="006122EE">
        <w:rPr>
          <w:spacing w:val="7"/>
        </w:rPr>
        <w:t xml:space="preserve"> </w:t>
      </w:r>
      <w:r w:rsidRPr="006122EE">
        <w:t>on</w:t>
      </w:r>
      <w:r w:rsidRPr="006122EE">
        <w:rPr>
          <w:spacing w:val="6"/>
        </w:rPr>
        <w:t xml:space="preserve"> </w:t>
      </w:r>
      <w:r w:rsidRPr="006122EE">
        <w:rPr>
          <w:spacing w:val="-1"/>
        </w:rPr>
        <w:t>agriculture,</w:t>
      </w:r>
      <w:r w:rsidRPr="006122EE">
        <w:rPr>
          <w:spacing w:val="6"/>
        </w:rPr>
        <w:t xml:space="preserve"> </w:t>
      </w:r>
      <w:r w:rsidRPr="006122EE">
        <w:rPr>
          <w:spacing w:val="-1"/>
        </w:rPr>
        <w:t>with</w:t>
      </w:r>
      <w:r w:rsidRPr="006122EE">
        <w:rPr>
          <w:spacing w:val="6"/>
        </w:rPr>
        <w:t xml:space="preserve"> </w:t>
      </w:r>
      <w:r w:rsidRPr="006122EE">
        <w:rPr>
          <w:spacing w:val="-1"/>
        </w:rPr>
        <w:t>tobacco</w:t>
      </w:r>
      <w:r w:rsidRPr="006122EE">
        <w:rPr>
          <w:spacing w:val="6"/>
        </w:rPr>
        <w:t xml:space="preserve"> </w:t>
      </w:r>
      <w:r w:rsidRPr="006122EE">
        <w:t>as</w:t>
      </w:r>
      <w:r w:rsidRPr="006122EE">
        <w:rPr>
          <w:spacing w:val="5"/>
        </w:rPr>
        <w:t xml:space="preserve"> </w:t>
      </w:r>
      <w:r w:rsidRPr="006122EE">
        <w:t>the</w:t>
      </w:r>
      <w:r w:rsidRPr="006122EE">
        <w:rPr>
          <w:spacing w:val="6"/>
        </w:rPr>
        <w:t xml:space="preserve"> </w:t>
      </w:r>
      <w:r w:rsidRPr="006122EE">
        <w:rPr>
          <w:spacing w:val="-1"/>
        </w:rPr>
        <w:t>largest</w:t>
      </w:r>
      <w:r w:rsidRPr="006122EE">
        <w:rPr>
          <w:spacing w:val="6"/>
        </w:rPr>
        <w:t xml:space="preserve"> </w:t>
      </w:r>
      <w:r w:rsidRPr="006122EE">
        <w:rPr>
          <w:spacing w:val="-1"/>
        </w:rPr>
        <w:t>export</w:t>
      </w:r>
      <w:r w:rsidRPr="006122EE">
        <w:rPr>
          <w:spacing w:val="7"/>
        </w:rPr>
        <w:t xml:space="preserve"> </w:t>
      </w:r>
      <w:r w:rsidRPr="006122EE">
        <w:rPr>
          <w:spacing w:val="-1"/>
        </w:rPr>
        <w:t>earner.</w:t>
      </w:r>
      <w:r w:rsidRPr="006122EE">
        <w:rPr>
          <w:spacing w:val="11"/>
        </w:rPr>
        <w:t xml:space="preserve"> </w:t>
      </w:r>
      <w:r w:rsidRPr="006122EE">
        <w:t>The</w:t>
      </w:r>
      <w:r w:rsidRPr="006122EE">
        <w:rPr>
          <w:spacing w:val="6"/>
        </w:rPr>
        <w:t xml:space="preserve"> </w:t>
      </w:r>
      <w:r w:rsidRPr="006122EE">
        <w:rPr>
          <w:spacing w:val="-1"/>
        </w:rPr>
        <w:t>growth</w:t>
      </w:r>
      <w:r w:rsidRPr="006122EE">
        <w:rPr>
          <w:spacing w:val="57"/>
        </w:rPr>
        <w:t xml:space="preserve"> </w:t>
      </w:r>
      <w:r w:rsidRPr="006122EE">
        <w:t>of</w:t>
      </w:r>
      <w:r w:rsidRPr="006122EE">
        <w:rPr>
          <w:spacing w:val="14"/>
        </w:rPr>
        <w:t xml:space="preserve"> </w:t>
      </w:r>
      <w:r w:rsidRPr="006122EE">
        <w:rPr>
          <w:spacing w:val="-1"/>
        </w:rPr>
        <w:t>other</w:t>
      </w:r>
      <w:r w:rsidRPr="006122EE">
        <w:rPr>
          <w:spacing w:val="13"/>
        </w:rPr>
        <w:t xml:space="preserve"> </w:t>
      </w:r>
      <w:r w:rsidRPr="006122EE">
        <w:rPr>
          <w:spacing w:val="-1"/>
        </w:rPr>
        <w:t>sectors</w:t>
      </w:r>
      <w:r w:rsidRPr="006122EE">
        <w:rPr>
          <w:spacing w:val="13"/>
        </w:rPr>
        <w:t xml:space="preserve"> </w:t>
      </w:r>
      <w:r w:rsidRPr="006122EE">
        <w:rPr>
          <w:spacing w:val="-2"/>
        </w:rPr>
        <w:t>such</w:t>
      </w:r>
      <w:r w:rsidRPr="006122EE">
        <w:rPr>
          <w:spacing w:val="15"/>
        </w:rPr>
        <w:t xml:space="preserve"> </w:t>
      </w:r>
      <w:r w:rsidRPr="006122EE">
        <w:t>as</w:t>
      </w:r>
      <w:r w:rsidRPr="006122EE">
        <w:rPr>
          <w:spacing w:val="13"/>
        </w:rPr>
        <w:t xml:space="preserve"> </w:t>
      </w:r>
      <w:r w:rsidRPr="006122EE">
        <w:t>mining</w:t>
      </w:r>
      <w:r w:rsidRPr="006122EE">
        <w:rPr>
          <w:spacing w:val="12"/>
        </w:rPr>
        <w:t xml:space="preserve"> </w:t>
      </w:r>
      <w:r w:rsidRPr="006122EE">
        <w:t>has</w:t>
      </w:r>
      <w:r w:rsidRPr="006122EE">
        <w:rPr>
          <w:spacing w:val="14"/>
        </w:rPr>
        <w:t xml:space="preserve"> </w:t>
      </w:r>
      <w:r w:rsidRPr="006122EE">
        <w:rPr>
          <w:spacing w:val="-1"/>
        </w:rPr>
        <w:t>seen</w:t>
      </w:r>
      <w:r w:rsidRPr="006122EE">
        <w:rPr>
          <w:spacing w:val="14"/>
        </w:rPr>
        <w:t xml:space="preserve"> </w:t>
      </w:r>
      <w:r w:rsidRPr="006122EE">
        <w:rPr>
          <w:spacing w:val="-1"/>
        </w:rPr>
        <w:t>the</w:t>
      </w:r>
      <w:r w:rsidRPr="006122EE">
        <w:rPr>
          <w:spacing w:val="13"/>
        </w:rPr>
        <w:t xml:space="preserve"> </w:t>
      </w:r>
      <w:r w:rsidRPr="006122EE">
        <w:rPr>
          <w:spacing w:val="-1"/>
        </w:rPr>
        <w:t>contribution</w:t>
      </w:r>
      <w:r w:rsidRPr="006122EE">
        <w:rPr>
          <w:spacing w:val="15"/>
        </w:rPr>
        <w:t xml:space="preserve"> </w:t>
      </w:r>
      <w:r w:rsidRPr="006122EE">
        <w:t>of</w:t>
      </w:r>
      <w:r w:rsidRPr="006122EE">
        <w:rPr>
          <w:spacing w:val="14"/>
        </w:rPr>
        <w:t xml:space="preserve"> </w:t>
      </w:r>
      <w:r w:rsidRPr="006122EE">
        <w:rPr>
          <w:spacing w:val="-1"/>
        </w:rPr>
        <w:t>agriculture</w:t>
      </w:r>
      <w:r w:rsidRPr="006122EE">
        <w:rPr>
          <w:spacing w:val="23"/>
        </w:rPr>
        <w:t xml:space="preserve"> </w:t>
      </w:r>
      <w:r w:rsidRPr="006122EE">
        <w:rPr>
          <w:spacing w:val="-2"/>
        </w:rPr>
        <w:t>in</w:t>
      </w:r>
      <w:r w:rsidRPr="006122EE">
        <w:rPr>
          <w:spacing w:val="14"/>
        </w:rPr>
        <w:t xml:space="preserve"> </w:t>
      </w:r>
      <w:r w:rsidRPr="006122EE">
        <w:t>the</w:t>
      </w:r>
      <w:r w:rsidRPr="006122EE">
        <w:rPr>
          <w:spacing w:val="12"/>
        </w:rPr>
        <w:t xml:space="preserve"> </w:t>
      </w:r>
      <w:r w:rsidRPr="006122EE">
        <w:rPr>
          <w:spacing w:val="-1"/>
        </w:rPr>
        <w:t>National</w:t>
      </w:r>
      <w:r w:rsidRPr="006122EE">
        <w:rPr>
          <w:spacing w:val="13"/>
        </w:rPr>
        <w:t xml:space="preserve"> </w:t>
      </w:r>
      <w:r w:rsidRPr="006122EE">
        <w:rPr>
          <w:spacing w:val="-1"/>
        </w:rPr>
        <w:t>Economy</w:t>
      </w:r>
      <w:r w:rsidRPr="006122EE">
        <w:rPr>
          <w:spacing w:val="62"/>
        </w:rPr>
        <w:t xml:space="preserve"> </w:t>
      </w:r>
      <w:r w:rsidRPr="006122EE">
        <w:t>declining</w:t>
      </w:r>
      <w:r w:rsidRPr="006122EE">
        <w:rPr>
          <w:spacing w:val="4"/>
        </w:rPr>
        <w:t xml:space="preserve"> </w:t>
      </w:r>
      <w:r w:rsidRPr="006122EE">
        <w:rPr>
          <w:spacing w:val="-1"/>
        </w:rPr>
        <w:t>from</w:t>
      </w:r>
      <w:r w:rsidRPr="006122EE">
        <w:rPr>
          <w:spacing w:val="6"/>
        </w:rPr>
        <w:t xml:space="preserve"> </w:t>
      </w:r>
      <w:r w:rsidRPr="006122EE">
        <w:t>38%</w:t>
      </w:r>
      <w:r w:rsidRPr="006122EE">
        <w:rPr>
          <w:spacing w:val="6"/>
        </w:rPr>
        <w:t xml:space="preserve"> </w:t>
      </w:r>
      <w:r w:rsidRPr="006122EE">
        <w:t>in</w:t>
      </w:r>
      <w:r w:rsidRPr="006122EE">
        <w:rPr>
          <w:spacing w:val="6"/>
        </w:rPr>
        <w:t xml:space="preserve"> </w:t>
      </w:r>
      <w:r w:rsidRPr="006122EE">
        <w:rPr>
          <w:spacing w:val="-1"/>
        </w:rPr>
        <w:t>1994</w:t>
      </w:r>
      <w:r w:rsidRPr="006122EE">
        <w:rPr>
          <w:spacing w:val="7"/>
        </w:rPr>
        <w:t xml:space="preserve"> </w:t>
      </w:r>
      <w:r w:rsidRPr="006122EE">
        <w:t>to</w:t>
      </w:r>
      <w:r w:rsidRPr="006122EE">
        <w:rPr>
          <w:spacing w:val="5"/>
        </w:rPr>
        <w:t xml:space="preserve"> </w:t>
      </w:r>
      <w:r w:rsidRPr="006122EE">
        <w:t>27%</w:t>
      </w:r>
      <w:r w:rsidRPr="006122EE">
        <w:rPr>
          <w:spacing w:val="7"/>
        </w:rPr>
        <w:t xml:space="preserve"> </w:t>
      </w:r>
      <w:r w:rsidRPr="006122EE">
        <w:t>in</w:t>
      </w:r>
      <w:r w:rsidRPr="006122EE">
        <w:rPr>
          <w:spacing w:val="6"/>
        </w:rPr>
        <w:t xml:space="preserve"> </w:t>
      </w:r>
      <w:r w:rsidRPr="006122EE">
        <w:t>2010. The Kayelekera Uranium mine in Karonga boosted the mining sector since its</w:t>
      </w:r>
      <w:r w:rsidRPr="006122EE">
        <w:rPr>
          <w:spacing w:val="12"/>
        </w:rPr>
        <w:t xml:space="preserve"> inception in 2009</w:t>
      </w:r>
      <w:r w:rsidR="008E69B8" w:rsidRPr="006122EE">
        <w:rPr>
          <w:spacing w:val="12"/>
        </w:rPr>
        <w:t xml:space="preserve">. </w:t>
      </w:r>
      <w:r w:rsidRPr="006122EE">
        <w:t>The</w:t>
      </w:r>
      <w:r w:rsidRPr="006122EE">
        <w:rPr>
          <w:spacing w:val="4"/>
        </w:rPr>
        <w:t xml:space="preserve"> </w:t>
      </w:r>
      <w:r w:rsidRPr="006122EE">
        <w:rPr>
          <w:spacing w:val="-1"/>
        </w:rPr>
        <w:t>gross</w:t>
      </w:r>
      <w:r w:rsidRPr="006122EE">
        <w:rPr>
          <w:spacing w:val="6"/>
        </w:rPr>
        <w:t xml:space="preserve"> </w:t>
      </w:r>
      <w:r w:rsidRPr="006122EE">
        <w:rPr>
          <w:spacing w:val="-1"/>
        </w:rPr>
        <w:t>domestic</w:t>
      </w:r>
      <w:r w:rsidRPr="006122EE">
        <w:rPr>
          <w:spacing w:val="5"/>
        </w:rPr>
        <w:t xml:space="preserve"> </w:t>
      </w:r>
      <w:r w:rsidRPr="006122EE">
        <w:rPr>
          <w:spacing w:val="-1"/>
        </w:rPr>
        <w:t>product</w:t>
      </w:r>
      <w:r w:rsidRPr="006122EE">
        <w:rPr>
          <w:spacing w:val="3"/>
        </w:rPr>
        <w:t xml:space="preserve">  (GDP) </w:t>
      </w:r>
      <w:r w:rsidRPr="006122EE">
        <w:t>has</w:t>
      </w:r>
      <w:r w:rsidRPr="006122EE">
        <w:rPr>
          <w:spacing w:val="8"/>
        </w:rPr>
        <w:t xml:space="preserve"> </w:t>
      </w:r>
      <w:r w:rsidRPr="006122EE">
        <w:rPr>
          <w:spacing w:val="-1"/>
        </w:rPr>
        <w:t>grown</w:t>
      </w:r>
      <w:r w:rsidRPr="006122EE">
        <w:rPr>
          <w:spacing w:val="6"/>
        </w:rPr>
        <w:t xml:space="preserve"> </w:t>
      </w:r>
      <w:r w:rsidRPr="006122EE">
        <w:rPr>
          <w:spacing w:val="5"/>
        </w:rPr>
        <w:t>at</w:t>
      </w:r>
      <w:r w:rsidRPr="006122EE">
        <w:rPr>
          <w:spacing w:val="7"/>
        </w:rPr>
        <w:t xml:space="preserve"> </w:t>
      </w:r>
      <w:r w:rsidRPr="006122EE">
        <w:t>an</w:t>
      </w:r>
      <w:r w:rsidRPr="006122EE">
        <w:rPr>
          <w:spacing w:val="6"/>
        </w:rPr>
        <w:t xml:space="preserve"> </w:t>
      </w:r>
      <w:r w:rsidRPr="006122EE">
        <w:t>average</w:t>
      </w:r>
      <w:r w:rsidRPr="006122EE">
        <w:rPr>
          <w:spacing w:val="47"/>
          <w:w w:val="99"/>
        </w:rPr>
        <w:t xml:space="preserve"> </w:t>
      </w:r>
      <w:r w:rsidRPr="006122EE">
        <w:t>of</w:t>
      </w:r>
      <w:r w:rsidRPr="006122EE">
        <w:rPr>
          <w:spacing w:val="27"/>
        </w:rPr>
        <w:t xml:space="preserve"> </w:t>
      </w:r>
      <w:r w:rsidRPr="006122EE">
        <w:rPr>
          <w:spacing w:val="-1"/>
        </w:rPr>
        <w:t>7.1%</w:t>
      </w:r>
      <w:r w:rsidRPr="006122EE">
        <w:rPr>
          <w:spacing w:val="26"/>
        </w:rPr>
        <w:t xml:space="preserve"> </w:t>
      </w:r>
      <w:r w:rsidRPr="006122EE">
        <w:rPr>
          <w:spacing w:val="-1"/>
        </w:rPr>
        <w:t>during</w:t>
      </w:r>
      <w:r w:rsidRPr="006122EE">
        <w:rPr>
          <w:spacing w:val="23"/>
        </w:rPr>
        <w:t xml:space="preserve"> </w:t>
      </w:r>
      <w:r w:rsidRPr="006122EE">
        <w:rPr>
          <w:spacing w:val="-1"/>
        </w:rPr>
        <w:t>the</w:t>
      </w:r>
      <w:r w:rsidRPr="006122EE">
        <w:rPr>
          <w:spacing w:val="26"/>
        </w:rPr>
        <w:t xml:space="preserve"> </w:t>
      </w:r>
      <w:r w:rsidRPr="006122EE">
        <w:rPr>
          <w:spacing w:val="-1"/>
        </w:rPr>
        <w:t>period</w:t>
      </w:r>
      <w:r w:rsidRPr="006122EE">
        <w:rPr>
          <w:spacing w:val="28"/>
        </w:rPr>
        <w:t xml:space="preserve"> </w:t>
      </w:r>
      <w:r w:rsidRPr="006122EE">
        <w:rPr>
          <w:spacing w:val="-1"/>
        </w:rPr>
        <w:t>of</w:t>
      </w:r>
      <w:r w:rsidRPr="006122EE">
        <w:rPr>
          <w:spacing w:val="27"/>
        </w:rPr>
        <w:t xml:space="preserve"> </w:t>
      </w:r>
      <w:r w:rsidRPr="006122EE">
        <w:rPr>
          <w:spacing w:val="-1"/>
        </w:rPr>
        <w:t>implementing</w:t>
      </w:r>
      <w:r w:rsidRPr="006122EE">
        <w:rPr>
          <w:spacing w:val="24"/>
        </w:rPr>
        <w:t xml:space="preserve"> </w:t>
      </w:r>
      <w:r w:rsidRPr="006122EE">
        <w:rPr>
          <w:spacing w:val="-1"/>
        </w:rPr>
        <w:t>MGDS,</w:t>
      </w:r>
      <w:r w:rsidRPr="006122EE">
        <w:rPr>
          <w:spacing w:val="32"/>
        </w:rPr>
        <w:t xml:space="preserve"> </w:t>
      </w:r>
      <w:r w:rsidRPr="006122EE">
        <w:rPr>
          <w:spacing w:val="-1"/>
        </w:rPr>
        <w:t>roughly</w:t>
      </w:r>
      <w:r w:rsidRPr="006122EE">
        <w:rPr>
          <w:spacing w:val="23"/>
        </w:rPr>
        <w:t xml:space="preserve"> </w:t>
      </w:r>
      <w:r w:rsidRPr="006122EE">
        <w:t>from</w:t>
      </w:r>
      <w:r w:rsidRPr="006122EE">
        <w:rPr>
          <w:spacing w:val="25"/>
        </w:rPr>
        <w:t xml:space="preserve"> </w:t>
      </w:r>
      <w:r w:rsidRPr="006122EE">
        <w:rPr>
          <w:spacing w:val="-1"/>
        </w:rPr>
        <w:t>2008</w:t>
      </w:r>
      <w:r w:rsidRPr="006122EE">
        <w:rPr>
          <w:spacing w:val="26"/>
        </w:rPr>
        <w:t xml:space="preserve"> </w:t>
      </w:r>
      <w:r w:rsidRPr="006122EE">
        <w:rPr>
          <w:spacing w:val="-1"/>
        </w:rPr>
        <w:t>to</w:t>
      </w:r>
      <w:r w:rsidRPr="006122EE">
        <w:rPr>
          <w:spacing w:val="26"/>
        </w:rPr>
        <w:t xml:space="preserve"> </w:t>
      </w:r>
      <w:r w:rsidRPr="006122EE">
        <w:t>2011,</w:t>
      </w:r>
      <w:r w:rsidRPr="006122EE">
        <w:rPr>
          <w:spacing w:val="29"/>
        </w:rPr>
        <w:t xml:space="preserve"> </w:t>
      </w:r>
      <w:r w:rsidRPr="006122EE">
        <w:rPr>
          <w:spacing w:val="-1"/>
        </w:rPr>
        <w:t>compared</w:t>
      </w:r>
      <w:r w:rsidRPr="006122EE">
        <w:rPr>
          <w:spacing w:val="25"/>
        </w:rPr>
        <w:t xml:space="preserve"> </w:t>
      </w:r>
      <w:r w:rsidRPr="006122EE">
        <w:t>to</w:t>
      </w:r>
      <w:r w:rsidRPr="006122EE">
        <w:rPr>
          <w:spacing w:val="25"/>
        </w:rPr>
        <w:t xml:space="preserve"> </w:t>
      </w:r>
      <w:r w:rsidRPr="006122EE">
        <w:t>an</w:t>
      </w:r>
      <w:r w:rsidRPr="006122EE">
        <w:rPr>
          <w:spacing w:val="57"/>
        </w:rPr>
        <w:t xml:space="preserve"> </w:t>
      </w:r>
      <w:r w:rsidRPr="006122EE">
        <w:t>average</w:t>
      </w:r>
      <w:r w:rsidRPr="006122EE">
        <w:rPr>
          <w:spacing w:val="3"/>
        </w:rPr>
        <w:t xml:space="preserve"> </w:t>
      </w:r>
      <w:r w:rsidRPr="006122EE">
        <w:t>of</w:t>
      </w:r>
      <w:r w:rsidRPr="006122EE">
        <w:rPr>
          <w:spacing w:val="3"/>
        </w:rPr>
        <w:t xml:space="preserve"> </w:t>
      </w:r>
      <w:r w:rsidRPr="006122EE">
        <w:t>3.5%</w:t>
      </w:r>
      <w:r w:rsidRPr="006122EE">
        <w:rPr>
          <w:spacing w:val="2"/>
        </w:rPr>
        <w:t xml:space="preserve"> </w:t>
      </w:r>
      <w:r w:rsidRPr="006122EE">
        <w:t>during</w:t>
      </w:r>
      <w:r w:rsidRPr="006122EE">
        <w:rPr>
          <w:spacing w:val="3"/>
        </w:rPr>
        <w:t xml:space="preserve"> </w:t>
      </w:r>
      <w:r w:rsidRPr="006122EE">
        <w:rPr>
          <w:spacing w:val="-1"/>
        </w:rPr>
        <w:t>the</w:t>
      </w:r>
      <w:r w:rsidRPr="006122EE">
        <w:rPr>
          <w:spacing w:val="4"/>
        </w:rPr>
        <w:t xml:space="preserve"> </w:t>
      </w:r>
      <w:r w:rsidRPr="006122EE">
        <w:rPr>
          <w:spacing w:val="-1"/>
        </w:rPr>
        <w:t>period</w:t>
      </w:r>
      <w:r w:rsidRPr="006122EE">
        <w:rPr>
          <w:spacing w:val="4"/>
        </w:rPr>
        <w:t xml:space="preserve"> </w:t>
      </w:r>
      <w:r w:rsidRPr="006122EE">
        <w:t>prior</w:t>
      </w:r>
      <w:r w:rsidRPr="006122EE">
        <w:rPr>
          <w:spacing w:val="3"/>
        </w:rPr>
        <w:t xml:space="preserve"> </w:t>
      </w:r>
      <w:r w:rsidRPr="006122EE">
        <w:rPr>
          <w:spacing w:val="-1"/>
        </w:rPr>
        <w:t>to the Malawi Growth and Development  Strategy</w:t>
      </w:r>
      <w:r w:rsidRPr="006122EE">
        <w:rPr>
          <w:spacing w:val="3"/>
        </w:rPr>
        <w:t xml:space="preserve"> </w:t>
      </w:r>
      <w:r w:rsidRPr="006122EE">
        <w:rPr>
          <w:spacing w:val="-1"/>
        </w:rPr>
        <w:t>(MGDS). GDP grew by 6.1% in 2014 up from 5% the previous year and was US$4.2 Billion</w:t>
      </w:r>
      <w:r w:rsidR="008E69B8" w:rsidRPr="006122EE">
        <w:rPr>
          <w:rStyle w:val="FootnoteReference"/>
          <w:spacing w:val="-1"/>
        </w:rPr>
        <w:footnoteReference w:id="8"/>
      </w:r>
      <w:r w:rsidRPr="006122EE">
        <w:rPr>
          <w:spacing w:val="-1"/>
        </w:rPr>
        <w:t>. Mining declined by 7.8% as compared to the growth of 7.6% in the previous year. This has been due to the closure of Kayekera Uranium mine in May</w:t>
      </w:r>
      <w:r w:rsidR="008E69B8" w:rsidRPr="006122EE">
        <w:rPr>
          <w:spacing w:val="-1"/>
        </w:rPr>
        <w:t>, 2014</w:t>
      </w:r>
      <w:r w:rsidRPr="006122EE">
        <w:rPr>
          <w:spacing w:val="-1"/>
        </w:rPr>
        <w:t xml:space="preserve"> as a result of price shrinking on the global market. Foreign exchange reserves increased by 20% during the year and closed at US$922 million equivalent to 4.83months of import cover compared to 4.09 months of import cover in 2013. Budgetary support has been suspended due to the cash gate scandal of rooting public funds. However there is direct donor funding of projects which cushions the forex reserves. Inflation remained high in 2014 and it closed at 24.2% by December whereas in 2013 it closed at 23.5% in December</w:t>
      </w:r>
      <w:r w:rsidR="001271EC" w:rsidRPr="006122EE">
        <w:rPr>
          <w:spacing w:val="-1"/>
        </w:rPr>
        <w:t xml:space="preserve">. </w:t>
      </w:r>
      <w:r w:rsidRPr="006122EE">
        <w:rPr>
          <w:spacing w:val="-1"/>
        </w:rPr>
        <w:t xml:space="preserve">The current detailed economic status of the country is outlined in the Economic Report 2015 for Malawi. </w:t>
      </w:r>
      <w:r w:rsidRPr="006122EE">
        <w:rPr>
          <w:spacing w:val="6"/>
        </w:rPr>
        <w:t xml:space="preserve"> </w:t>
      </w:r>
    </w:p>
    <w:p w14:paraId="29190179" w14:textId="77777777" w:rsidR="00B47B82" w:rsidRPr="006122EE" w:rsidRDefault="00B47B82" w:rsidP="00B53E51">
      <w:pPr>
        <w:pStyle w:val="BodyText"/>
        <w:spacing w:before="2" w:line="276" w:lineRule="auto"/>
        <w:ind w:right="169"/>
      </w:pPr>
      <w:r w:rsidRPr="006122EE">
        <w:rPr>
          <w:spacing w:val="-1"/>
        </w:rPr>
        <w:t>Extreme</w:t>
      </w:r>
      <w:r w:rsidRPr="006122EE">
        <w:rPr>
          <w:spacing w:val="4"/>
        </w:rPr>
        <w:t xml:space="preserve"> </w:t>
      </w:r>
      <w:r w:rsidRPr="006122EE">
        <w:t>poverty</w:t>
      </w:r>
      <w:r w:rsidRPr="006122EE">
        <w:rPr>
          <w:spacing w:val="2"/>
        </w:rPr>
        <w:t xml:space="preserve"> </w:t>
      </w:r>
      <w:r w:rsidRPr="006122EE">
        <w:t>has</w:t>
      </w:r>
      <w:r w:rsidRPr="006122EE">
        <w:rPr>
          <w:spacing w:val="3"/>
        </w:rPr>
        <w:t xml:space="preserve"> </w:t>
      </w:r>
      <w:r w:rsidRPr="006122EE">
        <w:t>also</w:t>
      </w:r>
      <w:r w:rsidRPr="006122EE">
        <w:rPr>
          <w:spacing w:val="4"/>
        </w:rPr>
        <w:t xml:space="preserve"> </w:t>
      </w:r>
      <w:r w:rsidRPr="006122EE">
        <w:rPr>
          <w:spacing w:val="-1"/>
        </w:rPr>
        <w:t>dropped</w:t>
      </w:r>
      <w:r w:rsidRPr="006122EE">
        <w:rPr>
          <w:spacing w:val="4"/>
        </w:rPr>
        <w:t xml:space="preserve"> </w:t>
      </w:r>
      <w:r w:rsidRPr="006122EE">
        <w:rPr>
          <w:spacing w:val="-1"/>
        </w:rPr>
        <w:t>from</w:t>
      </w:r>
      <w:r w:rsidRPr="006122EE">
        <w:rPr>
          <w:spacing w:val="3"/>
        </w:rPr>
        <w:t xml:space="preserve"> </w:t>
      </w:r>
      <w:r w:rsidRPr="006122EE">
        <w:t>50%</w:t>
      </w:r>
      <w:r w:rsidRPr="006122EE">
        <w:rPr>
          <w:spacing w:val="2"/>
        </w:rPr>
        <w:t xml:space="preserve"> </w:t>
      </w:r>
      <w:r w:rsidRPr="006122EE">
        <w:t>in</w:t>
      </w:r>
      <w:r w:rsidRPr="006122EE">
        <w:rPr>
          <w:spacing w:val="43"/>
        </w:rPr>
        <w:t xml:space="preserve"> </w:t>
      </w:r>
      <w:r w:rsidRPr="006122EE">
        <w:t>2005</w:t>
      </w:r>
      <w:r w:rsidRPr="006122EE">
        <w:rPr>
          <w:spacing w:val="50"/>
        </w:rPr>
        <w:t xml:space="preserve"> </w:t>
      </w:r>
      <w:r w:rsidRPr="006122EE">
        <w:t>to</w:t>
      </w:r>
      <w:r w:rsidRPr="006122EE">
        <w:rPr>
          <w:spacing w:val="52"/>
        </w:rPr>
        <w:t xml:space="preserve"> </w:t>
      </w:r>
      <w:r w:rsidRPr="006122EE">
        <w:rPr>
          <w:spacing w:val="-1"/>
        </w:rPr>
        <w:t>39%</w:t>
      </w:r>
      <w:r w:rsidRPr="006122EE">
        <w:rPr>
          <w:spacing w:val="52"/>
        </w:rPr>
        <w:t xml:space="preserve"> </w:t>
      </w:r>
      <w:r w:rsidRPr="006122EE">
        <w:t>in</w:t>
      </w:r>
      <w:r w:rsidRPr="006122EE">
        <w:rPr>
          <w:spacing w:val="52"/>
        </w:rPr>
        <w:t xml:space="preserve"> </w:t>
      </w:r>
      <w:r w:rsidRPr="006122EE">
        <w:t>2010,</w:t>
      </w:r>
      <w:r w:rsidRPr="006122EE">
        <w:rPr>
          <w:spacing w:val="50"/>
        </w:rPr>
        <w:t xml:space="preserve"> </w:t>
      </w:r>
      <w:r w:rsidRPr="006122EE">
        <w:rPr>
          <w:spacing w:val="-1"/>
        </w:rPr>
        <w:t>while</w:t>
      </w:r>
      <w:r w:rsidRPr="006122EE">
        <w:rPr>
          <w:spacing w:val="52"/>
        </w:rPr>
        <w:t xml:space="preserve"> </w:t>
      </w:r>
      <w:r w:rsidRPr="006122EE">
        <w:rPr>
          <w:spacing w:val="-1"/>
        </w:rPr>
        <w:t>population</w:t>
      </w:r>
      <w:r w:rsidRPr="006122EE">
        <w:rPr>
          <w:spacing w:val="54"/>
        </w:rPr>
        <w:t xml:space="preserve"> </w:t>
      </w:r>
      <w:r w:rsidRPr="006122EE">
        <w:rPr>
          <w:spacing w:val="-1"/>
        </w:rPr>
        <w:t>without</w:t>
      </w:r>
      <w:r w:rsidRPr="006122EE">
        <w:rPr>
          <w:spacing w:val="52"/>
        </w:rPr>
        <w:t xml:space="preserve"> </w:t>
      </w:r>
      <w:r w:rsidRPr="006122EE">
        <w:rPr>
          <w:spacing w:val="-1"/>
        </w:rPr>
        <w:t>adequate</w:t>
      </w:r>
      <w:r w:rsidRPr="006122EE">
        <w:rPr>
          <w:spacing w:val="53"/>
        </w:rPr>
        <w:t xml:space="preserve"> </w:t>
      </w:r>
      <w:r w:rsidRPr="006122EE">
        <w:rPr>
          <w:spacing w:val="1"/>
        </w:rPr>
        <w:t>energy</w:t>
      </w:r>
      <w:r w:rsidRPr="006122EE">
        <w:rPr>
          <w:spacing w:val="51"/>
        </w:rPr>
        <w:t xml:space="preserve"> </w:t>
      </w:r>
      <w:r w:rsidRPr="006122EE">
        <w:rPr>
          <w:spacing w:val="-1"/>
        </w:rPr>
        <w:t>dietary</w:t>
      </w:r>
      <w:r w:rsidRPr="006122EE">
        <w:rPr>
          <w:spacing w:val="51"/>
        </w:rPr>
        <w:t xml:space="preserve"> </w:t>
      </w:r>
      <w:r w:rsidRPr="006122EE">
        <w:rPr>
          <w:spacing w:val="-1"/>
        </w:rPr>
        <w:t>intake</w:t>
      </w:r>
      <w:r w:rsidRPr="006122EE">
        <w:rPr>
          <w:spacing w:val="53"/>
        </w:rPr>
        <w:t xml:space="preserve"> </w:t>
      </w:r>
      <w:r w:rsidRPr="006122EE">
        <w:rPr>
          <w:spacing w:val="-1"/>
        </w:rPr>
        <w:t>requirement</w:t>
      </w:r>
      <w:r w:rsidRPr="006122EE">
        <w:rPr>
          <w:spacing w:val="55"/>
          <w:w w:val="99"/>
        </w:rPr>
        <w:t xml:space="preserve"> </w:t>
      </w:r>
      <w:r w:rsidRPr="006122EE">
        <w:rPr>
          <w:spacing w:val="-1"/>
        </w:rPr>
        <w:t>dropped</w:t>
      </w:r>
      <w:r w:rsidRPr="006122EE">
        <w:rPr>
          <w:spacing w:val="11"/>
        </w:rPr>
        <w:t xml:space="preserve"> </w:t>
      </w:r>
      <w:r w:rsidRPr="006122EE">
        <w:t>from</w:t>
      </w:r>
      <w:r w:rsidRPr="006122EE">
        <w:rPr>
          <w:spacing w:val="10"/>
        </w:rPr>
        <w:t xml:space="preserve"> </w:t>
      </w:r>
      <w:r w:rsidRPr="006122EE">
        <w:t>22%</w:t>
      </w:r>
      <w:r w:rsidRPr="006122EE">
        <w:rPr>
          <w:spacing w:val="11"/>
        </w:rPr>
        <w:t xml:space="preserve"> </w:t>
      </w:r>
      <w:r w:rsidRPr="006122EE">
        <w:t>in</w:t>
      </w:r>
      <w:r w:rsidRPr="006122EE">
        <w:rPr>
          <w:spacing w:val="13"/>
        </w:rPr>
        <w:t xml:space="preserve"> </w:t>
      </w:r>
      <w:r w:rsidRPr="006122EE">
        <w:rPr>
          <w:spacing w:val="-1"/>
        </w:rPr>
        <w:t>2005</w:t>
      </w:r>
      <w:r w:rsidRPr="006122EE">
        <w:rPr>
          <w:spacing w:val="14"/>
        </w:rPr>
        <w:t xml:space="preserve"> </w:t>
      </w:r>
      <w:r w:rsidRPr="006122EE">
        <w:t>to</w:t>
      </w:r>
      <w:r w:rsidRPr="006122EE">
        <w:rPr>
          <w:spacing w:val="12"/>
        </w:rPr>
        <w:t xml:space="preserve"> </w:t>
      </w:r>
      <w:r w:rsidRPr="006122EE">
        <w:rPr>
          <w:spacing w:val="-1"/>
        </w:rPr>
        <w:t>15%</w:t>
      </w:r>
      <w:r w:rsidRPr="006122EE">
        <w:rPr>
          <w:spacing w:val="12"/>
        </w:rPr>
        <w:t xml:space="preserve"> </w:t>
      </w:r>
      <w:r w:rsidRPr="006122EE">
        <w:t>in</w:t>
      </w:r>
      <w:r w:rsidRPr="006122EE">
        <w:rPr>
          <w:spacing w:val="13"/>
        </w:rPr>
        <w:t xml:space="preserve"> </w:t>
      </w:r>
      <w:r w:rsidRPr="006122EE">
        <w:rPr>
          <w:spacing w:val="-1"/>
        </w:rPr>
        <w:t>2009</w:t>
      </w:r>
      <w:r w:rsidRPr="006122EE">
        <w:rPr>
          <w:spacing w:val="12"/>
        </w:rPr>
        <w:t xml:space="preserve"> </w:t>
      </w:r>
      <w:r w:rsidRPr="006122EE">
        <w:rPr>
          <w:spacing w:val="-1"/>
        </w:rPr>
        <w:t>(MGDS</w:t>
      </w:r>
      <w:r w:rsidRPr="006122EE">
        <w:rPr>
          <w:spacing w:val="13"/>
        </w:rPr>
        <w:t xml:space="preserve"> </w:t>
      </w:r>
      <w:r w:rsidRPr="006122EE">
        <w:rPr>
          <w:spacing w:val="-1"/>
        </w:rPr>
        <w:t>II,</w:t>
      </w:r>
      <w:r w:rsidRPr="006122EE">
        <w:rPr>
          <w:spacing w:val="12"/>
        </w:rPr>
        <w:t xml:space="preserve"> </w:t>
      </w:r>
      <w:r w:rsidRPr="006122EE">
        <w:t>2012).</w:t>
      </w:r>
      <w:r w:rsidRPr="006122EE">
        <w:rPr>
          <w:spacing w:val="24"/>
        </w:rPr>
        <w:t xml:space="preserve"> </w:t>
      </w:r>
      <w:r w:rsidRPr="006122EE">
        <w:t>The</w:t>
      </w:r>
      <w:r w:rsidRPr="006122EE">
        <w:rPr>
          <w:spacing w:val="13"/>
        </w:rPr>
        <w:t xml:space="preserve"> </w:t>
      </w:r>
      <w:r w:rsidRPr="006122EE">
        <w:rPr>
          <w:spacing w:val="-1"/>
        </w:rPr>
        <w:t>statistics</w:t>
      </w:r>
      <w:r w:rsidRPr="006122EE">
        <w:rPr>
          <w:spacing w:val="11"/>
        </w:rPr>
        <w:t xml:space="preserve"> </w:t>
      </w:r>
      <w:r w:rsidRPr="006122EE">
        <w:t>are</w:t>
      </w:r>
      <w:r w:rsidRPr="006122EE">
        <w:rPr>
          <w:spacing w:val="14"/>
        </w:rPr>
        <w:t xml:space="preserve"> </w:t>
      </w:r>
      <w:r w:rsidRPr="006122EE">
        <w:rPr>
          <w:spacing w:val="-1"/>
        </w:rPr>
        <w:t>likely</w:t>
      </w:r>
      <w:r w:rsidRPr="006122EE">
        <w:rPr>
          <w:spacing w:val="11"/>
        </w:rPr>
        <w:t xml:space="preserve"> </w:t>
      </w:r>
      <w:r w:rsidRPr="006122EE">
        <w:t>to</w:t>
      </w:r>
      <w:r w:rsidRPr="006122EE">
        <w:rPr>
          <w:spacing w:val="13"/>
        </w:rPr>
        <w:t xml:space="preserve"> </w:t>
      </w:r>
      <w:r w:rsidRPr="006122EE">
        <w:t>be</w:t>
      </w:r>
      <w:r w:rsidRPr="006122EE">
        <w:rPr>
          <w:spacing w:val="12"/>
        </w:rPr>
        <w:t xml:space="preserve"> </w:t>
      </w:r>
      <w:r w:rsidRPr="006122EE">
        <w:rPr>
          <w:spacing w:val="-1"/>
        </w:rPr>
        <w:t>worse</w:t>
      </w:r>
      <w:r w:rsidRPr="006122EE">
        <w:rPr>
          <w:spacing w:val="59"/>
          <w:w w:val="99"/>
        </w:rPr>
        <w:t xml:space="preserve"> </w:t>
      </w:r>
      <w:r w:rsidRPr="006122EE">
        <w:t>off</w:t>
      </w:r>
      <w:r w:rsidRPr="006122EE">
        <w:rPr>
          <w:spacing w:val="24"/>
        </w:rPr>
        <w:t xml:space="preserve"> </w:t>
      </w:r>
      <w:r w:rsidRPr="006122EE">
        <w:t>now</w:t>
      </w:r>
      <w:r w:rsidRPr="006122EE">
        <w:rPr>
          <w:spacing w:val="24"/>
        </w:rPr>
        <w:t xml:space="preserve"> </w:t>
      </w:r>
      <w:r w:rsidRPr="006122EE">
        <w:rPr>
          <w:spacing w:val="-1"/>
        </w:rPr>
        <w:t>following</w:t>
      </w:r>
      <w:r w:rsidRPr="006122EE">
        <w:rPr>
          <w:spacing w:val="25"/>
        </w:rPr>
        <w:t xml:space="preserve"> </w:t>
      </w:r>
      <w:r w:rsidRPr="006122EE">
        <w:rPr>
          <w:spacing w:val="-1"/>
        </w:rPr>
        <w:t>the</w:t>
      </w:r>
      <w:r w:rsidRPr="006122EE">
        <w:rPr>
          <w:spacing w:val="26"/>
        </w:rPr>
        <w:t xml:space="preserve"> </w:t>
      </w:r>
      <w:r w:rsidRPr="006122EE">
        <w:rPr>
          <w:spacing w:val="-1"/>
        </w:rPr>
        <w:t>recent</w:t>
      </w:r>
      <w:r w:rsidRPr="006122EE">
        <w:rPr>
          <w:spacing w:val="32"/>
        </w:rPr>
        <w:t xml:space="preserve"> </w:t>
      </w:r>
      <w:r w:rsidRPr="006122EE">
        <w:rPr>
          <w:rFonts w:cs="Calibri"/>
          <w:spacing w:val="-1"/>
        </w:rPr>
        <w:t>implementation</w:t>
      </w:r>
      <w:r w:rsidRPr="006122EE">
        <w:rPr>
          <w:rFonts w:cs="Calibri"/>
          <w:spacing w:val="26"/>
        </w:rPr>
        <w:t xml:space="preserve"> </w:t>
      </w:r>
      <w:r w:rsidRPr="006122EE">
        <w:rPr>
          <w:rFonts w:cs="Calibri"/>
        </w:rPr>
        <w:t>of</w:t>
      </w:r>
      <w:r w:rsidRPr="006122EE">
        <w:rPr>
          <w:rFonts w:cs="Calibri"/>
          <w:spacing w:val="22"/>
        </w:rPr>
        <w:t xml:space="preserve"> </w:t>
      </w:r>
      <w:r w:rsidRPr="006122EE">
        <w:rPr>
          <w:rFonts w:cs="Calibri"/>
        </w:rPr>
        <w:t>a</w:t>
      </w:r>
      <w:r w:rsidRPr="006122EE">
        <w:rPr>
          <w:rFonts w:cs="Calibri"/>
          <w:spacing w:val="27"/>
        </w:rPr>
        <w:t xml:space="preserve"> </w:t>
      </w:r>
      <w:r w:rsidRPr="006122EE">
        <w:rPr>
          <w:rFonts w:cs="Calibri"/>
        </w:rPr>
        <w:t>“zero</w:t>
      </w:r>
      <w:r w:rsidRPr="006122EE">
        <w:rPr>
          <w:rFonts w:cs="Calibri"/>
          <w:spacing w:val="25"/>
        </w:rPr>
        <w:t xml:space="preserve"> </w:t>
      </w:r>
      <w:r w:rsidRPr="006122EE">
        <w:rPr>
          <w:rFonts w:cs="Calibri"/>
          <w:spacing w:val="-1"/>
        </w:rPr>
        <w:t>deficit</w:t>
      </w:r>
      <w:r w:rsidRPr="006122EE">
        <w:rPr>
          <w:rFonts w:cs="Calibri"/>
          <w:spacing w:val="24"/>
        </w:rPr>
        <w:t xml:space="preserve"> </w:t>
      </w:r>
      <w:r w:rsidRPr="006122EE">
        <w:rPr>
          <w:rFonts w:cs="Calibri"/>
          <w:spacing w:val="-1"/>
        </w:rPr>
        <w:t>budget”</w:t>
      </w:r>
      <w:r w:rsidRPr="006122EE">
        <w:rPr>
          <w:rFonts w:cs="Calibri"/>
          <w:spacing w:val="24"/>
        </w:rPr>
        <w:t xml:space="preserve"> </w:t>
      </w:r>
      <w:r w:rsidRPr="006122EE">
        <w:rPr>
          <w:rFonts w:cs="Calibri"/>
        </w:rPr>
        <w:t>and</w:t>
      </w:r>
      <w:r w:rsidRPr="006122EE">
        <w:rPr>
          <w:rFonts w:cs="Calibri"/>
          <w:spacing w:val="27"/>
        </w:rPr>
        <w:t xml:space="preserve"> </w:t>
      </w:r>
      <w:r w:rsidRPr="006122EE">
        <w:rPr>
          <w:rFonts w:cs="Calibri"/>
          <w:spacing w:val="-1"/>
        </w:rPr>
        <w:t>other</w:t>
      </w:r>
      <w:r w:rsidRPr="006122EE">
        <w:rPr>
          <w:rFonts w:cs="Calibri"/>
          <w:spacing w:val="26"/>
        </w:rPr>
        <w:t xml:space="preserve"> </w:t>
      </w:r>
      <w:r w:rsidRPr="006122EE">
        <w:rPr>
          <w:rFonts w:cs="Calibri"/>
          <w:spacing w:val="-1"/>
        </w:rPr>
        <w:t>austerity</w:t>
      </w:r>
      <w:r w:rsidRPr="006122EE">
        <w:rPr>
          <w:rFonts w:cs="Calibri"/>
          <w:spacing w:val="25"/>
        </w:rPr>
        <w:t xml:space="preserve"> </w:t>
      </w:r>
      <w:r w:rsidRPr="006122EE">
        <w:rPr>
          <w:rFonts w:cs="Calibri"/>
          <w:spacing w:val="-1"/>
        </w:rPr>
        <w:t>and</w:t>
      </w:r>
      <w:r w:rsidRPr="006122EE">
        <w:rPr>
          <w:rFonts w:cs="Calibri"/>
          <w:spacing w:val="67"/>
        </w:rPr>
        <w:t xml:space="preserve"> </w:t>
      </w:r>
      <w:r w:rsidRPr="006122EE">
        <w:t>balance</w:t>
      </w:r>
      <w:r w:rsidRPr="006122EE">
        <w:rPr>
          <w:spacing w:val="-5"/>
        </w:rPr>
        <w:t xml:space="preserve"> </w:t>
      </w:r>
      <w:r w:rsidRPr="006122EE">
        <w:t>of</w:t>
      </w:r>
      <w:r w:rsidRPr="006122EE">
        <w:rPr>
          <w:spacing w:val="-4"/>
        </w:rPr>
        <w:t xml:space="preserve"> </w:t>
      </w:r>
      <w:r w:rsidRPr="006122EE">
        <w:rPr>
          <w:spacing w:val="-1"/>
        </w:rPr>
        <w:t>payment</w:t>
      </w:r>
      <w:r w:rsidRPr="006122EE">
        <w:rPr>
          <w:spacing w:val="-4"/>
        </w:rPr>
        <w:t xml:space="preserve"> </w:t>
      </w:r>
      <w:r w:rsidRPr="006122EE">
        <w:rPr>
          <w:spacing w:val="-1"/>
        </w:rPr>
        <w:t>measures,</w:t>
      </w:r>
      <w:r w:rsidRPr="006122EE">
        <w:rPr>
          <w:spacing w:val="-4"/>
        </w:rPr>
        <w:t xml:space="preserve"> </w:t>
      </w:r>
      <w:r w:rsidRPr="006122EE">
        <w:rPr>
          <w:spacing w:val="-1"/>
        </w:rPr>
        <w:t>including</w:t>
      </w:r>
      <w:r w:rsidRPr="006122EE">
        <w:rPr>
          <w:spacing w:val="-5"/>
        </w:rPr>
        <w:t xml:space="preserve"> </w:t>
      </w:r>
      <w:r w:rsidRPr="006122EE">
        <w:t>the</w:t>
      </w:r>
      <w:r w:rsidRPr="006122EE">
        <w:rPr>
          <w:spacing w:val="-3"/>
        </w:rPr>
        <w:t xml:space="preserve"> </w:t>
      </w:r>
      <w:r w:rsidRPr="006122EE">
        <w:rPr>
          <w:spacing w:val="-1"/>
        </w:rPr>
        <w:t>devaluation</w:t>
      </w:r>
      <w:r w:rsidRPr="006122EE">
        <w:rPr>
          <w:spacing w:val="-4"/>
        </w:rPr>
        <w:t xml:space="preserve"> </w:t>
      </w:r>
      <w:r w:rsidRPr="006122EE">
        <w:t>of</w:t>
      </w:r>
      <w:r w:rsidRPr="006122EE">
        <w:rPr>
          <w:spacing w:val="-5"/>
        </w:rPr>
        <w:t xml:space="preserve"> </w:t>
      </w:r>
      <w:r w:rsidRPr="006122EE">
        <w:rPr>
          <w:spacing w:val="-1"/>
        </w:rPr>
        <w:t>the</w:t>
      </w:r>
      <w:r w:rsidRPr="006122EE">
        <w:rPr>
          <w:spacing w:val="-2"/>
        </w:rPr>
        <w:t xml:space="preserve"> </w:t>
      </w:r>
      <w:r w:rsidRPr="006122EE">
        <w:t>local</w:t>
      </w:r>
      <w:r w:rsidRPr="006122EE">
        <w:rPr>
          <w:spacing w:val="-5"/>
        </w:rPr>
        <w:t xml:space="preserve"> </w:t>
      </w:r>
      <w:r w:rsidRPr="006122EE">
        <w:rPr>
          <w:spacing w:val="-1"/>
        </w:rPr>
        <w:t>currency.</w:t>
      </w:r>
    </w:p>
    <w:p w14:paraId="3F5A5460" w14:textId="77777777" w:rsidR="00937935" w:rsidRPr="006122EE" w:rsidRDefault="00B47B82" w:rsidP="00B53E51">
      <w:pPr>
        <w:pStyle w:val="BodyText"/>
        <w:spacing w:before="25" w:line="276" w:lineRule="auto"/>
        <w:ind w:right="111"/>
      </w:pPr>
      <w:r w:rsidRPr="006122EE">
        <w:rPr>
          <w:rFonts w:cs="Calibri"/>
        </w:rPr>
        <w:t>The</w:t>
      </w:r>
      <w:r w:rsidRPr="006122EE">
        <w:rPr>
          <w:rFonts w:cs="Calibri"/>
          <w:spacing w:val="24"/>
        </w:rPr>
        <w:t xml:space="preserve"> </w:t>
      </w:r>
      <w:r w:rsidRPr="006122EE">
        <w:rPr>
          <w:rFonts w:cs="Calibri"/>
          <w:spacing w:val="-1"/>
        </w:rPr>
        <w:t>United</w:t>
      </w:r>
      <w:r w:rsidRPr="006122EE">
        <w:rPr>
          <w:rFonts w:cs="Calibri"/>
          <w:spacing w:val="25"/>
        </w:rPr>
        <w:t xml:space="preserve"> </w:t>
      </w:r>
      <w:r w:rsidRPr="006122EE">
        <w:rPr>
          <w:rFonts w:cs="Calibri"/>
          <w:spacing w:val="-1"/>
        </w:rPr>
        <w:t>Nations</w:t>
      </w:r>
      <w:r w:rsidRPr="006122EE">
        <w:rPr>
          <w:rFonts w:cs="Calibri"/>
          <w:spacing w:val="21"/>
        </w:rPr>
        <w:t xml:space="preserve"> </w:t>
      </w:r>
      <w:r w:rsidRPr="006122EE">
        <w:rPr>
          <w:rFonts w:cs="Calibri"/>
          <w:spacing w:val="-1"/>
        </w:rPr>
        <w:t>Human</w:t>
      </w:r>
      <w:r w:rsidRPr="006122EE">
        <w:rPr>
          <w:rFonts w:cs="Calibri"/>
          <w:spacing w:val="25"/>
        </w:rPr>
        <w:t xml:space="preserve"> </w:t>
      </w:r>
      <w:r w:rsidRPr="006122EE">
        <w:rPr>
          <w:rFonts w:cs="Calibri"/>
          <w:spacing w:val="-1"/>
        </w:rPr>
        <w:t>Development</w:t>
      </w:r>
      <w:r w:rsidRPr="006122EE">
        <w:rPr>
          <w:rFonts w:cs="Calibri"/>
          <w:spacing w:val="22"/>
        </w:rPr>
        <w:t xml:space="preserve"> </w:t>
      </w:r>
      <w:r w:rsidRPr="006122EE">
        <w:rPr>
          <w:rFonts w:cs="Calibri"/>
          <w:spacing w:val="-1"/>
        </w:rPr>
        <w:t>report</w:t>
      </w:r>
      <w:r w:rsidRPr="006122EE">
        <w:rPr>
          <w:rFonts w:cs="Calibri"/>
          <w:spacing w:val="25"/>
        </w:rPr>
        <w:t xml:space="preserve"> </w:t>
      </w:r>
      <w:r w:rsidRPr="006122EE">
        <w:rPr>
          <w:rFonts w:cs="Calibri"/>
          <w:spacing w:val="-1"/>
        </w:rPr>
        <w:t>of</w:t>
      </w:r>
      <w:r w:rsidRPr="006122EE">
        <w:rPr>
          <w:rFonts w:cs="Calibri"/>
          <w:spacing w:val="25"/>
        </w:rPr>
        <w:t xml:space="preserve"> </w:t>
      </w:r>
      <w:r w:rsidRPr="006122EE">
        <w:rPr>
          <w:rFonts w:cs="Calibri"/>
          <w:spacing w:val="-1"/>
        </w:rPr>
        <w:t>2011</w:t>
      </w:r>
      <w:r w:rsidRPr="006122EE">
        <w:rPr>
          <w:rFonts w:cs="Calibri"/>
          <w:spacing w:val="25"/>
        </w:rPr>
        <w:t xml:space="preserve"> </w:t>
      </w:r>
      <w:r w:rsidRPr="006122EE">
        <w:rPr>
          <w:rFonts w:cs="Calibri"/>
          <w:spacing w:val="-1"/>
        </w:rPr>
        <w:t>categorizes</w:t>
      </w:r>
      <w:r w:rsidRPr="006122EE">
        <w:rPr>
          <w:rFonts w:cs="Calibri"/>
          <w:spacing w:val="22"/>
        </w:rPr>
        <w:t xml:space="preserve"> </w:t>
      </w:r>
      <w:r w:rsidRPr="006122EE">
        <w:rPr>
          <w:rFonts w:cs="Calibri"/>
        </w:rPr>
        <w:t>Malawi’s</w:t>
      </w:r>
      <w:r w:rsidRPr="006122EE">
        <w:rPr>
          <w:rFonts w:cs="Calibri"/>
          <w:spacing w:val="23"/>
        </w:rPr>
        <w:t xml:space="preserve"> </w:t>
      </w:r>
      <w:r w:rsidRPr="006122EE">
        <w:rPr>
          <w:rFonts w:cs="Calibri"/>
          <w:spacing w:val="-1"/>
        </w:rPr>
        <w:t>human</w:t>
      </w:r>
      <w:r w:rsidRPr="006122EE">
        <w:rPr>
          <w:rFonts w:cs="Calibri"/>
          <w:spacing w:val="71"/>
        </w:rPr>
        <w:t xml:space="preserve"> </w:t>
      </w:r>
      <w:r w:rsidRPr="006122EE">
        <w:rPr>
          <w:spacing w:val="-1"/>
        </w:rPr>
        <w:t>development</w:t>
      </w:r>
      <w:r w:rsidRPr="006122EE">
        <w:rPr>
          <w:spacing w:val="41"/>
        </w:rPr>
        <w:t xml:space="preserve"> </w:t>
      </w:r>
      <w:r w:rsidRPr="006122EE">
        <w:t>as</w:t>
      </w:r>
      <w:r w:rsidRPr="006122EE">
        <w:rPr>
          <w:spacing w:val="41"/>
        </w:rPr>
        <w:t xml:space="preserve"> </w:t>
      </w:r>
      <w:r w:rsidRPr="006122EE">
        <w:t>low</w:t>
      </w:r>
      <w:r w:rsidRPr="006122EE">
        <w:rPr>
          <w:spacing w:val="39"/>
        </w:rPr>
        <w:t xml:space="preserve"> </w:t>
      </w:r>
      <w:r w:rsidRPr="006122EE">
        <w:rPr>
          <w:spacing w:val="-1"/>
        </w:rPr>
        <w:t>and</w:t>
      </w:r>
      <w:r w:rsidRPr="006122EE">
        <w:rPr>
          <w:spacing w:val="42"/>
        </w:rPr>
        <w:t xml:space="preserve"> </w:t>
      </w:r>
      <w:r w:rsidRPr="006122EE">
        <w:t>is</w:t>
      </w:r>
      <w:r w:rsidRPr="006122EE">
        <w:rPr>
          <w:spacing w:val="40"/>
        </w:rPr>
        <w:t xml:space="preserve"> </w:t>
      </w:r>
      <w:r w:rsidRPr="006122EE">
        <w:rPr>
          <w:spacing w:val="-1"/>
        </w:rPr>
        <w:t>ranked</w:t>
      </w:r>
      <w:r w:rsidRPr="006122EE">
        <w:rPr>
          <w:spacing w:val="43"/>
        </w:rPr>
        <w:t xml:space="preserve"> </w:t>
      </w:r>
      <w:r w:rsidRPr="006122EE">
        <w:t>at</w:t>
      </w:r>
      <w:r w:rsidRPr="006122EE">
        <w:rPr>
          <w:spacing w:val="39"/>
        </w:rPr>
        <w:t xml:space="preserve"> </w:t>
      </w:r>
      <w:r w:rsidRPr="006122EE">
        <w:t>171</w:t>
      </w:r>
      <w:r w:rsidRPr="006122EE">
        <w:rPr>
          <w:spacing w:val="42"/>
        </w:rPr>
        <w:t xml:space="preserve"> </w:t>
      </w:r>
      <w:r w:rsidRPr="006122EE">
        <w:rPr>
          <w:spacing w:val="-1"/>
        </w:rPr>
        <w:t>out</w:t>
      </w:r>
      <w:r w:rsidRPr="006122EE">
        <w:rPr>
          <w:spacing w:val="39"/>
        </w:rPr>
        <w:t xml:space="preserve"> </w:t>
      </w:r>
      <w:r w:rsidRPr="006122EE">
        <w:t>of</w:t>
      </w:r>
      <w:r w:rsidRPr="006122EE">
        <w:rPr>
          <w:spacing w:val="42"/>
        </w:rPr>
        <w:t xml:space="preserve"> </w:t>
      </w:r>
      <w:r w:rsidRPr="006122EE">
        <w:rPr>
          <w:spacing w:val="-1"/>
        </w:rPr>
        <w:t>187</w:t>
      </w:r>
      <w:r w:rsidRPr="006122EE">
        <w:rPr>
          <w:spacing w:val="41"/>
        </w:rPr>
        <w:t xml:space="preserve"> </w:t>
      </w:r>
      <w:r w:rsidRPr="006122EE">
        <w:rPr>
          <w:spacing w:val="-1"/>
        </w:rPr>
        <w:t>countries</w:t>
      </w:r>
      <w:r w:rsidRPr="006122EE">
        <w:rPr>
          <w:spacing w:val="41"/>
        </w:rPr>
        <w:t xml:space="preserve"> </w:t>
      </w:r>
      <w:r w:rsidRPr="006122EE">
        <w:rPr>
          <w:spacing w:val="-1"/>
        </w:rPr>
        <w:t>that</w:t>
      </w:r>
      <w:r w:rsidRPr="006122EE">
        <w:rPr>
          <w:spacing w:val="41"/>
        </w:rPr>
        <w:t xml:space="preserve"> </w:t>
      </w:r>
      <w:r w:rsidRPr="006122EE">
        <w:rPr>
          <w:spacing w:val="-1"/>
        </w:rPr>
        <w:t>were</w:t>
      </w:r>
      <w:r w:rsidRPr="006122EE">
        <w:rPr>
          <w:spacing w:val="42"/>
        </w:rPr>
        <w:t xml:space="preserve"> </w:t>
      </w:r>
      <w:r w:rsidRPr="006122EE">
        <w:t>assessed.</w:t>
      </w:r>
      <w:r w:rsidRPr="006122EE">
        <w:rPr>
          <w:spacing w:val="27"/>
        </w:rPr>
        <w:t xml:space="preserve"> </w:t>
      </w:r>
      <w:r w:rsidRPr="006122EE">
        <w:rPr>
          <w:spacing w:val="-1"/>
        </w:rPr>
        <w:t>Through</w:t>
      </w:r>
      <w:r w:rsidRPr="006122EE">
        <w:rPr>
          <w:spacing w:val="65"/>
        </w:rPr>
        <w:t xml:space="preserve"> </w:t>
      </w:r>
      <w:r w:rsidRPr="006122EE">
        <w:rPr>
          <w:spacing w:val="-1"/>
        </w:rPr>
        <w:t>MGDS</w:t>
      </w:r>
      <w:r w:rsidRPr="006122EE">
        <w:rPr>
          <w:spacing w:val="12"/>
        </w:rPr>
        <w:t xml:space="preserve"> </w:t>
      </w:r>
      <w:r w:rsidRPr="006122EE">
        <w:rPr>
          <w:spacing w:val="-1"/>
        </w:rPr>
        <w:t>II,</w:t>
      </w:r>
      <w:r w:rsidRPr="006122EE">
        <w:rPr>
          <w:spacing w:val="12"/>
        </w:rPr>
        <w:t xml:space="preserve"> </w:t>
      </w:r>
      <w:r w:rsidRPr="006122EE">
        <w:t>Malawi</w:t>
      </w:r>
      <w:r w:rsidRPr="006122EE">
        <w:rPr>
          <w:spacing w:val="10"/>
        </w:rPr>
        <w:t xml:space="preserve"> </w:t>
      </w:r>
      <w:r w:rsidRPr="006122EE">
        <w:t>Government</w:t>
      </w:r>
      <w:r w:rsidRPr="006122EE">
        <w:rPr>
          <w:spacing w:val="13"/>
        </w:rPr>
        <w:t xml:space="preserve"> </w:t>
      </w:r>
      <w:r w:rsidRPr="006122EE">
        <w:t>is</w:t>
      </w:r>
      <w:r w:rsidRPr="006122EE">
        <w:rPr>
          <w:spacing w:val="11"/>
        </w:rPr>
        <w:t xml:space="preserve"> </w:t>
      </w:r>
      <w:r w:rsidRPr="006122EE">
        <w:rPr>
          <w:spacing w:val="-1"/>
        </w:rPr>
        <w:t>committed</w:t>
      </w:r>
      <w:r w:rsidRPr="006122EE">
        <w:rPr>
          <w:spacing w:val="10"/>
        </w:rPr>
        <w:t xml:space="preserve"> </w:t>
      </w:r>
      <w:r w:rsidRPr="006122EE">
        <w:t>to</w:t>
      </w:r>
      <w:r w:rsidRPr="006122EE">
        <w:rPr>
          <w:spacing w:val="12"/>
        </w:rPr>
        <w:t xml:space="preserve"> </w:t>
      </w:r>
      <w:r w:rsidRPr="006122EE">
        <w:rPr>
          <w:spacing w:val="-1"/>
        </w:rPr>
        <w:t>the</w:t>
      </w:r>
      <w:r w:rsidRPr="006122EE">
        <w:rPr>
          <w:spacing w:val="69"/>
          <w:w w:val="99"/>
        </w:rPr>
        <w:t xml:space="preserve"> </w:t>
      </w:r>
      <w:r w:rsidRPr="006122EE">
        <w:rPr>
          <w:spacing w:val="-1"/>
        </w:rPr>
        <w:t>implementation</w:t>
      </w:r>
      <w:r w:rsidRPr="006122EE">
        <w:rPr>
          <w:spacing w:val="10"/>
        </w:rPr>
        <w:t xml:space="preserve"> </w:t>
      </w:r>
      <w:r w:rsidRPr="006122EE">
        <w:t>of</w:t>
      </w:r>
      <w:r w:rsidRPr="006122EE">
        <w:rPr>
          <w:spacing w:val="8"/>
        </w:rPr>
        <w:t xml:space="preserve"> </w:t>
      </w:r>
      <w:r w:rsidRPr="006122EE">
        <w:rPr>
          <w:spacing w:val="-1"/>
        </w:rPr>
        <w:t>Millennium</w:t>
      </w:r>
      <w:r w:rsidRPr="006122EE">
        <w:rPr>
          <w:spacing w:val="10"/>
        </w:rPr>
        <w:t xml:space="preserve"> </w:t>
      </w:r>
      <w:r w:rsidRPr="006122EE">
        <w:rPr>
          <w:spacing w:val="-1"/>
        </w:rPr>
        <w:t>Development</w:t>
      </w:r>
      <w:r w:rsidRPr="006122EE">
        <w:rPr>
          <w:spacing w:val="10"/>
        </w:rPr>
        <w:t xml:space="preserve"> </w:t>
      </w:r>
      <w:r w:rsidRPr="006122EE">
        <w:rPr>
          <w:spacing w:val="-1"/>
        </w:rPr>
        <w:t>Goals</w:t>
      </w:r>
      <w:r w:rsidRPr="006122EE">
        <w:rPr>
          <w:spacing w:val="9"/>
        </w:rPr>
        <w:t xml:space="preserve"> </w:t>
      </w:r>
      <w:r w:rsidRPr="006122EE">
        <w:rPr>
          <w:spacing w:val="-1"/>
        </w:rPr>
        <w:t>(MDGs).</w:t>
      </w:r>
      <w:r w:rsidRPr="006122EE">
        <w:rPr>
          <w:spacing w:val="18"/>
        </w:rPr>
        <w:t xml:space="preserve"> </w:t>
      </w:r>
      <w:r w:rsidRPr="006122EE">
        <w:t>MGDS</w:t>
      </w:r>
      <w:r w:rsidRPr="006122EE">
        <w:rPr>
          <w:spacing w:val="9"/>
        </w:rPr>
        <w:t xml:space="preserve"> </w:t>
      </w:r>
      <w:r w:rsidRPr="006122EE">
        <w:t>II</w:t>
      </w:r>
      <w:r w:rsidRPr="006122EE">
        <w:rPr>
          <w:spacing w:val="9"/>
        </w:rPr>
        <w:t xml:space="preserve"> </w:t>
      </w:r>
      <w:r w:rsidRPr="006122EE">
        <w:t>is</w:t>
      </w:r>
      <w:r w:rsidRPr="006122EE">
        <w:rPr>
          <w:spacing w:val="9"/>
        </w:rPr>
        <w:t xml:space="preserve"> </w:t>
      </w:r>
      <w:r w:rsidRPr="006122EE">
        <w:rPr>
          <w:spacing w:val="-1"/>
        </w:rPr>
        <w:t>the</w:t>
      </w:r>
      <w:r w:rsidRPr="006122EE">
        <w:rPr>
          <w:spacing w:val="10"/>
        </w:rPr>
        <w:t xml:space="preserve"> </w:t>
      </w:r>
      <w:r w:rsidRPr="006122EE">
        <w:rPr>
          <w:spacing w:val="-1"/>
        </w:rPr>
        <w:t>current</w:t>
      </w:r>
      <w:r w:rsidRPr="006122EE">
        <w:rPr>
          <w:spacing w:val="8"/>
        </w:rPr>
        <w:t xml:space="preserve"> </w:t>
      </w:r>
      <w:r w:rsidRPr="006122EE">
        <w:rPr>
          <w:spacing w:val="-1"/>
        </w:rPr>
        <w:t>medium</w:t>
      </w:r>
      <w:r w:rsidRPr="006122EE">
        <w:rPr>
          <w:spacing w:val="10"/>
        </w:rPr>
        <w:t xml:space="preserve"> </w:t>
      </w:r>
      <w:r w:rsidRPr="006122EE">
        <w:rPr>
          <w:spacing w:val="-1"/>
        </w:rPr>
        <w:t>term</w:t>
      </w:r>
      <w:r w:rsidRPr="006122EE">
        <w:rPr>
          <w:spacing w:val="73"/>
          <w:w w:val="99"/>
        </w:rPr>
        <w:t xml:space="preserve"> </w:t>
      </w:r>
      <w:r w:rsidRPr="006122EE">
        <w:rPr>
          <w:spacing w:val="-1"/>
        </w:rPr>
        <w:t>overarching development</w:t>
      </w:r>
      <w:r w:rsidRPr="006122EE">
        <w:rPr>
          <w:spacing w:val="1"/>
        </w:rPr>
        <w:t xml:space="preserve"> </w:t>
      </w:r>
      <w:r w:rsidRPr="006122EE">
        <w:rPr>
          <w:spacing w:val="-1"/>
        </w:rPr>
        <w:t>strategy which</w:t>
      </w:r>
      <w:r w:rsidRPr="006122EE">
        <w:rPr>
          <w:spacing w:val="1"/>
        </w:rPr>
        <w:t xml:space="preserve"> </w:t>
      </w:r>
      <w:r w:rsidRPr="006122EE">
        <w:t xml:space="preserve">is </w:t>
      </w:r>
      <w:r w:rsidRPr="006122EE">
        <w:rPr>
          <w:spacing w:val="-1"/>
        </w:rPr>
        <w:t>supposed</w:t>
      </w:r>
      <w:r w:rsidRPr="006122EE">
        <w:rPr>
          <w:spacing w:val="1"/>
        </w:rPr>
        <w:t xml:space="preserve"> </w:t>
      </w:r>
      <w:r w:rsidRPr="006122EE">
        <w:t>to</w:t>
      </w:r>
      <w:r w:rsidRPr="006122EE">
        <w:rPr>
          <w:spacing w:val="1"/>
        </w:rPr>
        <w:t xml:space="preserve"> </w:t>
      </w:r>
      <w:r w:rsidRPr="006122EE">
        <w:rPr>
          <w:spacing w:val="-1"/>
        </w:rPr>
        <w:t>run</w:t>
      </w:r>
      <w:r w:rsidRPr="006122EE">
        <w:rPr>
          <w:spacing w:val="2"/>
        </w:rPr>
        <w:t xml:space="preserve"> </w:t>
      </w:r>
      <w:r w:rsidRPr="006122EE">
        <w:t xml:space="preserve">for </w:t>
      </w:r>
      <w:r w:rsidRPr="006122EE">
        <w:rPr>
          <w:spacing w:val="-1"/>
        </w:rPr>
        <w:t>the</w:t>
      </w:r>
      <w:r w:rsidRPr="006122EE">
        <w:rPr>
          <w:spacing w:val="1"/>
        </w:rPr>
        <w:t xml:space="preserve"> </w:t>
      </w:r>
      <w:r w:rsidRPr="006122EE">
        <w:rPr>
          <w:spacing w:val="-1"/>
        </w:rPr>
        <w:t xml:space="preserve">period </w:t>
      </w:r>
      <w:r w:rsidRPr="006122EE">
        <w:t>2012</w:t>
      </w:r>
      <w:r w:rsidRPr="006122EE">
        <w:rPr>
          <w:spacing w:val="1"/>
        </w:rPr>
        <w:t xml:space="preserve"> </w:t>
      </w:r>
      <w:r w:rsidRPr="006122EE">
        <w:t>to</w:t>
      </w:r>
      <w:r w:rsidRPr="006122EE">
        <w:rPr>
          <w:spacing w:val="1"/>
        </w:rPr>
        <w:t xml:space="preserve"> </w:t>
      </w:r>
      <w:r w:rsidRPr="006122EE">
        <w:rPr>
          <w:spacing w:val="-1"/>
        </w:rPr>
        <w:t>2017.</w:t>
      </w:r>
      <w:r w:rsidRPr="006122EE">
        <w:rPr>
          <w:spacing w:val="1"/>
        </w:rPr>
        <w:t xml:space="preserve"> </w:t>
      </w:r>
      <w:r w:rsidRPr="006122EE">
        <w:t>In</w:t>
      </w:r>
      <w:r w:rsidRPr="006122EE">
        <w:rPr>
          <w:spacing w:val="1"/>
        </w:rPr>
        <w:t xml:space="preserve"> </w:t>
      </w:r>
      <w:r w:rsidRPr="006122EE">
        <w:rPr>
          <w:spacing w:val="-1"/>
        </w:rPr>
        <w:t>terms</w:t>
      </w:r>
      <w:r w:rsidRPr="006122EE">
        <w:rPr>
          <w:spacing w:val="89"/>
        </w:rPr>
        <w:t xml:space="preserve"> </w:t>
      </w:r>
      <w:r w:rsidRPr="006122EE">
        <w:t>of</w:t>
      </w:r>
      <w:r w:rsidRPr="006122EE">
        <w:rPr>
          <w:spacing w:val="16"/>
        </w:rPr>
        <w:t xml:space="preserve"> </w:t>
      </w:r>
      <w:r w:rsidRPr="006122EE">
        <w:rPr>
          <w:spacing w:val="-1"/>
        </w:rPr>
        <w:t>achievement</w:t>
      </w:r>
      <w:r w:rsidRPr="006122EE">
        <w:rPr>
          <w:spacing w:val="16"/>
        </w:rPr>
        <w:t xml:space="preserve"> </w:t>
      </w:r>
      <w:r w:rsidRPr="006122EE">
        <w:rPr>
          <w:spacing w:val="-1"/>
        </w:rPr>
        <w:t>of</w:t>
      </w:r>
      <w:r w:rsidRPr="006122EE">
        <w:rPr>
          <w:spacing w:val="18"/>
        </w:rPr>
        <w:t xml:space="preserve"> </w:t>
      </w:r>
      <w:r w:rsidRPr="006122EE">
        <w:rPr>
          <w:spacing w:val="-1"/>
        </w:rPr>
        <w:t>MDGs,</w:t>
      </w:r>
      <w:r w:rsidRPr="006122EE">
        <w:rPr>
          <w:spacing w:val="15"/>
        </w:rPr>
        <w:t xml:space="preserve"> </w:t>
      </w:r>
      <w:r w:rsidRPr="006122EE">
        <w:t>Malawi</w:t>
      </w:r>
      <w:r w:rsidRPr="006122EE">
        <w:rPr>
          <w:spacing w:val="15"/>
        </w:rPr>
        <w:t xml:space="preserve"> </w:t>
      </w:r>
      <w:r w:rsidRPr="006122EE">
        <w:t>is</w:t>
      </w:r>
      <w:r w:rsidRPr="006122EE">
        <w:rPr>
          <w:spacing w:val="15"/>
        </w:rPr>
        <w:t xml:space="preserve"> </w:t>
      </w:r>
      <w:r w:rsidRPr="006122EE">
        <w:t>on</w:t>
      </w:r>
      <w:r w:rsidRPr="006122EE">
        <w:rPr>
          <w:spacing w:val="16"/>
        </w:rPr>
        <w:t xml:space="preserve"> </w:t>
      </w:r>
      <w:r w:rsidRPr="006122EE">
        <w:rPr>
          <w:spacing w:val="-1"/>
        </w:rPr>
        <w:t>course</w:t>
      </w:r>
      <w:r w:rsidRPr="006122EE">
        <w:rPr>
          <w:spacing w:val="16"/>
        </w:rPr>
        <w:t xml:space="preserve"> </w:t>
      </w:r>
      <w:r w:rsidRPr="006122EE">
        <w:rPr>
          <w:spacing w:val="-1"/>
        </w:rPr>
        <w:t>to</w:t>
      </w:r>
      <w:r w:rsidRPr="006122EE">
        <w:rPr>
          <w:spacing w:val="15"/>
        </w:rPr>
        <w:t xml:space="preserve"> </w:t>
      </w:r>
      <w:r w:rsidRPr="006122EE">
        <w:rPr>
          <w:spacing w:val="-1"/>
        </w:rPr>
        <w:t>attain</w:t>
      </w:r>
      <w:r w:rsidRPr="006122EE">
        <w:rPr>
          <w:spacing w:val="16"/>
        </w:rPr>
        <w:t xml:space="preserve"> </w:t>
      </w:r>
      <w:r w:rsidRPr="006122EE">
        <w:t>at</w:t>
      </w:r>
      <w:r w:rsidRPr="006122EE">
        <w:rPr>
          <w:spacing w:val="16"/>
        </w:rPr>
        <w:t xml:space="preserve"> </w:t>
      </w:r>
      <w:r w:rsidRPr="006122EE">
        <w:rPr>
          <w:spacing w:val="-1"/>
        </w:rPr>
        <w:t>least</w:t>
      </w:r>
      <w:r w:rsidRPr="006122EE">
        <w:rPr>
          <w:spacing w:val="16"/>
        </w:rPr>
        <w:t xml:space="preserve"> </w:t>
      </w:r>
      <w:r w:rsidRPr="006122EE">
        <w:t>five</w:t>
      </w:r>
      <w:r w:rsidRPr="006122EE">
        <w:rPr>
          <w:spacing w:val="15"/>
        </w:rPr>
        <w:t xml:space="preserve"> </w:t>
      </w:r>
      <w:r w:rsidRPr="006122EE">
        <w:rPr>
          <w:spacing w:val="-1"/>
        </w:rPr>
        <w:t>out</w:t>
      </w:r>
      <w:r w:rsidRPr="006122EE">
        <w:rPr>
          <w:spacing w:val="15"/>
        </w:rPr>
        <w:t xml:space="preserve"> </w:t>
      </w:r>
      <w:r w:rsidRPr="006122EE">
        <w:t>of</w:t>
      </w:r>
      <w:r w:rsidRPr="006122EE">
        <w:rPr>
          <w:spacing w:val="16"/>
        </w:rPr>
        <w:t xml:space="preserve"> </w:t>
      </w:r>
      <w:r w:rsidRPr="006122EE">
        <w:t>the</w:t>
      </w:r>
      <w:r w:rsidRPr="006122EE">
        <w:rPr>
          <w:spacing w:val="16"/>
        </w:rPr>
        <w:t xml:space="preserve"> </w:t>
      </w:r>
      <w:r w:rsidRPr="006122EE">
        <w:rPr>
          <w:spacing w:val="-1"/>
        </w:rPr>
        <w:t>eight</w:t>
      </w:r>
      <w:r w:rsidRPr="006122EE">
        <w:rPr>
          <w:spacing w:val="14"/>
        </w:rPr>
        <w:t xml:space="preserve"> </w:t>
      </w:r>
      <w:r w:rsidRPr="006122EE">
        <w:t>MDGs.</w:t>
      </w:r>
      <w:r w:rsidRPr="006122EE">
        <w:rPr>
          <w:spacing w:val="41"/>
        </w:rPr>
        <w:t xml:space="preserve"> </w:t>
      </w:r>
      <w:r w:rsidRPr="006122EE">
        <w:rPr>
          <w:spacing w:val="-1"/>
        </w:rPr>
        <w:t>The</w:t>
      </w:r>
      <w:r w:rsidRPr="006122EE">
        <w:rPr>
          <w:spacing w:val="55"/>
          <w:w w:val="99"/>
        </w:rPr>
        <w:t xml:space="preserve"> </w:t>
      </w:r>
      <w:r w:rsidRPr="006122EE">
        <w:rPr>
          <w:spacing w:val="-1"/>
        </w:rPr>
        <w:t>three</w:t>
      </w:r>
      <w:r w:rsidRPr="006122EE">
        <w:rPr>
          <w:spacing w:val="43"/>
        </w:rPr>
        <w:t xml:space="preserve"> </w:t>
      </w:r>
      <w:r w:rsidRPr="006122EE">
        <w:rPr>
          <w:spacing w:val="-1"/>
        </w:rPr>
        <w:t>that</w:t>
      </w:r>
      <w:r w:rsidRPr="006122EE">
        <w:rPr>
          <w:spacing w:val="45"/>
        </w:rPr>
        <w:t xml:space="preserve"> </w:t>
      </w:r>
      <w:r w:rsidRPr="006122EE">
        <w:t>are</w:t>
      </w:r>
      <w:r w:rsidRPr="006122EE">
        <w:rPr>
          <w:spacing w:val="44"/>
        </w:rPr>
        <w:t xml:space="preserve"> </w:t>
      </w:r>
      <w:r w:rsidRPr="006122EE">
        <w:rPr>
          <w:spacing w:val="-1"/>
        </w:rPr>
        <w:t>unlikely</w:t>
      </w:r>
      <w:r w:rsidRPr="006122EE">
        <w:rPr>
          <w:spacing w:val="43"/>
        </w:rPr>
        <w:t xml:space="preserve"> </w:t>
      </w:r>
      <w:r w:rsidRPr="006122EE">
        <w:t>to</w:t>
      </w:r>
      <w:r w:rsidRPr="006122EE">
        <w:rPr>
          <w:spacing w:val="43"/>
        </w:rPr>
        <w:t xml:space="preserve"> </w:t>
      </w:r>
      <w:r w:rsidRPr="006122EE">
        <w:t>be</w:t>
      </w:r>
      <w:r w:rsidRPr="006122EE">
        <w:rPr>
          <w:spacing w:val="44"/>
        </w:rPr>
        <w:t xml:space="preserve"> </w:t>
      </w:r>
      <w:r w:rsidRPr="006122EE">
        <w:rPr>
          <w:spacing w:val="-1"/>
        </w:rPr>
        <w:t>attained</w:t>
      </w:r>
      <w:r w:rsidRPr="006122EE">
        <w:rPr>
          <w:spacing w:val="45"/>
        </w:rPr>
        <w:t xml:space="preserve"> </w:t>
      </w:r>
      <w:r w:rsidRPr="006122EE">
        <w:rPr>
          <w:spacing w:val="-1"/>
        </w:rPr>
        <w:t>include</w:t>
      </w:r>
      <w:r w:rsidRPr="006122EE">
        <w:rPr>
          <w:spacing w:val="48"/>
        </w:rPr>
        <w:t xml:space="preserve"> </w:t>
      </w:r>
      <w:r w:rsidRPr="006122EE">
        <w:rPr>
          <w:rFonts w:cs="Calibri"/>
          <w:spacing w:val="-1"/>
        </w:rPr>
        <w:t>achieving</w:t>
      </w:r>
      <w:r w:rsidRPr="006122EE">
        <w:rPr>
          <w:rFonts w:cs="Calibri"/>
          <w:spacing w:val="43"/>
        </w:rPr>
        <w:t xml:space="preserve"> </w:t>
      </w:r>
      <w:r w:rsidRPr="006122EE">
        <w:rPr>
          <w:rFonts w:cs="Calibri"/>
          <w:spacing w:val="-1"/>
        </w:rPr>
        <w:t>universal</w:t>
      </w:r>
      <w:r w:rsidRPr="006122EE">
        <w:rPr>
          <w:rFonts w:cs="Calibri"/>
          <w:spacing w:val="43"/>
        </w:rPr>
        <w:t xml:space="preserve"> </w:t>
      </w:r>
      <w:r w:rsidRPr="006122EE">
        <w:rPr>
          <w:rFonts w:cs="Calibri"/>
          <w:spacing w:val="-1"/>
        </w:rPr>
        <w:t>primary</w:t>
      </w:r>
      <w:r w:rsidRPr="006122EE">
        <w:rPr>
          <w:rFonts w:cs="Calibri"/>
          <w:spacing w:val="43"/>
        </w:rPr>
        <w:t xml:space="preserve"> </w:t>
      </w:r>
      <w:r w:rsidRPr="006122EE">
        <w:rPr>
          <w:rFonts w:cs="Calibri"/>
          <w:spacing w:val="-1"/>
        </w:rPr>
        <w:t>education,</w:t>
      </w:r>
      <w:r w:rsidRPr="006122EE">
        <w:rPr>
          <w:rFonts w:cs="Calibri"/>
          <w:spacing w:val="43"/>
        </w:rPr>
        <w:t xml:space="preserve"> </w:t>
      </w:r>
      <w:r w:rsidRPr="006122EE">
        <w:rPr>
          <w:rFonts w:cs="Calibri"/>
        </w:rPr>
        <w:t>reducing</w:t>
      </w:r>
      <w:r w:rsidRPr="006122EE">
        <w:rPr>
          <w:rFonts w:cs="Calibri"/>
          <w:spacing w:val="79"/>
        </w:rPr>
        <w:t xml:space="preserve"> </w:t>
      </w:r>
      <w:r w:rsidRPr="006122EE">
        <w:rPr>
          <w:rFonts w:cs="Calibri"/>
          <w:spacing w:val="-1"/>
        </w:rPr>
        <w:t>gender</w:t>
      </w:r>
      <w:r w:rsidRPr="006122EE">
        <w:rPr>
          <w:rFonts w:cs="Calibri"/>
          <w:spacing w:val="21"/>
        </w:rPr>
        <w:t xml:space="preserve"> </w:t>
      </w:r>
      <w:r w:rsidRPr="006122EE">
        <w:rPr>
          <w:rFonts w:cs="Calibri"/>
          <w:spacing w:val="-1"/>
        </w:rPr>
        <w:t>inequality</w:t>
      </w:r>
      <w:r w:rsidRPr="006122EE">
        <w:rPr>
          <w:rFonts w:cs="Calibri"/>
          <w:spacing w:val="23"/>
        </w:rPr>
        <w:t xml:space="preserve"> </w:t>
      </w:r>
      <w:r w:rsidRPr="006122EE">
        <w:t>and</w:t>
      </w:r>
      <w:r w:rsidRPr="006122EE">
        <w:rPr>
          <w:spacing w:val="24"/>
        </w:rPr>
        <w:t xml:space="preserve"> </w:t>
      </w:r>
      <w:r w:rsidRPr="006122EE">
        <w:rPr>
          <w:rFonts w:cs="Calibri"/>
          <w:spacing w:val="-1"/>
        </w:rPr>
        <w:t>maternal</w:t>
      </w:r>
      <w:r w:rsidRPr="006122EE">
        <w:rPr>
          <w:rFonts w:cs="Calibri"/>
          <w:spacing w:val="21"/>
        </w:rPr>
        <w:t xml:space="preserve"> </w:t>
      </w:r>
      <w:r w:rsidRPr="006122EE">
        <w:rPr>
          <w:rFonts w:cs="Calibri"/>
        </w:rPr>
        <w:t>mortality</w:t>
      </w:r>
      <w:r w:rsidRPr="006122EE">
        <w:t>,</w:t>
      </w:r>
      <w:r w:rsidRPr="006122EE">
        <w:rPr>
          <w:spacing w:val="21"/>
        </w:rPr>
        <w:t xml:space="preserve"> </w:t>
      </w:r>
      <w:r w:rsidRPr="006122EE">
        <w:rPr>
          <w:spacing w:val="-1"/>
        </w:rPr>
        <w:t>though</w:t>
      </w:r>
      <w:r w:rsidRPr="006122EE">
        <w:rPr>
          <w:spacing w:val="23"/>
        </w:rPr>
        <w:t xml:space="preserve"> </w:t>
      </w:r>
      <w:r w:rsidRPr="006122EE">
        <w:rPr>
          <w:spacing w:val="-1"/>
        </w:rPr>
        <w:t>certain</w:t>
      </w:r>
      <w:r w:rsidRPr="006122EE">
        <w:rPr>
          <w:spacing w:val="22"/>
        </w:rPr>
        <w:t xml:space="preserve"> </w:t>
      </w:r>
      <w:r w:rsidRPr="006122EE">
        <w:rPr>
          <w:spacing w:val="-1"/>
        </w:rPr>
        <w:t>indicators</w:t>
      </w:r>
      <w:r w:rsidRPr="006122EE">
        <w:rPr>
          <w:spacing w:val="22"/>
        </w:rPr>
        <w:t xml:space="preserve"> </w:t>
      </w:r>
      <w:r w:rsidRPr="006122EE">
        <w:rPr>
          <w:spacing w:val="-1"/>
        </w:rPr>
        <w:t>of</w:t>
      </w:r>
      <w:r w:rsidRPr="006122EE">
        <w:rPr>
          <w:spacing w:val="20"/>
        </w:rPr>
        <w:t xml:space="preserve"> </w:t>
      </w:r>
      <w:r w:rsidRPr="006122EE">
        <w:t>MDG-7</w:t>
      </w:r>
      <w:r w:rsidRPr="006122EE">
        <w:rPr>
          <w:spacing w:val="22"/>
        </w:rPr>
        <w:t xml:space="preserve"> </w:t>
      </w:r>
      <w:r w:rsidRPr="006122EE">
        <w:t>on</w:t>
      </w:r>
      <w:r w:rsidRPr="006122EE">
        <w:rPr>
          <w:spacing w:val="22"/>
        </w:rPr>
        <w:t xml:space="preserve"> </w:t>
      </w:r>
      <w:r w:rsidRPr="006122EE">
        <w:rPr>
          <w:rFonts w:cs="Calibri"/>
          <w:spacing w:val="-1"/>
        </w:rPr>
        <w:t>Environmental</w:t>
      </w:r>
      <w:r w:rsidRPr="006122EE">
        <w:rPr>
          <w:rFonts w:cs="Calibri"/>
          <w:spacing w:val="59"/>
        </w:rPr>
        <w:t xml:space="preserve"> </w:t>
      </w:r>
      <w:r w:rsidRPr="006122EE">
        <w:rPr>
          <w:rFonts w:cs="Calibri"/>
          <w:spacing w:val="-1"/>
        </w:rPr>
        <w:t>Sustainability</w:t>
      </w:r>
      <w:r w:rsidRPr="006122EE">
        <w:rPr>
          <w:spacing w:val="-1"/>
        </w:rPr>
        <w:t>,</w:t>
      </w:r>
      <w:r w:rsidRPr="006122EE">
        <w:rPr>
          <w:spacing w:val="-3"/>
        </w:rPr>
        <w:t xml:space="preserve"> </w:t>
      </w:r>
      <w:r w:rsidRPr="006122EE">
        <w:rPr>
          <w:spacing w:val="-1"/>
        </w:rPr>
        <w:t>specifically</w:t>
      </w:r>
      <w:r w:rsidRPr="006122EE">
        <w:rPr>
          <w:spacing w:val="-2"/>
        </w:rPr>
        <w:t xml:space="preserve"> </w:t>
      </w:r>
      <w:r w:rsidRPr="006122EE">
        <w:rPr>
          <w:spacing w:val="-1"/>
        </w:rPr>
        <w:t>around</w:t>
      </w:r>
      <w:r w:rsidRPr="006122EE">
        <w:rPr>
          <w:spacing w:val="-3"/>
        </w:rPr>
        <w:t xml:space="preserve"> </w:t>
      </w:r>
      <w:r w:rsidRPr="006122EE">
        <w:t>forest</w:t>
      </w:r>
      <w:r w:rsidRPr="006122EE">
        <w:rPr>
          <w:spacing w:val="-1"/>
        </w:rPr>
        <w:t xml:space="preserve"> </w:t>
      </w:r>
      <w:r w:rsidRPr="006122EE">
        <w:t>cover,</w:t>
      </w:r>
      <w:r w:rsidRPr="006122EE">
        <w:rPr>
          <w:spacing w:val="-4"/>
        </w:rPr>
        <w:t xml:space="preserve"> </w:t>
      </w:r>
      <w:r w:rsidRPr="006122EE">
        <w:rPr>
          <w:spacing w:val="-1"/>
        </w:rPr>
        <w:t xml:space="preserve">are </w:t>
      </w:r>
      <w:r w:rsidRPr="006122EE">
        <w:t>also</w:t>
      </w:r>
      <w:r w:rsidRPr="006122EE">
        <w:rPr>
          <w:spacing w:val="-1"/>
        </w:rPr>
        <w:t xml:space="preserve"> lagging</w:t>
      </w:r>
      <w:r w:rsidRPr="006122EE">
        <w:rPr>
          <w:spacing w:val="-5"/>
        </w:rPr>
        <w:t xml:space="preserve"> </w:t>
      </w:r>
      <w:r w:rsidRPr="006122EE">
        <w:t>behind.</w:t>
      </w:r>
    </w:p>
    <w:p w14:paraId="0763C36A" w14:textId="77777777" w:rsidR="00A84067" w:rsidRPr="006122EE" w:rsidRDefault="00A84067" w:rsidP="00B53E51">
      <w:pPr>
        <w:spacing w:line="276" w:lineRule="auto"/>
      </w:pPr>
      <w:r w:rsidRPr="006122EE">
        <w:t xml:space="preserve">Energy is essential for Malawi’s economic development and efforts to reduce poverty. Yet, despite increasing electrification and use of modern fuels, just 10% of the population </w:t>
      </w:r>
      <w:r w:rsidR="007B27C9" w:rsidRPr="006122EE">
        <w:t>has access to electricity, and</w:t>
      </w:r>
      <w:r w:rsidRPr="006122EE">
        <w:t xml:space="preserve"> biomass</w:t>
      </w:r>
      <w:r w:rsidR="007B27C9" w:rsidRPr="006122EE">
        <w:t>, used chiefly for cooking,</w:t>
      </w:r>
      <w:r w:rsidRPr="006122EE">
        <w:t xml:space="preserve"> dominates the country’s energy balance. Biomass in the form of wood is the main fuel used in</w:t>
      </w:r>
      <w:r w:rsidR="007B27C9" w:rsidRPr="006122EE">
        <w:t xml:space="preserve"> rural areas</w:t>
      </w:r>
      <w:r w:rsidRPr="006122EE">
        <w:t xml:space="preserve">. Such </w:t>
      </w:r>
      <w:r w:rsidR="007B27C9" w:rsidRPr="006122EE">
        <w:t xml:space="preserve">heavy </w:t>
      </w:r>
      <w:r w:rsidRPr="006122EE">
        <w:t xml:space="preserve">reliance on biomass has negative consequences for human health and the environment. One of the main objectives of </w:t>
      </w:r>
      <w:r w:rsidR="00327938" w:rsidRPr="006122EE">
        <w:rPr>
          <w:lang w:eastAsia="en-US"/>
        </w:rPr>
        <w:t>SE4ALL</w:t>
      </w:r>
      <w:r w:rsidRPr="006122EE">
        <w:t xml:space="preserve"> is to reduce that reliance through improved cook-stoves and alternative cooking fuels like LPG and biogas. </w:t>
      </w:r>
    </w:p>
    <w:p w14:paraId="194C7980" w14:textId="77777777" w:rsidR="00A84067" w:rsidRPr="006122EE" w:rsidRDefault="00A84067" w:rsidP="00B53E51">
      <w:pPr>
        <w:spacing w:line="276" w:lineRule="auto"/>
      </w:pPr>
      <w:r w:rsidRPr="006122EE">
        <w:t>Another energy issue for the country is the increasing reliance on oil imports for road transport despite the country’s biofuel blending program. Malawi, like most countries in the world, relies heavily on imported oi</w:t>
      </w:r>
      <w:r w:rsidR="00647B2B" w:rsidRPr="006122EE">
        <w:t xml:space="preserve">, which tends to be more expensive in Malawi because the country is landlocked and overland fuel transportation costs are </w:t>
      </w:r>
      <w:r w:rsidR="008E69B8" w:rsidRPr="006122EE">
        <w:t>high</w:t>
      </w:r>
      <w:r w:rsidRPr="006122EE">
        <w:t xml:space="preserve">. </w:t>
      </w:r>
    </w:p>
    <w:p w14:paraId="25DDDBA0" w14:textId="77777777" w:rsidR="00A84067" w:rsidRPr="006122EE" w:rsidRDefault="00A84067" w:rsidP="00B53E51">
      <w:pPr>
        <w:spacing w:line="276" w:lineRule="auto"/>
      </w:pPr>
      <w:r w:rsidRPr="006122EE">
        <w:t>Electricity</w:t>
      </w:r>
      <w:r w:rsidR="00A640CF" w:rsidRPr="006122EE">
        <w:t xml:space="preserve"> represents</w:t>
      </w:r>
      <w:r w:rsidRPr="006122EE">
        <w:t xml:space="preserve"> a small share of Malawi’s energy use, but </w:t>
      </w:r>
      <w:r w:rsidR="00A640CF" w:rsidRPr="006122EE">
        <w:t xml:space="preserve">its </w:t>
      </w:r>
      <w:r w:rsidRPr="006122EE">
        <w:t xml:space="preserve">generation, transmission and distribution dominates </w:t>
      </w:r>
      <w:r w:rsidR="00A640CF" w:rsidRPr="006122EE">
        <w:t xml:space="preserve">overall energy </w:t>
      </w:r>
      <w:r w:rsidRPr="006122EE">
        <w:t xml:space="preserve">sector investment. Hydroelectric generation has been the </w:t>
      </w:r>
      <w:r w:rsidR="007B27C9" w:rsidRPr="006122EE">
        <w:t>dominant</w:t>
      </w:r>
      <w:r w:rsidRPr="006122EE">
        <w:t xml:space="preserve"> power generation technology and while it will continue to play a major role, there will be an increasing emphasis on sources like solar, wind, sugarcane-fired bagasse cogeneration and small hydro power (&gt; 30 MW). The </w:t>
      </w:r>
      <w:r w:rsidR="00327938" w:rsidRPr="006122EE">
        <w:rPr>
          <w:lang w:eastAsia="en-US"/>
        </w:rPr>
        <w:t>SE4ALL</w:t>
      </w:r>
      <w:r w:rsidR="00327938" w:rsidRPr="006122EE" w:rsidDel="00327938">
        <w:t xml:space="preserve"> </w:t>
      </w:r>
      <w:r w:rsidRPr="006122EE">
        <w:t xml:space="preserve">initiative calls for a global doubling of renewable energy use and this is certainly possible in Malawi. MERA, the energy regulator, has developed a Renewable Energy Feed-in Tariff (REFiT) and independent power producers (IPPs) have submitted RE power supply proposals. </w:t>
      </w:r>
    </w:p>
    <w:p w14:paraId="4B3F3E79" w14:textId="77777777" w:rsidR="00A84067" w:rsidRPr="006122EE" w:rsidRDefault="00A84067" w:rsidP="00B53E51">
      <w:pPr>
        <w:spacing w:line="276" w:lineRule="auto"/>
      </w:pPr>
      <w:r w:rsidRPr="006122EE">
        <w:t xml:space="preserve">In particular, solar energy will play a greatly expanded role in providing electricity both </w:t>
      </w:r>
      <w:r w:rsidR="00D8445B" w:rsidRPr="006122EE">
        <w:t>to</w:t>
      </w:r>
      <w:r w:rsidRPr="006122EE">
        <w:t xml:space="preserve"> the grid and to unserved populations</w:t>
      </w:r>
      <w:r w:rsidR="007B27C9" w:rsidRPr="006122EE">
        <w:t xml:space="preserve"> in rural areas</w:t>
      </w:r>
      <w:r w:rsidRPr="006122EE">
        <w:t xml:space="preserve">. Electricity access will increase through both </w:t>
      </w:r>
      <w:r w:rsidR="00D8445B" w:rsidRPr="006122EE">
        <w:t xml:space="preserve">ongoing </w:t>
      </w:r>
      <w:r w:rsidRPr="006122EE">
        <w:t xml:space="preserve">grid extension and </w:t>
      </w:r>
      <w:r w:rsidR="00D8445B" w:rsidRPr="006122EE">
        <w:t>the expansion of off-grid solar home system programs</w:t>
      </w:r>
      <w:r w:rsidRPr="006122EE">
        <w:t xml:space="preserve"> and mini-grids.</w:t>
      </w:r>
    </w:p>
    <w:p w14:paraId="544C8E62" w14:textId="77777777" w:rsidR="00A84067" w:rsidRPr="006122EE" w:rsidRDefault="00A84067" w:rsidP="00B53E51">
      <w:pPr>
        <w:spacing w:line="276" w:lineRule="auto"/>
      </w:pPr>
      <w:r w:rsidRPr="006122EE">
        <w:t xml:space="preserve">Another key focus of </w:t>
      </w:r>
      <w:r w:rsidR="00327938" w:rsidRPr="006122EE">
        <w:rPr>
          <w:lang w:eastAsia="en-US"/>
        </w:rPr>
        <w:t>SE4ALL</w:t>
      </w:r>
      <w:r w:rsidR="00327938" w:rsidRPr="006122EE" w:rsidDel="00327938">
        <w:t xml:space="preserve"> </w:t>
      </w:r>
      <w:r w:rsidRPr="006122EE">
        <w:t xml:space="preserve">is energy efficiency. There is great potential to improve energy efficiency in Malawi’s industries, buildings, appliances and motor vehicles. </w:t>
      </w:r>
    </w:p>
    <w:p w14:paraId="17FF2B0F" w14:textId="77777777" w:rsidR="00A84067" w:rsidRPr="006122EE" w:rsidRDefault="00A84067" w:rsidP="00B53E51">
      <w:pPr>
        <w:spacing w:line="276" w:lineRule="auto"/>
      </w:pPr>
      <w:r w:rsidRPr="006122EE">
        <w:t xml:space="preserve">The </w:t>
      </w:r>
      <w:r w:rsidR="00327938" w:rsidRPr="006122EE">
        <w:rPr>
          <w:lang w:eastAsia="en-US"/>
        </w:rPr>
        <w:t>SE4ALL</w:t>
      </w:r>
      <w:r w:rsidRPr="006122EE">
        <w:t xml:space="preserve"> initiative comes to Malawi at a time when there is increased government activity in support of sustainable energy development. Policy initiatives that are already underway include the Malawi Energy Policy (NEP) of 2003</w:t>
      </w:r>
      <w:r w:rsidR="008616F8" w:rsidRPr="006122EE">
        <w:t>, updated in 2016</w:t>
      </w:r>
      <w:r w:rsidR="00886BC8" w:rsidRPr="006122EE">
        <w:t>.</w:t>
      </w:r>
      <w:r w:rsidRPr="006122EE">
        <w:t xml:space="preserve"> The NEP calls for making Malawi`s energy sector sufficiently robust and efficient to support </w:t>
      </w:r>
      <w:r w:rsidR="005E6FD7" w:rsidRPr="006122EE">
        <w:t xml:space="preserve">the </w:t>
      </w:r>
      <w:r w:rsidRPr="006122EE">
        <w:t xml:space="preserve">country`s efforts </w:t>
      </w:r>
      <w:r w:rsidR="005E6FD7" w:rsidRPr="006122EE">
        <w:t>in</w:t>
      </w:r>
      <w:r w:rsidRPr="006122EE">
        <w:t xml:space="preserve"> poverty reduction and sustainable economic growth. This policy`s long term vision is to drive </w:t>
      </w:r>
      <w:r w:rsidR="005E6FD7" w:rsidRPr="006122EE">
        <w:t xml:space="preserve">the </w:t>
      </w:r>
      <w:r w:rsidRPr="006122EE">
        <w:t xml:space="preserve">Malawian economy from a </w:t>
      </w:r>
      <w:r w:rsidR="005E6FD7" w:rsidRPr="006122EE">
        <w:t xml:space="preserve">largely biomass </w:t>
      </w:r>
      <w:r w:rsidRPr="006122EE">
        <w:t xml:space="preserve">reliant one to an economy based on efficient use of modern </w:t>
      </w:r>
      <w:r w:rsidR="005E6FD7" w:rsidRPr="006122EE">
        <w:t>energy sources like LPG and renewable energy</w:t>
      </w:r>
      <w:r w:rsidRPr="006122EE">
        <w:t>.</w:t>
      </w:r>
      <w:r w:rsidR="008616F8" w:rsidRPr="006122EE">
        <w:t xml:space="preserve"> In addition to the NEP, the government has developed a Renewable Energy Strategy (in draft form in February 2017) and is implementing transmission system upgrades and regulatory reforms with support from the Millennium Challenge Corporation and the U.S. Power Africa initiative.</w:t>
      </w:r>
    </w:p>
    <w:p w14:paraId="33238FAE" w14:textId="77777777" w:rsidR="00A84067" w:rsidRPr="006122EE" w:rsidRDefault="00A84067" w:rsidP="00B53E51">
      <w:pPr>
        <w:spacing w:line="276" w:lineRule="auto"/>
      </w:pPr>
      <w:r w:rsidRPr="006122EE">
        <w:t>The Malawi Growth and Development Strategy II (MGDS II) is the second medium term national development strategy formulated to attain the country`s 2020 Vision. It is a decisive and strategic single reference document to be followed by all stakeholders to achieve the goal of wealth creation through sustainable economic growth and infrastructure development. Energy is among the nine Key priority areas identified and addressed in MGDS II</w:t>
      </w:r>
      <w:r w:rsidR="00EA72B1" w:rsidRPr="006122EE">
        <w:t>.</w:t>
      </w:r>
    </w:p>
    <w:p w14:paraId="764BC6A5" w14:textId="77777777" w:rsidR="00A84067" w:rsidRPr="006122EE" w:rsidRDefault="00027508" w:rsidP="00B53E51">
      <w:pPr>
        <w:spacing w:line="276" w:lineRule="auto"/>
      </w:pPr>
      <w:r w:rsidRPr="006122EE">
        <w:t>Although</w:t>
      </w:r>
      <w:r w:rsidR="00A84067" w:rsidRPr="006122EE">
        <w:t xml:space="preserve"> the</w:t>
      </w:r>
      <w:r w:rsidR="00031D12" w:rsidRPr="006122EE">
        <w:t xml:space="preserve"> energy sector accounts for </w:t>
      </w:r>
      <w:r w:rsidRPr="006122EE">
        <w:t>just 4</w:t>
      </w:r>
      <w:r w:rsidR="00A84067" w:rsidRPr="006122EE">
        <w:t xml:space="preserve">% of </w:t>
      </w:r>
      <w:r w:rsidR="00031D12" w:rsidRPr="006122EE">
        <w:t>Malawi</w:t>
      </w:r>
      <w:r w:rsidR="00A84067" w:rsidRPr="006122EE">
        <w:t xml:space="preserve">’s total greenhouse gases (GHG), </w:t>
      </w:r>
      <w:r w:rsidRPr="006122EE">
        <w:t xml:space="preserve">it is projected to expand to 17% by 2040. The forestry sector accounts for the largest share of </w:t>
      </w:r>
      <w:r w:rsidR="00EA72B1" w:rsidRPr="006122EE">
        <w:t>Malawi’s</w:t>
      </w:r>
      <w:r w:rsidRPr="006122EE">
        <w:t xml:space="preserve"> emissions, at 78%, and much of this is due to forest cutting for fuelwood and charcoal for cooking. T</w:t>
      </w:r>
      <w:r w:rsidR="00A84067" w:rsidRPr="006122EE">
        <w:t xml:space="preserve">here is </w:t>
      </w:r>
      <w:r w:rsidRPr="006122EE">
        <w:t xml:space="preserve">thus </w:t>
      </w:r>
      <w:r w:rsidR="00A84067" w:rsidRPr="006122EE">
        <w:t xml:space="preserve">strong support for sustainable energy development in the </w:t>
      </w:r>
      <w:r w:rsidR="00031D12" w:rsidRPr="006122EE">
        <w:t>Malawi</w:t>
      </w:r>
      <w:r w:rsidR="00A84067" w:rsidRPr="006122EE">
        <w:t xml:space="preserve"> Climate Policy and in the country’s Intended Nationally Determined Contribution (INDC) to reduce GHG</w:t>
      </w:r>
      <w:r w:rsidR="00B06E2B" w:rsidRPr="006122EE">
        <w:rPr>
          <w:rStyle w:val="FootnoteReference"/>
        </w:rPr>
        <w:footnoteReference w:id="9"/>
      </w:r>
      <w:r w:rsidR="00A84067" w:rsidRPr="006122EE">
        <w:t>.</w:t>
      </w:r>
    </w:p>
    <w:p w14:paraId="5410B03C" w14:textId="77777777" w:rsidR="00A84067" w:rsidRPr="006122EE" w:rsidRDefault="00A84067" w:rsidP="00B53E51">
      <w:pPr>
        <w:spacing w:line="276" w:lineRule="auto"/>
      </w:pPr>
      <w:r w:rsidRPr="006122EE">
        <w:t xml:space="preserve">This </w:t>
      </w:r>
      <w:r w:rsidR="00327938" w:rsidRPr="006122EE">
        <w:rPr>
          <w:lang w:eastAsia="en-US"/>
        </w:rPr>
        <w:t>SE4ALL</w:t>
      </w:r>
      <w:r w:rsidRPr="006122EE">
        <w:t xml:space="preserve"> Action Agenda for Mal</w:t>
      </w:r>
      <w:r w:rsidR="00031D12" w:rsidRPr="006122EE">
        <w:t>a</w:t>
      </w:r>
      <w:r w:rsidRPr="006122EE">
        <w:t xml:space="preserve">wi has been developed according to the guiding principles contained in the Guidelines for Developing National Sustainable Energy for All Action Agendas in Africa that were developed by African stakeholders, notably: (i) Building on existing plans/programs/strategies; (ii) Political commitment and leadership; (iii) A balanced and integrated approach; (iv) An inter-ministerial and cross-sectoral approach; (v) Adherence to sustainable development principles; (vi) Participation and meaningful involvement of all stakeholders; (vii) Gender equality and inclusiveness; and (viii) Transparency and accountability. </w:t>
      </w:r>
    </w:p>
    <w:p w14:paraId="1F45D739" w14:textId="77777777" w:rsidR="00A84067" w:rsidRPr="006122EE" w:rsidRDefault="00A84067" w:rsidP="00B53E51">
      <w:pPr>
        <w:spacing w:line="276" w:lineRule="auto"/>
      </w:pPr>
      <w:r w:rsidRPr="006122EE">
        <w:t xml:space="preserve">The </w:t>
      </w:r>
      <w:r w:rsidR="00983ED1" w:rsidRPr="006122EE">
        <w:t>g</w:t>
      </w:r>
      <w:r w:rsidRPr="006122EE">
        <w:t xml:space="preserve">overnment is committed to accelerating Malawi’s </w:t>
      </w:r>
      <w:r w:rsidR="00327938" w:rsidRPr="006122EE">
        <w:rPr>
          <w:lang w:eastAsia="en-US"/>
        </w:rPr>
        <w:t>SE4ALL</w:t>
      </w:r>
      <w:r w:rsidR="00327938" w:rsidRPr="006122EE" w:rsidDel="00327938">
        <w:t xml:space="preserve"> </w:t>
      </w:r>
      <w:r w:rsidRPr="006122EE">
        <w:t xml:space="preserve">actions outlined in this report, and integrating them within a broader economic policy. </w:t>
      </w:r>
      <w:r w:rsidR="00327938" w:rsidRPr="006122EE">
        <w:rPr>
          <w:lang w:eastAsia="en-US"/>
        </w:rPr>
        <w:t>SE4ALL</w:t>
      </w:r>
      <w:r w:rsidR="00327938" w:rsidRPr="006122EE" w:rsidDel="00327938">
        <w:t xml:space="preserve"> </w:t>
      </w:r>
      <w:r w:rsidRPr="006122EE">
        <w:t xml:space="preserve"> builds on Malawi’s energy and economic foundations to move the country to an energy system that is clean, efficient, and reliable, and that makes modern fuels available to all citizens</w:t>
      </w:r>
      <w:r w:rsidR="00EA72B1" w:rsidRPr="006122EE">
        <w:t>.</w:t>
      </w:r>
    </w:p>
    <w:p w14:paraId="555E6EFC" w14:textId="77777777" w:rsidR="00886BC8" w:rsidRPr="006122EE" w:rsidRDefault="00886BC8" w:rsidP="00A84067"/>
    <w:p w14:paraId="22D4AC1D" w14:textId="77777777" w:rsidR="00886BC8" w:rsidRPr="006122EE" w:rsidRDefault="00886BC8" w:rsidP="00A84067"/>
    <w:p w14:paraId="53DBA3F5" w14:textId="77777777" w:rsidR="00886BC8" w:rsidRPr="006122EE" w:rsidRDefault="00886BC8" w:rsidP="00A84067"/>
    <w:p w14:paraId="2C2DDC86" w14:textId="77777777" w:rsidR="00886BC8" w:rsidRPr="006122EE" w:rsidRDefault="00886BC8" w:rsidP="00A84067"/>
    <w:p w14:paraId="7671D772" w14:textId="77777777" w:rsidR="00886BC8" w:rsidRPr="006122EE" w:rsidRDefault="00886BC8" w:rsidP="00A84067"/>
    <w:p w14:paraId="0863174B" w14:textId="77777777" w:rsidR="00886BC8" w:rsidRPr="006122EE" w:rsidRDefault="00886BC8" w:rsidP="00A84067"/>
    <w:p w14:paraId="5C815ADB" w14:textId="77777777" w:rsidR="00886BC8" w:rsidRPr="006122EE" w:rsidRDefault="00886BC8" w:rsidP="00A84067"/>
    <w:p w14:paraId="69876FC1" w14:textId="77777777" w:rsidR="00886BC8" w:rsidRPr="006122EE" w:rsidRDefault="00886BC8" w:rsidP="00A84067"/>
    <w:p w14:paraId="0BD7240C" w14:textId="77777777" w:rsidR="008E0E0E" w:rsidRPr="006122EE" w:rsidRDefault="008E0E0E" w:rsidP="00F561D4"/>
    <w:p w14:paraId="578E872C" w14:textId="77777777" w:rsidR="00AA182C" w:rsidRPr="00866D96" w:rsidRDefault="008E0E0E" w:rsidP="00866D96">
      <w:pPr>
        <w:pStyle w:val="APageheading"/>
        <w:rPr>
          <w:noProof w:val="0"/>
        </w:rPr>
      </w:pPr>
      <w:bookmarkStart w:id="89" w:name="_Toc437268351"/>
      <w:bookmarkStart w:id="90" w:name="_Toc481614889"/>
      <w:r w:rsidRPr="00866D96">
        <w:rPr>
          <w:noProof w:val="0"/>
        </w:rPr>
        <w:t>Methodology</w:t>
      </w:r>
      <w:bookmarkEnd w:id="89"/>
      <w:bookmarkEnd w:id="90"/>
      <w:r w:rsidRPr="00866D96">
        <w:rPr>
          <w:noProof w:val="0"/>
        </w:rPr>
        <w:t xml:space="preserve"> </w:t>
      </w:r>
    </w:p>
    <w:p w14:paraId="11E48046" w14:textId="77777777" w:rsidR="00AA182C" w:rsidRPr="006122EE" w:rsidRDefault="00AA182C" w:rsidP="00B53E51">
      <w:pPr>
        <w:spacing w:line="276" w:lineRule="auto"/>
        <w:rPr>
          <w:lang w:eastAsia="en-US"/>
        </w:rPr>
      </w:pPr>
      <w:r w:rsidRPr="006122EE">
        <w:rPr>
          <w:lang w:eastAsia="en-US"/>
        </w:rPr>
        <w:t>This Action Agenda is based on extensive desk and field research</w:t>
      </w:r>
      <w:r w:rsidR="0092609D" w:rsidRPr="006122EE">
        <w:rPr>
          <w:lang w:eastAsia="en-US"/>
        </w:rPr>
        <w:t xml:space="preserve"> by the Deloitte-Econoler consulting team</w:t>
      </w:r>
      <w:r w:rsidRPr="006122EE">
        <w:rPr>
          <w:lang w:eastAsia="en-US"/>
        </w:rPr>
        <w:t>. The desk research entailed reviews of policy documents, strategic plans, national development plans, budget statements, quarterly and yearly fiscal reviews, and audit and parliamentary reports, among others. It also involved reviews of scholarly reports, newspaper and magazine articles, and documents about sustainable energy approaches employed in other countries in Africa and around the world.</w:t>
      </w:r>
    </w:p>
    <w:p w14:paraId="0619B661" w14:textId="77777777" w:rsidR="00AA182C" w:rsidRPr="006122EE" w:rsidRDefault="00AA182C" w:rsidP="00B53E51">
      <w:pPr>
        <w:spacing w:line="276" w:lineRule="auto"/>
        <w:rPr>
          <w:lang w:eastAsia="en-US"/>
        </w:rPr>
      </w:pPr>
      <w:r w:rsidRPr="006122EE">
        <w:rPr>
          <w:lang w:eastAsia="en-US"/>
        </w:rPr>
        <w:t>The field research involved conducting interviews with stakeholder institutions in Lilongwe and Blantyre. The interviewed stakeholders included representatives of government ministries, local governments, energy suppliers, private firms, universities, trade associations and NGOs.</w:t>
      </w:r>
    </w:p>
    <w:p w14:paraId="23765C84" w14:textId="77777777" w:rsidR="00AA182C" w:rsidRPr="006122EE" w:rsidRDefault="00AA182C" w:rsidP="00B53E51">
      <w:pPr>
        <w:spacing w:line="276" w:lineRule="auto"/>
        <w:rPr>
          <w:lang w:eastAsia="en-US"/>
        </w:rPr>
      </w:pPr>
      <w:r w:rsidRPr="006122EE">
        <w:rPr>
          <w:lang w:eastAsia="en-US"/>
        </w:rPr>
        <w:t xml:space="preserve">In addition, a 2-day workshop was held in Salima, Malawi in November 2015 to facilitate discussion among stakeholders </w:t>
      </w:r>
      <w:r w:rsidR="007D0C4A" w:rsidRPr="006122EE">
        <w:rPr>
          <w:lang w:eastAsia="en-US"/>
        </w:rPr>
        <w:t xml:space="preserve">from around the country </w:t>
      </w:r>
      <w:r w:rsidRPr="006122EE">
        <w:rPr>
          <w:lang w:eastAsia="en-US"/>
        </w:rPr>
        <w:t xml:space="preserve">and collect their viewpoints and policy recommendations. Their input came in the form of both presentations from key stakeholders and discussions/recommendations from four thematic working groups organized around Energy Access, Energy Efficiency, Renewable Energy, and Transportation. </w:t>
      </w:r>
    </w:p>
    <w:p w14:paraId="0EC7ED0D" w14:textId="77777777" w:rsidR="00DB399E" w:rsidRPr="006122EE" w:rsidRDefault="00AA182C" w:rsidP="00B53E51">
      <w:pPr>
        <w:spacing w:line="276" w:lineRule="auto"/>
        <w:rPr>
          <w:lang w:eastAsia="en-US"/>
        </w:rPr>
      </w:pPr>
      <w:r w:rsidRPr="006122EE">
        <w:rPr>
          <w:lang w:eastAsia="en-US"/>
        </w:rPr>
        <w:t xml:space="preserve">Finally, questionnaires were sent to a set of stakeholders in the areas of energy efficiency and transportation in order to get their more detailed views on certain policy matters. </w:t>
      </w:r>
      <w:r w:rsidR="00DB399E" w:rsidRPr="006122EE">
        <w:rPr>
          <w:lang w:eastAsia="en-US"/>
        </w:rPr>
        <w:t xml:space="preserve"> These were supplemented by more in-person bilateral meetings with people active in energy access and renewable energy</w:t>
      </w:r>
      <w:r w:rsidR="00EA72B1" w:rsidRPr="006122EE">
        <w:rPr>
          <w:lang w:eastAsia="en-US"/>
        </w:rPr>
        <w:t xml:space="preserve">. </w:t>
      </w:r>
      <w:r w:rsidR="00DB399E" w:rsidRPr="006122EE">
        <w:rPr>
          <w:lang w:eastAsia="en-US"/>
        </w:rPr>
        <w:t>A draft of this report was prepared by the consultants and circulated to the working groups and the Department of Energy and African Development Bank. A second set of working group meetings were convened in Lilongwe in April 2016 to discuss the draf</w:t>
      </w:r>
      <w:r w:rsidR="00EB1D57" w:rsidRPr="006122EE">
        <w:rPr>
          <w:lang w:eastAsia="en-US"/>
        </w:rPr>
        <w:t>t</w:t>
      </w:r>
      <w:r w:rsidR="00DB399E" w:rsidRPr="006122EE">
        <w:rPr>
          <w:lang w:eastAsia="en-US"/>
        </w:rPr>
        <w:t xml:space="preserve"> Action Agenda and to recommend priority actions.</w:t>
      </w:r>
    </w:p>
    <w:p w14:paraId="26DDCEEF" w14:textId="77777777" w:rsidR="00DB399E" w:rsidRPr="006122EE" w:rsidRDefault="00DB399E" w:rsidP="00B53E51">
      <w:pPr>
        <w:spacing w:line="276" w:lineRule="auto"/>
        <w:rPr>
          <w:lang w:eastAsia="en-US"/>
        </w:rPr>
      </w:pPr>
      <w:r w:rsidRPr="006122EE">
        <w:rPr>
          <w:lang w:eastAsia="en-US"/>
        </w:rPr>
        <w:t xml:space="preserve">After these working group meetings, a second draft of the Action Agenda was prepared and circulated to the working groups and other stakeholders. A third draft was prepared and circulated to a “quality circle” of reviewers such as donors and other international agencies. </w:t>
      </w:r>
    </w:p>
    <w:p w14:paraId="26587E0B" w14:textId="77777777" w:rsidR="00DB399E" w:rsidRPr="006122EE" w:rsidRDefault="00DB399E" w:rsidP="00B53E51">
      <w:pPr>
        <w:spacing w:line="276" w:lineRule="auto"/>
        <w:rPr>
          <w:lang w:eastAsia="en-US"/>
        </w:rPr>
      </w:pPr>
      <w:r w:rsidRPr="006122EE">
        <w:rPr>
          <w:lang w:eastAsia="en-US"/>
        </w:rPr>
        <w:t xml:space="preserve">A fourth draft was then prepared and submitted to a “validation workshop” held in Lilongwe in </w:t>
      </w:r>
      <w:r w:rsidR="00032344" w:rsidRPr="006122EE">
        <w:rPr>
          <w:lang w:eastAsia="en-US"/>
        </w:rPr>
        <w:t xml:space="preserve">February </w:t>
      </w:r>
      <w:r w:rsidR="00AB5B84" w:rsidRPr="006122EE">
        <w:rPr>
          <w:lang w:eastAsia="en-US"/>
        </w:rPr>
        <w:t>2017</w:t>
      </w:r>
      <w:r w:rsidRPr="006122EE">
        <w:rPr>
          <w:lang w:eastAsia="en-US"/>
        </w:rPr>
        <w:t xml:space="preserve">. The participants invited to the validation workshop were mainly high-level government officials from other ministries besides the energy ministry. </w:t>
      </w:r>
    </w:p>
    <w:p w14:paraId="2BE82FF5" w14:textId="77777777" w:rsidR="00032344" w:rsidRPr="006122EE" w:rsidRDefault="00032344" w:rsidP="00B53E51">
      <w:pPr>
        <w:spacing w:line="276" w:lineRule="auto"/>
        <w:rPr>
          <w:lang w:eastAsia="en-US"/>
        </w:rPr>
      </w:pPr>
      <w:r w:rsidRPr="006122EE">
        <w:rPr>
          <w:lang w:eastAsia="en-US"/>
        </w:rPr>
        <w:t>This final Action Agenda is based on the results of the validation workshop as well as additional comments received from stakeholders.</w:t>
      </w:r>
    </w:p>
    <w:p w14:paraId="05849A2E" w14:textId="77777777" w:rsidR="00886BC8" w:rsidRPr="006122EE" w:rsidRDefault="00886BC8" w:rsidP="00DB399E">
      <w:pPr>
        <w:rPr>
          <w:lang w:eastAsia="en-US"/>
        </w:rPr>
      </w:pPr>
    </w:p>
    <w:p w14:paraId="4B1B97D3" w14:textId="77777777" w:rsidR="00886BC8" w:rsidRPr="006122EE" w:rsidRDefault="00886BC8" w:rsidP="00DB399E">
      <w:pPr>
        <w:rPr>
          <w:lang w:eastAsia="en-US"/>
        </w:rPr>
      </w:pPr>
    </w:p>
    <w:p w14:paraId="7C9C4D92" w14:textId="77777777" w:rsidR="00886BC8" w:rsidRPr="006122EE" w:rsidRDefault="00886BC8" w:rsidP="00DB399E">
      <w:pPr>
        <w:rPr>
          <w:lang w:eastAsia="en-US"/>
        </w:rPr>
      </w:pPr>
    </w:p>
    <w:p w14:paraId="1358C4AA" w14:textId="77777777" w:rsidR="00886BC8" w:rsidRPr="006122EE" w:rsidRDefault="00886BC8" w:rsidP="00DB399E">
      <w:pPr>
        <w:rPr>
          <w:lang w:eastAsia="en-US"/>
        </w:rPr>
      </w:pPr>
    </w:p>
    <w:p w14:paraId="4F7D7384" w14:textId="77777777" w:rsidR="00886BC8" w:rsidRPr="006122EE" w:rsidRDefault="00886BC8" w:rsidP="00DB399E">
      <w:pPr>
        <w:rPr>
          <w:lang w:eastAsia="en-US"/>
        </w:rPr>
      </w:pPr>
    </w:p>
    <w:p w14:paraId="1AC56CEA" w14:textId="77777777" w:rsidR="00886BC8" w:rsidRPr="006122EE" w:rsidRDefault="00886BC8" w:rsidP="00DB399E">
      <w:pPr>
        <w:rPr>
          <w:lang w:eastAsia="en-US"/>
        </w:rPr>
      </w:pPr>
    </w:p>
    <w:p w14:paraId="22F01E4F" w14:textId="77777777" w:rsidR="00886BC8" w:rsidRPr="006122EE" w:rsidRDefault="00886BC8" w:rsidP="00DB399E">
      <w:pPr>
        <w:rPr>
          <w:lang w:eastAsia="en-US"/>
        </w:rPr>
      </w:pPr>
    </w:p>
    <w:p w14:paraId="70C7733F" w14:textId="77777777" w:rsidR="00886BC8" w:rsidRPr="006122EE" w:rsidRDefault="00886BC8" w:rsidP="00DB399E">
      <w:pPr>
        <w:rPr>
          <w:lang w:eastAsia="en-US"/>
        </w:rPr>
      </w:pPr>
    </w:p>
    <w:p w14:paraId="2E9D1AB8" w14:textId="77777777" w:rsidR="00886BC8" w:rsidRPr="006122EE" w:rsidRDefault="00886BC8" w:rsidP="00DB399E">
      <w:pPr>
        <w:rPr>
          <w:lang w:eastAsia="en-US"/>
        </w:rPr>
      </w:pPr>
    </w:p>
    <w:p w14:paraId="5C16CECC" w14:textId="77777777" w:rsidR="00B509DD" w:rsidRPr="006122EE" w:rsidRDefault="00B509DD" w:rsidP="00B509DD">
      <w:pPr>
        <w:rPr>
          <w:lang w:eastAsia="en-US"/>
        </w:rPr>
      </w:pPr>
    </w:p>
    <w:p w14:paraId="72084CA9" w14:textId="77777777" w:rsidR="00540810" w:rsidRPr="006122EE" w:rsidRDefault="00540810" w:rsidP="00B509DD">
      <w:pPr>
        <w:rPr>
          <w:lang w:eastAsia="en-US"/>
        </w:rPr>
      </w:pPr>
    </w:p>
    <w:p w14:paraId="4371E675" w14:textId="77777777" w:rsidR="00CB3F5C" w:rsidRPr="00866D96" w:rsidRDefault="00716788" w:rsidP="006E363C">
      <w:pPr>
        <w:pStyle w:val="APageheading"/>
        <w:rPr>
          <w:noProof w:val="0"/>
        </w:rPr>
      </w:pPr>
      <w:bookmarkStart w:id="91" w:name="_Toc441762576"/>
      <w:bookmarkStart w:id="92" w:name="_Toc481614890"/>
      <w:bookmarkEnd w:id="91"/>
      <w:r w:rsidRPr="00866D96">
        <w:rPr>
          <w:noProof w:val="0"/>
        </w:rPr>
        <w:t>Part I -</w:t>
      </w:r>
      <w:r w:rsidR="00932908" w:rsidRPr="00866D96">
        <w:rPr>
          <w:noProof w:val="0"/>
        </w:rPr>
        <w:t>Vision and targets through 2030</w:t>
      </w:r>
      <w:bookmarkEnd w:id="92"/>
      <w:r w:rsidR="00CB3F5C" w:rsidRPr="00866D96">
        <w:rPr>
          <w:noProof w:val="0"/>
        </w:rPr>
        <w:t xml:space="preserve"> </w:t>
      </w:r>
    </w:p>
    <w:p w14:paraId="03A2E21C" w14:textId="77777777" w:rsidR="00AA182C" w:rsidRPr="006122EE" w:rsidRDefault="00AA182C" w:rsidP="00B53E51">
      <w:pPr>
        <w:spacing w:line="276" w:lineRule="auto"/>
        <w:rPr>
          <w:lang w:eastAsia="en-US"/>
        </w:rPr>
      </w:pPr>
      <w:r w:rsidRPr="006122EE">
        <w:rPr>
          <w:lang w:eastAsia="en-US"/>
        </w:rPr>
        <w:t>Guided by its Energy Policy of 2003</w:t>
      </w:r>
      <w:r w:rsidR="006332B8" w:rsidRPr="006122EE">
        <w:rPr>
          <w:lang w:eastAsia="en-US"/>
        </w:rPr>
        <w:t xml:space="preserve"> and 2016</w:t>
      </w:r>
      <w:r w:rsidRPr="006122EE">
        <w:rPr>
          <w:lang w:eastAsia="en-US"/>
        </w:rPr>
        <w:t xml:space="preserve"> </w:t>
      </w:r>
      <w:r w:rsidR="006332B8" w:rsidRPr="006122EE">
        <w:rPr>
          <w:lang w:eastAsia="en-US"/>
        </w:rPr>
        <w:t>a</w:t>
      </w:r>
      <w:r w:rsidRPr="006122EE">
        <w:rPr>
          <w:lang w:eastAsia="en-US"/>
        </w:rPr>
        <w:t xml:space="preserve">, Malawi is seeking to develop its energy sector in an environmentally and economically sustainable manner, to strengthen its electricity grid, diversify its generating capacity and extend electricity services to its unserved populations. Among other measures, the nation has developed an ethanol industry that has resulted in blending ethanol with petrol for motor vehicles; preliminarily approved a feed-in tariff to incentivize large-scale renewable energy investments; increased rural household access to electricity and improved cooking technologies through initiatives with a number of donor agencies and NGOs; However, on Malawi’s current trajectory, it will be many decades before the country’s economy and people will derive a majority of their energy from clean, efficient sources of energy. </w:t>
      </w:r>
    </w:p>
    <w:p w14:paraId="1AC90A37" w14:textId="77777777" w:rsidR="00AA182C" w:rsidRPr="006122EE" w:rsidRDefault="00AA182C" w:rsidP="00B53E51">
      <w:pPr>
        <w:spacing w:line="276" w:lineRule="auto"/>
        <w:rPr>
          <w:lang w:eastAsia="en-US"/>
        </w:rPr>
      </w:pPr>
      <w:r w:rsidRPr="006122EE">
        <w:rPr>
          <w:lang w:eastAsia="en-US"/>
        </w:rPr>
        <w:tab/>
        <w:t xml:space="preserve">In this chapter, the current state of affairs in energy is reviewed and the business-as-usual trajectories are examined. This is followed by the presentation of new targets in the areas of energy access, renewable energy, energy efficiency and transportation. The targets are based on analysis of the existing situation, consideration of existing trajectories and consultations with stakeholders in Malawi. It is this last area – consultation with stakeholders – that is of paramount importance in developing the targets outlined in this chapter to increase the use of efficient cook-stoves, increase off-grid access to electricity, develop large-scale, grid-connected renewable energy projects, increase the use of alternative fuels in transportation, and improve the efficiency of urban transport systems. The proposed targets are ambitious but are achievable if the right leadership, legal and institutional structures, and financial resources are brought to bear on the energy sector. </w:t>
      </w:r>
    </w:p>
    <w:p w14:paraId="2D99A2BE" w14:textId="77777777" w:rsidR="00AA182C" w:rsidRPr="006122EE" w:rsidRDefault="00AA182C" w:rsidP="00B53E51">
      <w:pPr>
        <w:spacing w:line="276" w:lineRule="auto"/>
        <w:rPr>
          <w:lang w:eastAsia="en-US"/>
        </w:rPr>
      </w:pPr>
      <w:r w:rsidRPr="006122EE">
        <w:tab/>
        <w:t>Finally, this chapter address</w:t>
      </w:r>
      <w:r w:rsidR="006B7985" w:rsidRPr="006122EE">
        <w:t>es</w:t>
      </w:r>
      <w:r w:rsidRPr="006122EE">
        <w:t xml:space="preserve"> the gap between the BAU trajectory and the targets, and describes the barriers preventing the achievement of the targets.</w:t>
      </w:r>
    </w:p>
    <w:p w14:paraId="7A0526CA" w14:textId="77777777" w:rsidR="00BA1D6A" w:rsidRPr="00866D96" w:rsidRDefault="00BA1D6A" w:rsidP="006E363C">
      <w:pPr>
        <w:pStyle w:val="BTitle20"/>
        <w:rPr>
          <w:noProof w:val="0"/>
        </w:rPr>
      </w:pPr>
      <w:bookmarkStart w:id="93" w:name="_Toc481614891"/>
      <w:bookmarkStart w:id="94" w:name="_Toc437268389"/>
      <w:r w:rsidRPr="00866D96">
        <w:rPr>
          <w:noProof w:val="0"/>
        </w:rPr>
        <w:t>Energy sector status and trajectory</w:t>
      </w:r>
      <w:bookmarkEnd w:id="93"/>
      <w:r w:rsidRPr="00866D96">
        <w:rPr>
          <w:noProof w:val="0"/>
        </w:rPr>
        <w:t xml:space="preserve"> </w:t>
      </w:r>
    </w:p>
    <w:p w14:paraId="32AE166F" w14:textId="77777777" w:rsidR="00F96003" w:rsidRPr="006122EE" w:rsidRDefault="00F96003" w:rsidP="00E266BC">
      <w:pPr>
        <w:pStyle w:val="BTitle3"/>
        <w:rPr>
          <w:noProof w:val="0"/>
          <w:lang w:val="en-GB"/>
        </w:rPr>
      </w:pPr>
      <w:bookmarkStart w:id="95" w:name="_Toc469937907"/>
      <w:bookmarkStart w:id="96" w:name="_Toc469999885"/>
      <w:bookmarkStart w:id="97" w:name="_Toc469999996"/>
      <w:bookmarkStart w:id="98" w:name="_Toc470117729"/>
      <w:bookmarkStart w:id="99" w:name="_Toc470119085"/>
      <w:bookmarkStart w:id="100" w:name="_Toc481614892"/>
      <w:bookmarkEnd w:id="95"/>
      <w:bookmarkEnd w:id="96"/>
      <w:bookmarkEnd w:id="97"/>
      <w:bookmarkEnd w:id="98"/>
      <w:bookmarkEnd w:id="99"/>
      <w:r w:rsidRPr="006122EE">
        <w:rPr>
          <w:noProof w:val="0"/>
          <w:lang w:val="en-GB"/>
        </w:rPr>
        <w:t>Energy Sector Status</w:t>
      </w:r>
      <w:bookmarkEnd w:id="100"/>
    </w:p>
    <w:p w14:paraId="5B9F6E53" w14:textId="77777777" w:rsidR="009F1CC5" w:rsidRPr="006122EE" w:rsidRDefault="009F1CC5" w:rsidP="00B53E51">
      <w:pPr>
        <w:spacing w:line="276" w:lineRule="auto"/>
        <w:rPr>
          <w:lang w:eastAsia="en-US"/>
        </w:rPr>
      </w:pPr>
      <w:bookmarkStart w:id="101" w:name="_Toc441762593"/>
      <w:bookmarkStart w:id="102" w:name="_Toc441762594"/>
      <w:bookmarkStart w:id="103" w:name="_Toc437268373"/>
      <w:bookmarkEnd w:id="94"/>
      <w:bookmarkEnd w:id="101"/>
      <w:bookmarkEnd w:id="102"/>
      <w:r w:rsidRPr="006122EE">
        <w:rPr>
          <w:lang w:eastAsia="en-US"/>
        </w:rPr>
        <w:t xml:space="preserve">The energy sectors of Malawi include biomass, electricity, liquid fuels and gas, coal and renewables with biomass having the largest contribution to the energy balance of the country. The Malawi Energy Policy indicates that approximately 93% of energy comes from biomass largely exploited in a non-sustainable manner. Imported petroleum account for 3.5% of the energy and electricity produced from hydro power accounts for 2.3% of all energy. </w:t>
      </w:r>
    </w:p>
    <w:p w14:paraId="0E58435E" w14:textId="77777777" w:rsidR="009F1CC5" w:rsidRPr="006122EE" w:rsidRDefault="009F1CC5" w:rsidP="00B53E51">
      <w:pPr>
        <w:spacing w:line="276" w:lineRule="auto"/>
        <w:rPr>
          <w:lang w:eastAsia="en-US"/>
        </w:rPr>
      </w:pPr>
      <w:r w:rsidRPr="006122EE">
        <w:rPr>
          <w:lang w:eastAsia="en-US"/>
        </w:rPr>
        <w:t xml:space="preserve">Malawi’s interconnected grid electricity is from hydro. The installed </w:t>
      </w:r>
      <w:r w:rsidR="00EA72B1" w:rsidRPr="006122EE">
        <w:rPr>
          <w:lang w:eastAsia="en-US"/>
        </w:rPr>
        <w:t>interconnected</w:t>
      </w:r>
      <w:r w:rsidRPr="006122EE">
        <w:rPr>
          <w:lang w:eastAsia="en-US"/>
        </w:rPr>
        <w:t xml:space="preserve"> capacity of hydro is 351 MW of which 311MW is operational but is not all used due to low water levels along the Shire River. The suppressed demand is 350 MW. The hydro power is more than 90% concentrated on the Shire River with only 4.5MW on Wovwe River and this brings about high insecurity in terms of national power supply. Likoma Island is powered by diesel generators rated at 250kW</w:t>
      </w:r>
      <w:r w:rsidR="00EA72B1" w:rsidRPr="006122EE">
        <w:rPr>
          <w:lang w:eastAsia="en-US"/>
        </w:rPr>
        <w:t xml:space="preserve">. </w:t>
      </w:r>
      <w:r w:rsidRPr="006122EE">
        <w:rPr>
          <w:lang w:eastAsia="en-US"/>
        </w:rPr>
        <w:t xml:space="preserve">The total units generated in 2014 were 1,906.51GWh and consumed were </w:t>
      </w:r>
      <w:r w:rsidR="0011497C" w:rsidRPr="006122EE">
        <w:rPr>
          <w:lang w:eastAsia="en-US"/>
        </w:rPr>
        <w:t>797,46GWh</w:t>
      </w:r>
      <w:r w:rsidR="00EA72B1" w:rsidRPr="006122EE">
        <w:rPr>
          <w:lang w:eastAsia="en-US"/>
        </w:rPr>
        <w:t xml:space="preserve">. </w:t>
      </w:r>
      <w:r w:rsidRPr="006122EE">
        <w:rPr>
          <w:lang w:eastAsia="en-US"/>
        </w:rPr>
        <w:t>If all the potential domestic and industrial customers were connected, the demand could even triple. All petroleum products are imported. The current levels of importation by Petroleum Importers Ltd and National Oil Company of Malawi according to Malawi Energy Regulatory Authority (MERA) are as shown in Annex 1.</w:t>
      </w:r>
    </w:p>
    <w:p w14:paraId="6B1D1F20" w14:textId="77777777" w:rsidR="009F1CC5" w:rsidRPr="006122EE" w:rsidRDefault="009F1CC5" w:rsidP="00B53E51">
      <w:pPr>
        <w:spacing w:line="276" w:lineRule="auto"/>
        <w:rPr>
          <w:lang w:eastAsia="en-US"/>
        </w:rPr>
      </w:pPr>
      <w:r w:rsidRPr="006122EE">
        <w:rPr>
          <w:lang w:eastAsia="en-US"/>
        </w:rPr>
        <w:t>The operators in the liquid fuels and gas industry include: Puma Energy, Total, Petroda, Energem, Injena,Mt Meru, Afrox Malawi Ltd, Press Cane and Ethanol Company Ltd. Puma Energy, Total, Petroda, Energem, Mt Meru and Injena trade in petrol, diesel and lubricants while as Afrox Malawi Ltd trade in gas and LPG. Press Cane and Ethanol Company Ltd trade in fuel ethanol as an energy component. It should be pointed out that all the import volumes by PIL less handling losses are consumed by the end of the year.</w:t>
      </w:r>
    </w:p>
    <w:p w14:paraId="573FEE62" w14:textId="77777777" w:rsidR="009F1CC5" w:rsidRPr="006122EE" w:rsidRDefault="009F1CC5" w:rsidP="00B53E51">
      <w:pPr>
        <w:spacing w:line="276" w:lineRule="auto"/>
        <w:rPr>
          <w:lang w:eastAsia="en-US"/>
        </w:rPr>
      </w:pPr>
      <w:r w:rsidRPr="006122EE">
        <w:rPr>
          <w:lang w:eastAsia="en-US"/>
        </w:rPr>
        <w:t xml:space="preserve">The production of fuel ethanol by Press Cane and Ethanol Company of Malawi subsidiaries of Press Corporation Group of Companies is currently being tested on petrol vehicles by fitting in a device which enables the vehicles to use fuel ethanol without blending. If the test is successful and ethanol production can be increased to meet the demand, all petrol vehicles will be fitted with the enabler device and reduce importation volumes of petrol thereby saving forex. </w:t>
      </w:r>
    </w:p>
    <w:p w14:paraId="4AA904D6" w14:textId="77777777" w:rsidR="008274F2" w:rsidRPr="006122EE" w:rsidRDefault="009F1CC5" w:rsidP="00B53E51">
      <w:pPr>
        <w:spacing w:line="276" w:lineRule="auto"/>
        <w:rPr>
          <w:lang w:eastAsia="en-US"/>
        </w:rPr>
      </w:pPr>
      <w:r w:rsidRPr="006122EE">
        <w:rPr>
          <w:lang w:eastAsia="en-US"/>
        </w:rPr>
        <w:t xml:space="preserve">Ethanol was approved by MERA as </w:t>
      </w:r>
      <w:r w:rsidR="00312C85" w:rsidRPr="006122EE">
        <w:rPr>
          <w:lang w:eastAsia="en-US"/>
        </w:rPr>
        <w:t>a legal</w:t>
      </w:r>
      <w:r w:rsidRPr="006122EE">
        <w:rPr>
          <w:lang w:eastAsia="en-US"/>
        </w:rPr>
        <w:t xml:space="preserve"> fuel in 2014. This has resulted into plans which are underway to construct separate pumps for fuel ethanol where petrol vehicles will be filling their tanks for fuel ethanol in all major towns of the country</w:t>
      </w:r>
      <w:r w:rsidR="00312C85" w:rsidRPr="006122EE">
        <w:rPr>
          <w:lang w:eastAsia="en-US"/>
        </w:rPr>
        <w:t xml:space="preserve">. </w:t>
      </w:r>
      <w:r w:rsidRPr="006122EE">
        <w:rPr>
          <w:lang w:eastAsia="en-US"/>
        </w:rPr>
        <w:t>However blending of ethanol fuel with petrol at 90:10 is still continuing. National Oil Company of Malawi which has been established under the act of Parliament to manage a strategic fuel reserve facility in now operational</w:t>
      </w:r>
      <w:r w:rsidR="00312C85" w:rsidRPr="006122EE">
        <w:rPr>
          <w:lang w:eastAsia="en-US"/>
        </w:rPr>
        <w:t xml:space="preserve">. </w:t>
      </w:r>
      <w:r w:rsidRPr="006122EE">
        <w:rPr>
          <w:lang w:eastAsia="en-US"/>
        </w:rPr>
        <w:t xml:space="preserve">Currently the </w:t>
      </w:r>
      <w:r w:rsidR="00983ED1" w:rsidRPr="006122EE">
        <w:rPr>
          <w:lang w:eastAsia="en-US"/>
        </w:rPr>
        <w:t>g</w:t>
      </w:r>
      <w:r w:rsidRPr="006122EE">
        <w:rPr>
          <w:lang w:eastAsia="en-US"/>
        </w:rPr>
        <w:t>overnment is negotiating to import electricity from Mozambique. This would tap into the Southern Africa Power Pool (SAPP) and substantially reduce power outages and rationing which is frustrating both domestic and industrial users</w:t>
      </w:r>
      <w:r w:rsidR="00312C85" w:rsidRPr="006122EE">
        <w:rPr>
          <w:lang w:eastAsia="en-US"/>
        </w:rPr>
        <w:t xml:space="preserve">. </w:t>
      </w:r>
      <w:r w:rsidRPr="006122EE">
        <w:rPr>
          <w:lang w:eastAsia="en-US"/>
        </w:rPr>
        <w:t>Issues of energy subsidies and tariffs will be critical.</w:t>
      </w:r>
    </w:p>
    <w:p w14:paraId="512B5A69" w14:textId="77777777" w:rsidR="008274F2" w:rsidRPr="006122EE" w:rsidRDefault="008274F2" w:rsidP="00B53E51">
      <w:pPr>
        <w:pStyle w:val="Style1"/>
        <w:spacing w:line="276" w:lineRule="auto"/>
      </w:pPr>
      <w:r w:rsidRPr="006122EE">
        <w:t>Energy Demand</w:t>
      </w:r>
    </w:p>
    <w:p w14:paraId="073851BA" w14:textId="77777777" w:rsidR="008274F2" w:rsidRPr="006122EE" w:rsidRDefault="008274F2" w:rsidP="00B53E51">
      <w:pPr>
        <w:spacing w:before="11" w:line="276" w:lineRule="auto"/>
        <w:rPr>
          <w:rFonts w:ascii="Calibri" w:eastAsia="Calibri" w:hAnsi="Calibri" w:cs="Calibri"/>
          <w:sz w:val="23"/>
          <w:szCs w:val="23"/>
        </w:rPr>
      </w:pPr>
      <w:r w:rsidRPr="006122EE">
        <w:rPr>
          <w:rFonts w:eastAsia="Arial Narrow" w:cs="Arial"/>
        </w:rPr>
        <w:t xml:space="preserve">The Malawi Energy Policy 2003 has segmented the energy demand sectors into the following categories household, agriculture and natural resources, industry, mining and construction, transport and social services. As of 2003, biomass was satisfying 99% of the household energy demand. The situation has slightly changed to 98% with the increase in the access to electricity. </w:t>
      </w:r>
      <w:r w:rsidRPr="006122EE">
        <w:rPr>
          <w:rFonts w:cs="Arial"/>
          <w:spacing w:val="-1"/>
        </w:rPr>
        <w:t>According</w:t>
      </w:r>
      <w:r w:rsidRPr="006122EE">
        <w:rPr>
          <w:rFonts w:cs="Arial"/>
          <w:spacing w:val="43"/>
        </w:rPr>
        <w:t xml:space="preserve"> </w:t>
      </w:r>
      <w:r w:rsidRPr="006122EE">
        <w:rPr>
          <w:rFonts w:cs="Arial"/>
        </w:rPr>
        <w:t>to</w:t>
      </w:r>
      <w:r w:rsidRPr="006122EE">
        <w:rPr>
          <w:rFonts w:cs="Arial"/>
          <w:spacing w:val="43"/>
        </w:rPr>
        <w:t xml:space="preserve"> </w:t>
      </w:r>
      <w:r w:rsidRPr="006122EE">
        <w:rPr>
          <w:rFonts w:cs="Arial"/>
        </w:rPr>
        <w:t>the</w:t>
      </w:r>
      <w:r w:rsidRPr="006122EE">
        <w:rPr>
          <w:rFonts w:cs="Arial"/>
          <w:spacing w:val="44"/>
        </w:rPr>
        <w:t xml:space="preserve"> </w:t>
      </w:r>
      <w:r w:rsidRPr="006122EE">
        <w:rPr>
          <w:rFonts w:cs="Arial"/>
          <w:spacing w:val="-1"/>
        </w:rPr>
        <w:t>Biomass</w:t>
      </w:r>
      <w:r w:rsidRPr="006122EE">
        <w:rPr>
          <w:rFonts w:cs="Arial"/>
          <w:spacing w:val="42"/>
        </w:rPr>
        <w:t xml:space="preserve"> </w:t>
      </w:r>
      <w:r w:rsidRPr="006122EE">
        <w:rPr>
          <w:rFonts w:cs="Arial"/>
          <w:spacing w:val="-1"/>
        </w:rPr>
        <w:t>Energy</w:t>
      </w:r>
      <w:r w:rsidR="00312C85" w:rsidRPr="006122EE">
        <w:rPr>
          <w:rFonts w:cs="Arial"/>
          <w:spacing w:val="43"/>
        </w:rPr>
        <w:t xml:space="preserve"> </w:t>
      </w:r>
      <w:r w:rsidRPr="006122EE">
        <w:rPr>
          <w:rFonts w:cs="Arial"/>
        </w:rPr>
        <w:t>Strategy</w:t>
      </w:r>
      <w:r w:rsidRPr="006122EE">
        <w:rPr>
          <w:rFonts w:cs="Arial"/>
          <w:spacing w:val="42"/>
        </w:rPr>
        <w:t xml:space="preserve"> </w:t>
      </w:r>
      <w:r w:rsidRPr="006122EE">
        <w:rPr>
          <w:rFonts w:cs="Arial"/>
        </w:rPr>
        <w:t>(2009)</w:t>
      </w:r>
      <w:r w:rsidRPr="006122EE">
        <w:rPr>
          <w:rFonts w:cs="Arial"/>
          <w:spacing w:val="43"/>
        </w:rPr>
        <w:t xml:space="preserve"> </w:t>
      </w:r>
      <w:r w:rsidRPr="006122EE">
        <w:rPr>
          <w:rFonts w:cs="Arial"/>
        </w:rPr>
        <w:t>the</w:t>
      </w:r>
      <w:r w:rsidRPr="006122EE">
        <w:rPr>
          <w:rFonts w:cs="Arial"/>
          <w:spacing w:val="81"/>
          <w:w w:val="99"/>
        </w:rPr>
        <w:t xml:space="preserve"> </w:t>
      </w:r>
      <w:r w:rsidRPr="006122EE">
        <w:rPr>
          <w:rFonts w:cs="Arial"/>
        </w:rPr>
        <w:t>energy</w:t>
      </w:r>
      <w:r w:rsidRPr="006122EE">
        <w:rPr>
          <w:rFonts w:cs="Arial"/>
          <w:spacing w:val="-3"/>
        </w:rPr>
        <w:t xml:space="preserve"> </w:t>
      </w:r>
      <w:r w:rsidRPr="006122EE">
        <w:rPr>
          <w:rFonts w:cs="Arial"/>
        </w:rPr>
        <w:t>mix</w:t>
      </w:r>
      <w:r w:rsidRPr="006122EE">
        <w:rPr>
          <w:rFonts w:cs="Arial"/>
          <w:spacing w:val="-5"/>
        </w:rPr>
        <w:t xml:space="preserve"> </w:t>
      </w:r>
      <w:r w:rsidRPr="006122EE">
        <w:rPr>
          <w:rFonts w:cs="Arial"/>
        </w:rPr>
        <w:t>has</w:t>
      </w:r>
      <w:r w:rsidRPr="006122EE">
        <w:rPr>
          <w:rFonts w:cs="Arial"/>
          <w:spacing w:val="-4"/>
        </w:rPr>
        <w:t xml:space="preserve"> </w:t>
      </w:r>
      <w:r w:rsidRPr="006122EE">
        <w:rPr>
          <w:rFonts w:cs="Arial"/>
          <w:spacing w:val="-1"/>
        </w:rPr>
        <w:t>been</w:t>
      </w:r>
      <w:r w:rsidRPr="006122EE">
        <w:rPr>
          <w:rFonts w:cs="Arial"/>
          <w:spacing w:val="-2"/>
        </w:rPr>
        <w:t xml:space="preserve"> </w:t>
      </w:r>
      <w:r w:rsidRPr="006122EE">
        <w:rPr>
          <w:rFonts w:cs="Arial"/>
          <w:spacing w:val="-1"/>
        </w:rPr>
        <w:t>estimated</w:t>
      </w:r>
      <w:r w:rsidRPr="006122EE">
        <w:rPr>
          <w:rFonts w:cs="Arial"/>
          <w:spacing w:val="-3"/>
        </w:rPr>
        <w:t xml:space="preserve"> </w:t>
      </w:r>
      <w:r w:rsidRPr="006122EE">
        <w:rPr>
          <w:rFonts w:cs="Arial"/>
        </w:rPr>
        <w:t>as</w:t>
      </w:r>
      <w:r w:rsidRPr="006122EE">
        <w:rPr>
          <w:rFonts w:cs="Arial"/>
          <w:spacing w:val="-3"/>
        </w:rPr>
        <w:t xml:space="preserve"> </w:t>
      </w:r>
      <w:r w:rsidRPr="006122EE">
        <w:rPr>
          <w:rFonts w:cs="Arial"/>
          <w:spacing w:val="-1"/>
        </w:rPr>
        <w:t xml:space="preserve">shown </w:t>
      </w:r>
      <w:r w:rsidRPr="006122EE">
        <w:rPr>
          <w:rFonts w:cs="Arial"/>
          <w:spacing w:val="-2"/>
        </w:rPr>
        <w:t>in</w:t>
      </w:r>
      <w:r w:rsidRPr="006122EE">
        <w:rPr>
          <w:rFonts w:cs="Arial"/>
          <w:spacing w:val="-4"/>
        </w:rPr>
        <w:t xml:space="preserve"> </w:t>
      </w:r>
      <w:r w:rsidRPr="006122EE">
        <w:rPr>
          <w:rFonts w:cs="Arial"/>
        </w:rPr>
        <w:t>the</w:t>
      </w:r>
      <w:r w:rsidRPr="006122EE">
        <w:rPr>
          <w:rFonts w:cs="Arial"/>
          <w:spacing w:val="-4"/>
        </w:rPr>
        <w:t xml:space="preserve"> </w:t>
      </w:r>
      <w:r w:rsidR="00312C85" w:rsidRPr="006122EE">
        <w:rPr>
          <w:rFonts w:cs="Arial"/>
          <w:spacing w:val="-4"/>
        </w:rPr>
        <w:fldChar w:fldCharType="begin"/>
      </w:r>
      <w:r w:rsidR="00312C85" w:rsidRPr="006122EE">
        <w:rPr>
          <w:rFonts w:cs="Arial"/>
          <w:spacing w:val="-4"/>
        </w:rPr>
        <w:instrText xml:space="preserve"> REF _Ref469941406 \h </w:instrText>
      </w:r>
      <w:r w:rsidR="00B53E51">
        <w:rPr>
          <w:rFonts w:cs="Arial"/>
          <w:spacing w:val="-4"/>
        </w:rPr>
        <w:instrText xml:space="preserve"> \* MERGEFORMAT </w:instrText>
      </w:r>
      <w:r w:rsidR="00312C85" w:rsidRPr="006122EE">
        <w:rPr>
          <w:rFonts w:cs="Arial"/>
          <w:spacing w:val="-4"/>
        </w:rPr>
      </w:r>
      <w:r w:rsidR="00312C85" w:rsidRPr="006122EE">
        <w:rPr>
          <w:rFonts w:cs="Arial"/>
          <w:spacing w:val="-4"/>
        </w:rPr>
        <w:fldChar w:fldCharType="separate"/>
      </w:r>
      <w:r w:rsidR="00866D96" w:rsidRPr="006122EE">
        <w:t xml:space="preserve">Table </w:t>
      </w:r>
      <w:r w:rsidR="00866D96">
        <w:rPr>
          <w:noProof/>
        </w:rPr>
        <w:t>8</w:t>
      </w:r>
      <w:r w:rsidR="00312C85" w:rsidRPr="006122EE">
        <w:rPr>
          <w:rFonts w:cs="Arial"/>
          <w:spacing w:val="-4"/>
        </w:rPr>
        <w:fldChar w:fldCharType="end"/>
      </w:r>
      <w:r w:rsidR="00312C85" w:rsidRPr="006122EE">
        <w:rPr>
          <w:rFonts w:cs="Arial"/>
          <w:spacing w:val="-4"/>
        </w:rPr>
        <w:t xml:space="preserve"> </w:t>
      </w:r>
      <w:r w:rsidRPr="006122EE">
        <w:rPr>
          <w:rFonts w:cs="Arial"/>
          <w:spacing w:val="-1"/>
        </w:rPr>
        <w:t>below.</w:t>
      </w:r>
    </w:p>
    <w:p w14:paraId="16A40F69" w14:textId="77777777" w:rsidR="00B53E51" w:rsidRDefault="00B53E51" w:rsidP="00726AF3">
      <w:pPr>
        <w:pStyle w:val="Caption"/>
      </w:pPr>
      <w:bookmarkStart w:id="104" w:name="_Ref469941406"/>
      <w:bookmarkStart w:id="105" w:name="_Toc481614993"/>
    </w:p>
    <w:p w14:paraId="2EEFE385" w14:textId="77777777" w:rsidR="00312C85" w:rsidRPr="006122EE" w:rsidRDefault="00312C85" w:rsidP="00726AF3">
      <w:pPr>
        <w:pStyle w:val="Caption"/>
      </w:pPr>
      <w:r w:rsidRPr="006122EE">
        <w:t xml:space="preserve">Table </w:t>
      </w:r>
      <w:r w:rsidR="00DC7D8C">
        <w:fldChar w:fldCharType="begin"/>
      </w:r>
      <w:r w:rsidR="00DC7D8C">
        <w:instrText xml:space="preserve"> SEQ Table \* ARABIC </w:instrText>
      </w:r>
      <w:r w:rsidR="00DC7D8C">
        <w:fldChar w:fldCharType="separate"/>
      </w:r>
      <w:r w:rsidR="00866D96">
        <w:rPr>
          <w:noProof/>
        </w:rPr>
        <w:t>8</w:t>
      </w:r>
      <w:r w:rsidR="00DC7D8C">
        <w:rPr>
          <w:noProof/>
        </w:rPr>
        <w:fldChar w:fldCharType="end"/>
      </w:r>
      <w:bookmarkEnd w:id="104"/>
      <w:r w:rsidRPr="006122EE">
        <w:t>: Energy demand by fuel type</w:t>
      </w:r>
      <w:r w:rsidRPr="006122EE">
        <w:rPr>
          <w:rStyle w:val="FootnoteReference"/>
        </w:rPr>
        <w:footnoteReference w:id="10"/>
      </w:r>
      <w:bookmarkEnd w:id="105"/>
    </w:p>
    <w:tbl>
      <w:tblPr>
        <w:tblStyle w:val="GridTable4-Accent331"/>
        <w:tblW w:w="0" w:type="auto"/>
        <w:jc w:val="center"/>
        <w:tblLayout w:type="fixed"/>
        <w:tblLook w:val="01E0" w:firstRow="1" w:lastRow="1" w:firstColumn="1" w:lastColumn="1" w:noHBand="0" w:noVBand="0"/>
      </w:tblPr>
      <w:tblGrid>
        <w:gridCol w:w="1441"/>
        <w:gridCol w:w="1248"/>
        <w:gridCol w:w="1701"/>
        <w:gridCol w:w="1275"/>
        <w:gridCol w:w="1134"/>
        <w:gridCol w:w="1006"/>
        <w:gridCol w:w="1262"/>
      </w:tblGrid>
      <w:tr w:rsidR="008274F2" w:rsidRPr="006122EE" w14:paraId="0E89A324" w14:textId="77777777" w:rsidTr="00866D96">
        <w:trPr>
          <w:cnfStyle w:val="100000000000" w:firstRow="1" w:lastRow="0" w:firstColumn="0" w:lastColumn="0" w:oddVBand="0" w:evenVBand="0" w:oddHBand="0"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vMerge w:val="restart"/>
          </w:tcPr>
          <w:p w14:paraId="43F83DE2" w14:textId="77777777" w:rsidR="008274F2" w:rsidRPr="00866D96" w:rsidRDefault="008274F2" w:rsidP="008274F2">
            <w:pPr>
              <w:widowControl w:val="0"/>
              <w:spacing w:before="0" w:after="0" w:line="291" w:lineRule="exact"/>
              <w:ind w:left="104"/>
              <w:jc w:val="left"/>
              <w:rPr>
                <w:rFonts w:eastAsia="Calibri" w:cs="Arial"/>
                <w:szCs w:val="20"/>
                <w:lang w:eastAsia="en-US"/>
              </w:rPr>
            </w:pPr>
            <w:r w:rsidRPr="00866D96">
              <w:rPr>
                <w:rFonts w:eastAsiaTheme="minorHAnsi" w:cs="Arial"/>
                <w:spacing w:val="-1"/>
                <w:szCs w:val="20"/>
                <w:lang w:eastAsia="en-US"/>
              </w:rPr>
              <w:t>Sector</w:t>
            </w:r>
          </w:p>
        </w:tc>
        <w:tc>
          <w:tcPr>
            <w:cnfStyle w:val="000100000000" w:firstRow="0" w:lastRow="0" w:firstColumn="0" w:lastColumn="1" w:oddVBand="0" w:evenVBand="0" w:oddHBand="0" w:evenHBand="0" w:firstRowFirstColumn="0" w:firstRowLastColumn="0" w:lastRowFirstColumn="0" w:lastRowLastColumn="0"/>
            <w:tcW w:w="7626" w:type="dxa"/>
            <w:gridSpan w:val="6"/>
          </w:tcPr>
          <w:p w14:paraId="256AD567" w14:textId="77777777" w:rsidR="008274F2" w:rsidRPr="00866D96" w:rsidRDefault="008274F2" w:rsidP="008274F2">
            <w:pPr>
              <w:widowControl w:val="0"/>
              <w:spacing w:before="0" w:after="0" w:line="291" w:lineRule="exact"/>
              <w:ind w:left="1155"/>
              <w:jc w:val="left"/>
              <w:rPr>
                <w:rFonts w:eastAsia="Calibri" w:cs="Arial"/>
                <w:szCs w:val="20"/>
                <w:lang w:eastAsia="en-US"/>
              </w:rPr>
            </w:pPr>
            <w:r w:rsidRPr="00866D96">
              <w:rPr>
                <w:rFonts w:eastAsiaTheme="minorHAnsi" w:cs="Arial"/>
                <w:spacing w:val="-1"/>
                <w:szCs w:val="20"/>
                <w:lang w:eastAsia="en-US"/>
              </w:rPr>
              <w:t>Energy</w:t>
            </w:r>
            <w:r w:rsidRPr="00866D96">
              <w:rPr>
                <w:rFonts w:eastAsiaTheme="minorHAnsi" w:cs="Arial"/>
                <w:spacing w:val="-5"/>
                <w:szCs w:val="20"/>
                <w:lang w:eastAsia="en-US"/>
              </w:rPr>
              <w:t xml:space="preserve"> </w:t>
            </w:r>
            <w:r w:rsidRPr="00866D96">
              <w:rPr>
                <w:rFonts w:eastAsiaTheme="minorHAnsi" w:cs="Arial"/>
                <w:spacing w:val="-1"/>
                <w:szCs w:val="20"/>
                <w:lang w:eastAsia="en-US"/>
              </w:rPr>
              <w:t>demand</w:t>
            </w:r>
            <w:r w:rsidRPr="00866D96">
              <w:rPr>
                <w:rFonts w:eastAsiaTheme="minorHAnsi" w:cs="Arial"/>
                <w:spacing w:val="-3"/>
                <w:szCs w:val="20"/>
                <w:lang w:eastAsia="en-US"/>
              </w:rPr>
              <w:t xml:space="preserve"> </w:t>
            </w:r>
            <w:r w:rsidRPr="00866D96">
              <w:rPr>
                <w:rFonts w:eastAsiaTheme="minorHAnsi" w:cs="Arial"/>
                <w:szCs w:val="20"/>
                <w:lang w:eastAsia="en-US"/>
              </w:rPr>
              <w:t>by</w:t>
            </w:r>
            <w:r w:rsidRPr="00866D96">
              <w:rPr>
                <w:rFonts w:eastAsiaTheme="minorHAnsi" w:cs="Arial"/>
                <w:spacing w:val="-4"/>
                <w:szCs w:val="20"/>
                <w:lang w:eastAsia="en-US"/>
              </w:rPr>
              <w:t xml:space="preserve"> </w:t>
            </w:r>
            <w:r w:rsidRPr="00866D96">
              <w:rPr>
                <w:rFonts w:eastAsiaTheme="minorHAnsi" w:cs="Arial"/>
                <w:spacing w:val="-1"/>
                <w:szCs w:val="20"/>
                <w:lang w:eastAsia="en-US"/>
              </w:rPr>
              <w:t>fuel</w:t>
            </w:r>
            <w:r w:rsidRPr="00866D96">
              <w:rPr>
                <w:rFonts w:eastAsiaTheme="minorHAnsi" w:cs="Arial"/>
                <w:spacing w:val="-3"/>
                <w:szCs w:val="20"/>
                <w:lang w:eastAsia="en-US"/>
              </w:rPr>
              <w:t xml:space="preserve"> </w:t>
            </w:r>
            <w:r w:rsidRPr="00866D96">
              <w:rPr>
                <w:rFonts w:eastAsiaTheme="minorHAnsi" w:cs="Arial"/>
                <w:spacing w:val="-1"/>
                <w:szCs w:val="20"/>
                <w:lang w:eastAsia="en-US"/>
              </w:rPr>
              <w:t>type</w:t>
            </w:r>
            <w:r w:rsidRPr="00866D96">
              <w:rPr>
                <w:rFonts w:eastAsiaTheme="minorHAnsi" w:cs="Arial"/>
                <w:spacing w:val="-5"/>
                <w:szCs w:val="20"/>
                <w:lang w:eastAsia="en-US"/>
              </w:rPr>
              <w:t xml:space="preserve"> </w:t>
            </w:r>
            <w:r w:rsidRPr="00866D96">
              <w:rPr>
                <w:rFonts w:eastAsiaTheme="minorHAnsi" w:cs="Arial"/>
                <w:szCs w:val="20"/>
                <w:lang w:eastAsia="en-US"/>
              </w:rPr>
              <w:t>(TJ/</w:t>
            </w:r>
            <w:r w:rsidRPr="00866D96">
              <w:rPr>
                <w:rFonts w:eastAsiaTheme="minorHAnsi" w:cs="Arial"/>
                <w:spacing w:val="-3"/>
                <w:szCs w:val="20"/>
                <w:lang w:eastAsia="en-US"/>
              </w:rPr>
              <w:t xml:space="preserve"> </w:t>
            </w:r>
            <w:r w:rsidRPr="00866D96">
              <w:rPr>
                <w:rFonts w:eastAsiaTheme="minorHAnsi" w:cs="Arial"/>
                <w:spacing w:val="-1"/>
                <w:szCs w:val="20"/>
                <w:lang w:eastAsia="en-US"/>
              </w:rPr>
              <w:t>yr)</w:t>
            </w:r>
          </w:p>
        </w:tc>
      </w:tr>
      <w:tr w:rsidR="008274F2" w:rsidRPr="006122EE" w14:paraId="5EF45720" w14:textId="77777777" w:rsidTr="00866D96">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vMerge/>
          </w:tcPr>
          <w:p w14:paraId="514463EF" w14:textId="77777777" w:rsidR="008274F2" w:rsidRPr="006122EE" w:rsidRDefault="008274F2" w:rsidP="008274F2">
            <w:pPr>
              <w:rPr>
                <w:rFonts w:cs="Arial"/>
                <w:szCs w:val="20"/>
              </w:rPr>
            </w:pPr>
          </w:p>
        </w:tc>
        <w:tc>
          <w:tcPr>
            <w:cnfStyle w:val="000010000000" w:firstRow="0" w:lastRow="0" w:firstColumn="0" w:lastColumn="0" w:oddVBand="1" w:evenVBand="0" w:oddHBand="0" w:evenHBand="0" w:firstRowFirstColumn="0" w:firstRowLastColumn="0" w:lastRowFirstColumn="0" w:lastRowLastColumn="0"/>
            <w:tcW w:w="1248" w:type="dxa"/>
          </w:tcPr>
          <w:p w14:paraId="47BAA915" w14:textId="77777777" w:rsidR="008274F2" w:rsidRPr="00866D96" w:rsidRDefault="008274F2" w:rsidP="00866D96">
            <w:pPr>
              <w:widowControl w:val="0"/>
              <w:spacing w:before="0" w:after="0" w:line="291" w:lineRule="exact"/>
              <w:ind w:left="104"/>
              <w:jc w:val="center"/>
              <w:rPr>
                <w:rFonts w:eastAsia="Calibri" w:cs="Arial"/>
                <w:color w:val="auto"/>
                <w:szCs w:val="20"/>
                <w:lang w:eastAsia="en-US"/>
              </w:rPr>
            </w:pPr>
            <w:r w:rsidRPr="00866D96">
              <w:rPr>
                <w:rFonts w:eastAsiaTheme="minorHAnsi" w:cs="Arial"/>
                <w:b/>
                <w:color w:val="auto"/>
                <w:spacing w:val="-1"/>
                <w:szCs w:val="20"/>
                <w:lang w:eastAsia="en-US"/>
              </w:rPr>
              <w:t>Biomass</w:t>
            </w:r>
          </w:p>
        </w:tc>
        <w:tc>
          <w:tcPr>
            <w:tcW w:w="1701" w:type="dxa"/>
          </w:tcPr>
          <w:p w14:paraId="5EF55BA0" w14:textId="77777777" w:rsidR="008274F2" w:rsidRPr="00866D96" w:rsidRDefault="008274F2" w:rsidP="00866D96">
            <w:pPr>
              <w:widowControl w:val="0"/>
              <w:spacing w:before="0" w:after="0" w:line="291" w:lineRule="exact"/>
              <w:ind w:left="104"/>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b/>
                <w:color w:val="auto"/>
                <w:spacing w:val="-1"/>
                <w:szCs w:val="20"/>
                <w:lang w:eastAsia="en-US"/>
              </w:rPr>
              <w:t>Petroleum</w:t>
            </w:r>
          </w:p>
        </w:tc>
        <w:tc>
          <w:tcPr>
            <w:cnfStyle w:val="000010000000" w:firstRow="0" w:lastRow="0" w:firstColumn="0" w:lastColumn="0" w:oddVBand="1" w:evenVBand="0" w:oddHBand="0" w:evenHBand="0" w:firstRowFirstColumn="0" w:firstRowLastColumn="0" w:lastRowFirstColumn="0" w:lastRowLastColumn="0"/>
            <w:tcW w:w="1275" w:type="dxa"/>
          </w:tcPr>
          <w:p w14:paraId="05C8F088" w14:textId="77777777" w:rsidR="008274F2" w:rsidRPr="00866D96" w:rsidRDefault="008274F2" w:rsidP="00866D96">
            <w:pPr>
              <w:widowControl w:val="0"/>
              <w:spacing w:before="0" w:after="0" w:line="291" w:lineRule="exact"/>
              <w:ind w:left="102"/>
              <w:jc w:val="center"/>
              <w:rPr>
                <w:rFonts w:eastAsia="Calibri" w:cs="Arial"/>
                <w:color w:val="auto"/>
                <w:szCs w:val="20"/>
                <w:lang w:eastAsia="en-US"/>
              </w:rPr>
            </w:pPr>
            <w:r w:rsidRPr="00866D96">
              <w:rPr>
                <w:rFonts w:eastAsiaTheme="minorHAnsi" w:cs="Arial"/>
                <w:b/>
                <w:color w:val="auto"/>
                <w:spacing w:val="-1"/>
                <w:szCs w:val="20"/>
                <w:lang w:eastAsia="en-US"/>
              </w:rPr>
              <w:t>Electricity</w:t>
            </w:r>
          </w:p>
        </w:tc>
        <w:tc>
          <w:tcPr>
            <w:tcW w:w="1134" w:type="dxa"/>
          </w:tcPr>
          <w:p w14:paraId="08C037FF" w14:textId="77777777" w:rsidR="008274F2" w:rsidRPr="00866D96" w:rsidRDefault="008274F2" w:rsidP="00866D96">
            <w:pPr>
              <w:widowControl w:val="0"/>
              <w:spacing w:before="0" w:after="0" w:line="291" w:lineRule="exact"/>
              <w:ind w:left="102"/>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b/>
                <w:color w:val="auto"/>
                <w:spacing w:val="-1"/>
                <w:szCs w:val="20"/>
                <w:lang w:eastAsia="en-US"/>
              </w:rPr>
              <w:t>Coal</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5130FA04" w14:textId="77777777" w:rsidR="008274F2" w:rsidRPr="00866D96" w:rsidRDefault="008274F2" w:rsidP="006122EE">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Total</w:t>
            </w:r>
          </w:p>
        </w:tc>
      </w:tr>
      <w:tr w:rsidR="008274F2" w:rsidRPr="006122EE" w14:paraId="1292447B" w14:textId="77777777" w:rsidTr="00866D96">
        <w:trPr>
          <w:trHeight w:hRule="exact" w:val="305"/>
          <w:jc w:val="center"/>
        </w:trPr>
        <w:tc>
          <w:tcPr>
            <w:cnfStyle w:val="001000000000" w:firstRow="0" w:lastRow="0" w:firstColumn="1" w:lastColumn="0" w:oddVBand="0" w:evenVBand="0" w:oddHBand="0" w:evenHBand="0" w:firstRowFirstColumn="0" w:firstRowLastColumn="0" w:lastRowFirstColumn="0" w:lastRowLastColumn="0"/>
            <w:tcW w:w="1441" w:type="dxa"/>
          </w:tcPr>
          <w:p w14:paraId="5EBF4123" w14:textId="77777777" w:rsidR="008274F2" w:rsidRPr="00866D96" w:rsidRDefault="008274F2" w:rsidP="008274F2">
            <w:pPr>
              <w:widowControl w:val="0"/>
              <w:spacing w:before="1" w:after="0" w:line="292" w:lineRule="exact"/>
              <w:ind w:left="104"/>
              <w:jc w:val="left"/>
              <w:rPr>
                <w:rFonts w:eastAsia="Calibri" w:cs="Arial"/>
                <w:color w:val="auto"/>
                <w:szCs w:val="20"/>
                <w:lang w:eastAsia="en-US"/>
              </w:rPr>
            </w:pPr>
            <w:r w:rsidRPr="00866D96">
              <w:rPr>
                <w:rFonts w:eastAsiaTheme="minorHAnsi" w:cs="Arial"/>
                <w:color w:val="auto"/>
                <w:spacing w:val="-1"/>
                <w:szCs w:val="20"/>
                <w:lang w:eastAsia="en-US"/>
              </w:rPr>
              <w:t>Household</w:t>
            </w:r>
          </w:p>
        </w:tc>
        <w:tc>
          <w:tcPr>
            <w:cnfStyle w:val="000010000000" w:firstRow="0" w:lastRow="0" w:firstColumn="0" w:lastColumn="0" w:oddVBand="1" w:evenVBand="0" w:oddHBand="0" w:evenHBand="0" w:firstRowFirstColumn="0" w:firstRowLastColumn="0" w:lastRowFirstColumn="0" w:lastRowLastColumn="0"/>
            <w:tcW w:w="1248" w:type="dxa"/>
          </w:tcPr>
          <w:p w14:paraId="6A32C5BC" w14:textId="77777777" w:rsidR="008274F2" w:rsidRPr="00866D96" w:rsidRDefault="008274F2" w:rsidP="00866D96">
            <w:pPr>
              <w:widowControl w:val="0"/>
              <w:spacing w:before="1" w:after="0" w:line="292" w:lineRule="exact"/>
              <w:ind w:left="6"/>
              <w:jc w:val="center"/>
              <w:rPr>
                <w:rFonts w:eastAsia="Calibri" w:cs="Arial"/>
                <w:color w:val="auto"/>
                <w:szCs w:val="20"/>
                <w:lang w:eastAsia="en-US"/>
              </w:rPr>
            </w:pPr>
            <w:r w:rsidRPr="00866D96">
              <w:rPr>
                <w:rFonts w:eastAsiaTheme="minorHAnsi" w:cs="Arial"/>
                <w:color w:val="auto"/>
                <w:szCs w:val="20"/>
                <w:lang w:eastAsia="en-US"/>
              </w:rPr>
              <w:t>127,574</w:t>
            </w:r>
          </w:p>
        </w:tc>
        <w:tc>
          <w:tcPr>
            <w:tcW w:w="1701" w:type="dxa"/>
          </w:tcPr>
          <w:p w14:paraId="38D8BE53" w14:textId="77777777" w:rsidR="008274F2" w:rsidRPr="00866D96" w:rsidRDefault="008274F2" w:rsidP="00866D96">
            <w:pPr>
              <w:widowControl w:val="0"/>
              <w:spacing w:before="1" w:after="0" w:line="292" w:lineRule="exact"/>
              <w:ind w:lef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672</w:t>
            </w:r>
          </w:p>
        </w:tc>
        <w:tc>
          <w:tcPr>
            <w:cnfStyle w:val="000010000000" w:firstRow="0" w:lastRow="0" w:firstColumn="0" w:lastColumn="0" w:oddVBand="1" w:evenVBand="0" w:oddHBand="0" w:evenHBand="0" w:firstRowFirstColumn="0" w:firstRowLastColumn="0" w:lastRowFirstColumn="0" w:lastRowLastColumn="0"/>
            <w:tcW w:w="1275" w:type="dxa"/>
          </w:tcPr>
          <w:p w14:paraId="6E0A47BF" w14:textId="77777777" w:rsidR="008274F2" w:rsidRPr="00866D96" w:rsidRDefault="008274F2" w:rsidP="00866D96">
            <w:pPr>
              <w:widowControl w:val="0"/>
              <w:spacing w:before="1" w:after="0" w:line="292" w:lineRule="exact"/>
              <w:ind w:left="33"/>
              <w:jc w:val="center"/>
              <w:rPr>
                <w:rFonts w:eastAsia="Calibri" w:cs="Arial"/>
                <w:color w:val="auto"/>
                <w:szCs w:val="20"/>
                <w:lang w:eastAsia="en-US"/>
              </w:rPr>
            </w:pPr>
            <w:r w:rsidRPr="00866D96">
              <w:rPr>
                <w:rFonts w:eastAsiaTheme="minorHAnsi" w:cs="Arial"/>
                <w:color w:val="auto"/>
                <w:szCs w:val="20"/>
                <w:lang w:eastAsia="en-US"/>
              </w:rPr>
              <w:t>1,798</w:t>
            </w:r>
          </w:p>
        </w:tc>
        <w:tc>
          <w:tcPr>
            <w:tcW w:w="1134" w:type="dxa"/>
          </w:tcPr>
          <w:p w14:paraId="1B6F632C" w14:textId="77777777" w:rsidR="008274F2" w:rsidRPr="00866D96" w:rsidRDefault="008274F2" w:rsidP="00866D96">
            <w:pPr>
              <w:widowControl w:val="0"/>
              <w:spacing w:before="1" w:after="0" w:line="292" w:lineRule="exact"/>
              <w:ind w:righ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w w:val="95"/>
                <w:szCs w:val="20"/>
                <w:lang w:eastAsia="en-US"/>
              </w:rPr>
              <w:t>5</w:t>
            </w:r>
          </w:p>
        </w:tc>
        <w:tc>
          <w:tcPr>
            <w:cnfStyle w:val="000010000000" w:firstRow="0" w:lastRow="0" w:firstColumn="0" w:lastColumn="0" w:oddVBand="1" w:evenVBand="0" w:oddHBand="0" w:evenHBand="0" w:firstRowFirstColumn="0" w:firstRowLastColumn="0" w:lastRowFirstColumn="0" w:lastRowLastColumn="0"/>
            <w:tcW w:w="1006" w:type="dxa"/>
          </w:tcPr>
          <w:p w14:paraId="1B3C6155" w14:textId="77777777" w:rsidR="008274F2" w:rsidRPr="00866D96" w:rsidRDefault="008274F2" w:rsidP="00866D96">
            <w:pPr>
              <w:widowControl w:val="0"/>
              <w:spacing w:before="1" w:after="0" w:line="292" w:lineRule="exact"/>
              <w:jc w:val="center"/>
              <w:rPr>
                <w:rFonts w:eastAsia="Calibri" w:cs="Arial"/>
                <w:color w:val="auto"/>
                <w:szCs w:val="20"/>
                <w:lang w:eastAsia="en-US"/>
              </w:rPr>
            </w:pPr>
            <w:r w:rsidRPr="00866D96">
              <w:rPr>
                <w:rFonts w:eastAsiaTheme="minorHAnsi" w:cs="Arial"/>
                <w:color w:val="auto"/>
                <w:szCs w:val="20"/>
                <w:lang w:eastAsia="en-US"/>
              </w:rPr>
              <w:t>130,049</w:t>
            </w:r>
          </w:p>
        </w:tc>
        <w:tc>
          <w:tcPr>
            <w:cnfStyle w:val="000100000000" w:firstRow="0" w:lastRow="0" w:firstColumn="0" w:lastColumn="1" w:oddVBand="0" w:evenVBand="0" w:oddHBand="0" w:evenHBand="0" w:firstRowFirstColumn="0" w:firstRowLastColumn="0" w:lastRowFirstColumn="0" w:lastRowLastColumn="0"/>
            <w:tcW w:w="1262" w:type="dxa"/>
          </w:tcPr>
          <w:p w14:paraId="766EC541" w14:textId="77777777" w:rsidR="008274F2" w:rsidRPr="00866D96" w:rsidRDefault="008274F2" w:rsidP="00866D96">
            <w:pPr>
              <w:widowControl w:val="0"/>
              <w:spacing w:before="1" w:after="0" w:line="292" w:lineRule="exact"/>
              <w:jc w:val="center"/>
              <w:rPr>
                <w:rFonts w:eastAsia="Calibri" w:cs="Arial"/>
                <w:color w:val="auto"/>
                <w:szCs w:val="20"/>
                <w:lang w:eastAsia="en-US"/>
              </w:rPr>
            </w:pPr>
            <w:r w:rsidRPr="00866D96">
              <w:rPr>
                <w:rFonts w:eastAsiaTheme="minorHAnsi" w:cs="Arial"/>
                <w:color w:val="auto"/>
                <w:szCs w:val="20"/>
                <w:lang w:eastAsia="en-US"/>
              </w:rPr>
              <w:t>83.2</w:t>
            </w:r>
            <w:r w:rsidR="000D2D33">
              <w:rPr>
                <w:rFonts w:eastAsiaTheme="minorHAnsi" w:cs="Arial"/>
                <w:color w:val="auto"/>
                <w:szCs w:val="20"/>
                <w:lang w:eastAsia="en-US"/>
              </w:rPr>
              <w:t>%</w:t>
            </w:r>
          </w:p>
        </w:tc>
      </w:tr>
      <w:tr w:rsidR="008274F2" w:rsidRPr="006122EE" w14:paraId="5B79E494" w14:textId="77777777" w:rsidTr="00866D96">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tcPr>
          <w:p w14:paraId="1059CB86" w14:textId="77777777" w:rsidR="008274F2" w:rsidRPr="00866D96" w:rsidRDefault="008274F2" w:rsidP="008274F2">
            <w:pPr>
              <w:widowControl w:val="0"/>
              <w:spacing w:before="0" w:after="0" w:line="291" w:lineRule="exact"/>
              <w:ind w:left="104"/>
              <w:jc w:val="left"/>
              <w:rPr>
                <w:rFonts w:eastAsia="Calibri" w:cs="Arial"/>
                <w:color w:val="auto"/>
                <w:szCs w:val="20"/>
                <w:lang w:eastAsia="en-US"/>
              </w:rPr>
            </w:pPr>
            <w:r w:rsidRPr="00866D96">
              <w:rPr>
                <w:rFonts w:eastAsiaTheme="minorHAnsi" w:cs="Arial"/>
                <w:color w:val="auto"/>
                <w:spacing w:val="-1"/>
                <w:szCs w:val="20"/>
                <w:lang w:eastAsia="en-US"/>
              </w:rPr>
              <w:t>Industry</w:t>
            </w:r>
          </w:p>
        </w:tc>
        <w:tc>
          <w:tcPr>
            <w:cnfStyle w:val="000010000000" w:firstRow="0" w:lastRow="0" w:firstColumn="0" w:lastColumn="0" w:oddVBand="1" w:evenVBand="0" w:oddHBand="0" w:evenHBand="0" w:firstRowFirstColumn="0" w:firstRowLastColumn="0" w:lastRowFirstColumn="0" w:lastRowLastColumn="0"/>
            <w:tcW w:w="1248" w:type="dxa"/>
          </w:tcPr>
          <w:p w14:paraId="5FE186EE" w14:textId="77777777" w:rsidR="008274F2" w:rsidRPr="00866D96" w:rsidRDefault="008274F2" w:rsidP="00866D96">
            <w:pPr>
              <w:widowControl w:val="0"/>
              <w:spacing w:before="0" w:after="0" w:line="291" w:lineRule="exact"/>
              <w:ind w:left="6"/>
              <w:jc w:val="center"/>
              <w:rPr>
                <w:rFonts w:eastAsia="Calibri" w:cs="Arial"/>
                <w:color w:val="auto"/>
                <w:szCs w:val="20"/>
                <w:lang w:eastAsia="en-US"/>
              </w:rPr>
            </w:pPr>
            <w:r w:rsidRPr="00866D96">
              <w:rPr>
                <w:rFonts w:eastAsiaTheme="minorHAnsi" w:cs="Arial"/>
                <w:color w:val="auto"/>
                <w:szCs w:val="20"/>
                <w:lang w:eastAsia="en-US"/>
              </w:rPr>
              <w:t>10,004</w:t>
            </w:r>
          </w:p>
        </w:tc>
        <w:tc>
          <w:tcPr>
            <w:tcW w:w="1701" w:type="dxa"/>
          </w:tcPr>
          <w:p w14:paraId="6A023B97" w14:textId="77777777" w:rsidR="008274F2" w:rsidRPr="00866D96" w:rsidRDefault="008274F2" w:rsidP="00866D96">
            <w:pPr>
              <w:widowControl w:val="0"/>
              <w:spacing w:before="0" w:after="0" w:line="291" w:lineRule="exact"/>
              <w:ind w:left="33"/>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3</w:t>
            </w:r>
            <w:r w:rsidR="000D2D33">
              <w:rPr>
                <w:rFonts w:eastAsiaTheme="minorHAnsi" w:cs="Arial"/>
                <w:color w:val="auto"/>
                <w:szCs w:val="20"/>
                <w:lang w:eastAsia="en-US"/>
              </w:rPr>
              <w:t>,</w:t>
            </w:r>
            <w:r w:rsidRPr="00866D96">
              <w:rPr>
                <w:rFonts w:eastAsiaTheme="minorHAnsi" w:cs="Arial"/>
                <w:color w:val="auto"/>
                <w:szCs w:val="20"/>
                <w:lang w:eastAsia="en-US"/>
              </w:rPr>
              <w:t>130</w:t>
            </w:r>
          </w:p>
        </w:tc>
        <w:tc>
          <w:tcPr>
            <w:cnfStyle w:val="000010000000" w:firstRow="0" w:lastRow="0" w:firstColumn="0" w:lastColumn="0" w:oddVBand="1" w:evenVBand="0" w:oddHBand="0" w:evenHBand="0" w:firstRowFirstColumn="0" w:firstRowLastColumn="0" w:lastRowFirstColumn="0" w:lastRowLastColumn="0"/>
            <w:tcW w:w="1275" w:type="dxa"/>
          </w:tcPr>
          <w:p w14:paraId="72B4F59B" w14:textId="77777777" w:rsidR="008274F2" w:rsidRPr="00866D96" w:rsidRDefault="008274F2" w:rsidP="00866D96">
            <w:pPr>
              <w:widowControl w:val="0"/>
              <w:spacing w:before="0" w:after="0" w:line="291" w:lineRule="exact"/>
              <w:ind w:left="33"/>
              <w:jc w:val="center"/>
              <w:rPr>
                <w:rFonts w:eastAsia="Calibri" w:cs="Arial"/>
                <w:color w:val="auto"/>
                <w:szCs w:val="20"/>
                <w:lang w:eastAsia="en-US"/>
              </w:rPr>
            </w:pPr>
            <w:r w:rsidRPr="00866D96">
              <w:rPr>
                <w:rFonts w:eastAsiaTheme="minorHAnsi" w:cs="Arial"/>
                <w:color w:val="auto"/>
                <w:szCs w:val="20"/>
                <w:lang w:eastAsia="en-US"/>
              </w:rPr>
              <w:t>2</w:t>
            </w:r>
            <w:r w:rsidR="000D2D33">
              <w:rPr>
                <w:rFonts w:eastAsiaTheme="minorHAnsi" w:cs="Arial"/>
                <w:color w:val="auto"/>
                <w:szCs w:val="20"/>
                <w:lang w:eastAsia="en-US"/>
              </w:rPr>
              <w:t>,</w:t>
            </w:r>
            <w:r w:rsidRPr="00866D96">
              <w:rPr>
                <w:rFonts w:eastAsiaTheme="minorHAnsi" w:cs="Arial"/>
                <w:color w:val="auto"/>
                <w:szCs w:val="20"/>
                <w:lang w:eastAsia="en-US"/>
              </w:rPr>
              <w:t>010</w:t>
            </w:r>
          </w:p>
        </w:tc>
        <w:tc>
          <w:tcPr>
            <w:tcW w:w="1134" w:type="dxa"/>
          </w:tcPr>
          <w:p w14:paraId="233F2EC6" w14:textId="77777777" w:rsidR="008274F2" w:rsidRPr="00866D96" w:rsidRDefault="008274F2" w:rsidP="00866D96">
            <w:pPr>
              <w:widowControl w:val="0"/>
              <w:spacing w:before="0" w:after="0" w:line="291" w:lineRule="exact"/>
              <w:ind w:right="33"/>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3</w:t>
            </w:r>
            <w:r w:rsidR="000D2D33">
              <w:rPr>
                <w:rFonts w:eastAsiaTheme="minorHAnsi" w:cs="Arial"/>
                <w:color w:val="auto"/>
                <w:szCs w:val="20"/>
                <w:lang w:eastAsia="en-US"/>
              </w:rPr>
              <w:t>,</w:t>
            </w:r>
            <w:r w:rsidRPr="00866D96">
              <w:rPr>
                <w:rFonts w:eastAsiaTheme="minorHAnsi" w:cs="Arial"/>
                <w:color w:val="auto"/>
                <w:szCs w:val="20"/>
                <w:lang w:eastAsia="en-US"/>
              </w:rPr>
              <w:t>481</w:t>
            </w:r>
          </w:p>
        </w:tc>
        <w:tc>
          <w:tcPr>
            <w:cnfStyle w:val="000010000000" w:firstRow="0" w:lastRow="0" w:firstColumn="0" w:lastColumn="0" w:oddVBand="1" w:evenVBand="0" w:oddHBand="0" w:evenHBand="0" w:firstRowFirstColumn="0" w:firstRowLastColumn="0" w:lastRowFirstColumn="0" w:lastRowLastColumn="0"/>
            <w:tcW w:w="1006" w:type="dxa"/>
          </w:tcPr>
          <w:p w14:paraId="49F23852"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18,625</w:t>
            </w:r>
          </w:p>
        </w:tc>
        <w:tc>
          <w:tcPr>
            <w:cnfStyle w:val="000100000000" w:firstRow="0" w:lastRow="0" w:firstColumn="0" w:lastColumn="1" w:oddVBand="0" w:evenVBand="0" w:oddHBand="0" w:evenHBand="0" w:firstRowFirstColumn="0" w:firstRowLastColumn="0" w:lastRowFirstColumn="0" w:lastRowLastColumn="0"/>
            <w:tcW w:w="1262" w:type="dxa"/>
          </w:tcPr>
          <w:p w14:paraId="6C678C2F"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11.9</w:t>
            </w:r>
            <w:r w:rsidR="000D2D33">
              <w:rPr>
                <w:rFonts w:eastAsiaTheme="minorHAnsi" w:cs="Arial"/>
                <w:color w:val="auto"/>
                <w:szCs w:val="20"/>
                <w:lang w:eastAsia="en-US"/>
              </w:rPr>
              <w:t>%</w:t>
            </w:r>
          </w:p>
        </w:tc>
      </w:tr>
      <w:tr w:rsidR="008274F2" w:rsidRPr="006122EE" w14:paraId="40540D8E" w14:textId="77777777" w:rsidTr="00866D96">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tcPr>
          <w:p w14:paraId="6E42E531" w14:textId="77777777" w:rsidR="008274F2" w:rsidRPr="00866D96" w:rsidRDefault="008274F2" w:rsidP="008274F2">
            <w:pPr>
              <w:widowControl w:val="0"/>
              <w:spacing w:before="0" w:after="0" w:line="291" w:lineRule="exact"/>
              <w:ind w:left="104"/>
              <w:jc w:val="left"/>
              <w:rPr>
                <w:rFonts w:eastAsia="Calibri" w:cs="Arial"/>
                <w:color w:val="auto"/>
                <w:szCs w:val="20"/>
                <w:lang w:eastAsia="en-US"/>
              </w:rPr>
            </w:pPr>
            <w:r w:rsidRPr="00866D96">
              <w:rPr>
                <w:rFonts w:eastAsiaTheme="minorHAnsi" w:cs="Arial"/>
                <w:color w:val="auto"/>
                <w:spacing w:val="-1"/>
                <w:szCs w:val="20"/>
                <w:lang w:eastAsia="en-US"/>
              </w:rPr>
              <w:t>Transport</w:t>
            </w:r>
          </w:p>
        </w:tc>
        <w:tc>
          <w:tcPr>
            <w:cnfStyle w:val="000010000000" w:firstRow="0" w:lastRow="0" w:firstColumn="0" w:lastColumn="0" w:oddVBand="1" w:evenVBand="0" w:oddHBand="0" w:evenHBand="0" w:firstRowFirstColumn="0" w:firstRowLastColumn="0" w:lastRowFirstColumn="0" w:lastRowLastColumn="0"/>
            <w:tcW w:w="1248" w:type="dxa"/>
          </w:tcPr>
          <w:p w14:paraId="175F8A6E" w14:textId="77777777" w:rsidR="008274F2" w:rsidRPr="00866D96" w:rsidRDefault="008274F2" w:rsidP="00866D96">
            <w:pPr>
              <w:widowControl w:val="0"/>
              <w:spacing w:before="0" w:after="0" w:line="291" w:lineRule="exact"/>
              <w:ind w:left="6"/>
              <w:jc w:val="center"/>
              <w:rPr>
                <w:rFonts w:eastAsia="Calibri" w:cs="Arial"/>
                <w:color w:val="auto"/>
                <w:szCs w:val="20"/>
                <w:lang w:eastAsia="en-US"/>
              </w:rPr>
            </w:pPr>
            <w:r w:rsidRPr="00866D96">
              <w:rPr>
                <w:rFonts w:eastAsiaTheme="minorHAnsi" w:cs="Arial"/>
                <w:color w:val="auto"/>
                <w:szCs w:val="20"/>
                <w:lang w:eastAsia="en-US"/>
              </w:rPr>
              <w:t>270</w:t>
            </w:r>
          </w:p>
        </w:tc>
        <w:tc>
          <w:tcPr>
            <w:tcW w:w="1701" w:type="dxa"/>
          </w:tcPr>
          <w:p w14:paraId="474E5ABA" w14:textId="77777777" w:rsidR="008274F2" w:rsidRPr="00866D96" w:rsidRDefault="008274F2" w:rsidP="00866D96">
            <w:pPr>
              <w:widowControl w:val="0"/>
              <w:spacing w:before="0" w:after="0" w:line="291" w:lineRule="exact"/>
              <w:ind w:lef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5</w:t>
            </w:r>
            <w:r w:rsidR="000D2D33">
              <w:rPr>
                <w:rFonts w:eastAsiaTheme="minorHAnsi" w:cs="Arial"/>
                <w:color w:val="auto"/>
                <w:szCs w:val="20"/>
                <w:lang w:eastAsia="en-US"/>
              </w:rPr>
              <w:t>,</w:t>
            </w:r>
            <w:r w:rsidRPr="00866D96">
              <w:rPr>
                <w:rFonts w:eastAsiaTheme="minorHAnsi" w:cs="Arial"/>
                <w:color w:val="auto"/>
                <w:szCs w:val="20"/>
                <w:lang w:eastAsia="en-US"/>
              </w:rPr>
              <w:t>640</w:t>
            </w:r>
          </w:p>
        </w:tc>
        <w:tc>
          <w:tcPr>
            <w:cnfStyle w:val="000010000000" w:firstRow="0" w:lastRow="0" w:firstColumn="0" w:lastColumn="0" w:oddVBand="1" w:evenVBand="0" w:oddHBand="0" w:evenHBand="0" w:firstRowFirstColumn="0" w:firstRowLastColumn="0" w:lastRowFirstColumn="0" w:lastRowLastColumn="0"/>
            <w:tcW w:w="1275" w:type="dxa"/>
          </w:tcPr>
          <w:p w14:paraId="23FB7753" w14:textId="77777777" w:rsidR="008274F2" w:rsidRPr="00866D96" w:rsidRDefault="008274F2" w:rsidP="00866D96">
            <w:pPr>
              <w:widowControl w:val="0"/>
              <w:spacing w:before="0" w:after="0" w:line="291" w:lineRule="exact"/>
              <w:ind w:left="33" w:right="97"/>
              <w:jc w:val="center"/>
              <w:rPr>
                <w:rFonts w:eastAsia="Calibri" w:cs="Arial"/>
                <w:color w:val="auto"/>
                <w:szCs w:val="20"/>
                <w:lang w:eastAsia="en-US"/>
              </w:rPr>
            </w:pPr>
            <w:r w:rsidRPr="00866D96">
              <w:rPr>
                <w:rFonts w:eastAsiaTheme="minorHAnsi" w:cs="Arial"/>
                <w:color w:val="auto"/>
                <w:w w:val="95"/>
                <w:szCs w:val="20"/>
                <w:lang w:eastAsia="en-US"/>
              </w:rPr>
              <w:t>35</w:t>
            </w:r>
          </w:p>
        </w:tc>
        <w:tc>
          <w:tcPr>
            <w:tcW w:w="1134" w:type="dxa"/>
          </w:tcPr>
          <w:p w14:paraId="011D7842" w14:textId="77777777" w:rsidR="008274F2" w:rsidRPr="00866D96" w:rsidRDefault="008274F2" w:rsidP="00866D96">
            <w:pPr>
              <w:widowControl w:val="0"/>
              <w:spacing w:before="0" w:after="0" w:line="291" w:lineRule="exact"/>
              <w:ind w:righ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15</w:t>
            </w:r>
          </w:p>
        </w:tc>
        <w:tc>
          <w:tcPr>
            <w:cnfStyle w:val="000010000000" w:firstRow="0" w:lastRow="0" w:firstColumn="0" w:lastColumn="0" w:oddVBand="1" w:evenVBand="0" w:oddHBand="0" w:evenHBand="0" w:firstRowFirstColumn="0" w:firstRowLastColumn="0" w:lastRowFirstColumn="0" w:lastRowLastColumn="0"/>
            <w:tcW w:w="1006" w:type="dxa"/>
          </w:tcPr>
          <w:p w14:paraId="629B2BEE"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5,960</w:t>
            </w:r>
          </w:p>
        </w:tc>
        <w:tc>
          <w:tcPr>
            <w:cnfStyle w:val="000100000000" w:firstRow="0" w:lastRow="0" w:firstColumn="0" w:lastColumn="1" w:oddVBand="0" w:evenVBand="0" w:oddHBand="0" w:evenHBand="0" w:firstRowFirstColumn="0" w:firstRowLastColumn="0" w:lastRowFirstColumn="0" w:lastRowLastColumn="0"/>
            <w:tcW w:w="1262" w:type="dxa"/>
          </w:tcPr>
          <w:p w14:paraId="75F12CE4"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3.8</w:t>
            </w:r>
            <w:r w:rsidR="000D2D33">
              <w:rPr>
                <w:rFonts w:eastAsiaTheme="minorHAnsi" w:cs="Arial"/>
                <w:color w:val="auto"/>
                <w:szCs w:val="20"/>
                <w:lang w:eastAsia="en-US"/>
              </w:rPr>
              <w:t>%</w:t>
            </w:r>
          </w:p>
        </w:tc>
      </w:tr>
      <w:tr w:rsidR="008274F2" w:rsidRPr="006122EE" w14:paraId="74C1C756" w14:textId="77777777" w:rsidTr="00866D96">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tcPr>
          <w:p w14:paraId="7398DB9F" w14:textId="77777777" w:rsidR="008274F2" w:rsidRPr="00866D96" w:rsidRDefault="008274F2" w:rsidP="008274F2">
            <w:pPr>
              <w:widowControl w:val="0"/>
              <w:spacing w:before="0" w:after="0" w:line="291" w:lineRule="exact"/>
              <w:ind w:left="104"/>
              <w:jc w:val="left"/>
              <w:rPr>
                <w:rFonts w:eastAsia="Calibri" w:cs="Arial"/>
                <w:color w:val="auto"/>
                <w:szCs w:val="20"/>
                <w:lang w:eastAsia="en-US"/>
              </w:rPr>
            </w:pPr>
            <w:r w:rsidRPr="00866D96">
              <w:rPr>
                <w:rFonts w:eastAsiaTheme="minorHAnsi" w:cs="Arial"/>
                <w:color w:val="auto"/>
                <w:spacing w:val="-1"/>
                <w:szCs w:val="20"/>
                <w:lang w:eastAsia="en-US"/>
              </w:rPr>
              <w:t>Service</w:t>
            </w:r>
          </w:p>
        </w:tc>
        <w:tc>
          <w:tcPr>
            <w:cnfStyle w:val="000010000000" w:firstRow="0" w:lastRow="0" w:firstColumn="0" w:lastColumn="0" w:oddVBand="1" w:evenVBand="0" w:oddHBand="0" w:evenHBand="0" w:firstRowFirstColumn="0" w:firstRowLastColumn="0" w:lastRowFirstColumn="0" w:lastRowLastColumn="0"/>
            <w:tcW w:w="1248" w:type="dxa"/>
          </w:tcPr>
          <w:p w14:paraId="4A2E5733" w14:textId="77777777" w:rsidR="008274F2" w:rsidRPr="00866D96" w:rsidRDefault="008274F2" w:rsidP="00866D96">
            <w:pPr>
              <w:widowControl w:val="0"/>
              <w:spacing w:before="0" w:after="0" w:line="291" w:lineRule="exact"/>
              <w:ind w:left="6"/>
              <w:jc w:val="center"/>
              <w:rPr>
                <w:rFonts w:eastAsia="Calibri" w:cs="Arial"/>
                <w:color w:val="auto"/>
                <w:szCs w:val="20"/>
                <w:lang w:eastAsia="en-US"/>
              </w:rPr>
            </w:pPr>
            <w:r w:rsidRPr="00866D96">
              <w:rPr>
                <w:rFonts w:eastAsiaTheme="minorHAnsi" w:cs="Arial"/>
                <w:color w:val="auto"/>
                <w:szCs w:val="20"/>
                <w:lang w:eastAsia="en-US"/>
              </w:rPr>
              <w:t>452</w:t>
            </w:r>
          </w:p>
        </w:tc>
        <w:tc>
          <w:tcPr>
            <w:tcW w:w="1701" w:type="dxa"/>
          </w:tcPr>
          <w:p w14:paraId="6ED423DB" w14:textId="77777777" w:rsidR="008274F2" w:rsidRPr="00866D96" w:rsidRDefault="008274F2" w:rsidP="00866D96">
            <w:pPr>
              <w:widowControl w:val="0"/>
              <w:spacing w:before="0" w:after="0" w:line="291" w:lineRule="exact"/>
              <w:ind w:left="33"/>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558</w:t>
            </w:r>
          </w:p>
        </w:tc>
        <w:tc>
          <w:tcPr>
            <w:cnfStyle w:val="000010000000" w:firstRow="0" w:lastRow="0" w:firstColumn="0" w:lastColumn="0" w:oddVBand="1" w:evenVBand="0" w:oddHBand="0" w:evenHBand="0" w:firstRowFirstColumn="0" w:firstRowLastColumn="0" w:lastRowFirstColumn="0" w:lastRowLastColumn="0"/>
            <w:tcW w:w="1275" w:type="dxa"/>
          </w:tcPr>
          <w:p w14:paraId="5B706AB7" w14:textId="77777777" w:rsidR="008274F2" w:rsidRPr="00866D96" w:rsidRDefault="008274F2" w:rsidP="00866D96">
            <w:pPr>
              <w:widowControl w:val="0"/>
              <w:spacing w:before="0" w:after="0" w:line="291" w:lineRule="exact"/>
              <w:ind w:left="33"/>
              <w:jc w:val="center"/>
              <w:rPr>
                <w:rFonts w:eastAsia="Calibri" w:cs="Arial"/>
                <w:color w:val="auto"/>
                <w:szCs w:val="20"/>
                <w:lang w:eastAsia="en-US"/>
              </w:rPr>
            </w:pPr>
            <w:r w:rsidRPr="00866D96">
              <w:rPr>
                <w:rFonts w:eastAsiaTheme="minorHAnsi" w:cs="Arial"/>
                <w:color w:val="auto"/>
                <w:szCs w:val="20"/>
                <w:lang w:eastAsia="en-US"/>
              </w:rPr>
              <w:t>477</w:t>
            </w:r>
          </w:p>
        </w:tc>
        <w:tc>
          <w:tcPr>
            <w:tcW w:w="1134" w:type="dxa"/>
          </w:tcPr>
          <w:p w14:paraId="02BAC686" w14:textId="77777777" w:rsidR="008274F2" w:rsidRPr="00866D96" w:rsidRDefault="008274F2" w:rsidP="00866D96">
            <w:pPr>
              <w:widowControl w:val="0"/>
              <w:spacing w:before="0" w:after="0" w:line="291" w:lineRule="exact"/>
              <w:ind w:right="33"/>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174</w:t>
            </w:r>
          </w:p>
        </w:tc>
        <w:tc>
          <w:tcPr>
            <w:cnfStyle w:val="000010000000" w:firstRow="0" w:lastRow="0" w:firstColumn="0" w:lastColumn="0" w:oddVBand="1" w:evenVBand="0" w:oddHBand="0" w:evenHBand="0" w:firstRowFirstColumn="0" w:firstRowLastColumn="0" w:lastRowFirstColumn="0" w:lastRowLastColumn="0"/>
            <w:tcW w:w="1006" w:type="dxa"/>
          </w:tcPr>
          <w:p w14:paraId="525EC690"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1,661</w:t>
            </w:r>
          </w:p>
        </w:tc>
        <w:tc>
          <w:tcPr>
            <w:cnfStyle w:val="000100000000" w:firstRow="0" w:lastRow="0" w:firstColumn="0" w:lastColumn="1" w:oddVBand="0" w:evenVBand="0" w:oddHBand="0" w:evenHBand="0" w:firstRowFirstColumn="0" w:firstRowLastColumn="0" w:lastRowFirstColumn="0" w:lastRowLastColumn="0"/>
            <w:tcW w:w="1262" w:type="dxa"/>
          </w:tcPr>
          <w:p w14:paraId="18F471E3"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1.1</w:t>
            </w:r>
            <w:r w:rsidR="000D2D33">
              <w:rPr>
                <w:rFonts w:eastAsiaTheme="minorHAnsi" w:cs="Arial"/>
                <w:color w:val="auto"/>
                <w:szCs w:val="20"/>
                <w:lang w:eastAsia="en-US"/>
              </w:rPr>
              <w:t>%</w:t>
            </w:r>
          </w:p>
        </w:tc>
      </w:tr>
      <w:tr w:rsidR="008274F2" w:rsidRPr="006122EE" w14:paraId="0FE3E092" w14:textId="77777777" w:rsidTr="00866D96">
        <w:trPr>
          <w:trHeight w:hRule="exact" w:val="305"/>
          <w:jc w:val="center"/>
        </w:trPr>
        <w:tc>
          <w:tcPr>
            <w:cnfStyle w:val="001000000000" w:firstRow="0" w:lastRow="0" w:firstColumn="1" w:lastColumn="0" w:oddVBand="0" w:evenVBand="0" w:oddHBand="0" w:evenHBand="0" w:firstRowFirstColumn="0" w:firstRowLastColumn="0" w:lastRowFirstColumn="0" w:lastRowLastColumn="0"/>
            <w:tcW w:w="1441" w:type="dxa"/>
          </w:tcPr>
          <w:p w14:paraId="49091F15" w14:textId="77777777" w:rsidR="008274F2" w:rsidRPr="00866D96" w:rsidRDefault="008274F2" w:rsidP="008274F2">
            <w:pPr>
              <w:widowControl w:val="0"/>
              <w:spacing w:before="0" w:after="0" w:line="291" w:lineRule="exact"/>
              <w:ind w:left="104"/>
              <w:jc w:val="left"/>
              <w:rPr>
                <w:rFonts w:eastAsia="Calibri" w:cs="Arial"/>
                <w:color w:val="auto"/>
                <w:szCs w:val="20"/>
                <w:lang w:eastAsia="en-US"/>
              </w:rPr>
            </w:pPr>
            <w:r w:rsidRPr="00866D96">
              <w:rPr>
                <w:rFonts w:eastAsiaTheme="minorHAnsi" w:cs="Arial"/>
                <w:color w:val="auto"/>
                <w:szCs w:val="20"/>
                <w:lang w:eastAsia="en-US"/>
              </w:rPr>
              <w:t>Totals</w:t>
            </w:r>
          </w:p>
        </w:tc>
        <w:tc>
          <w:tcPr>
            <w:cnfStyle w:val="000010000000" w:firstRow="0" w:lastRow="0" w:firstColumn="0" w:lastColumn="0" w:oddVBand="1" w:evenVBand="0" w:oddHBand="0" w:evenHBand="0" w:firstRowFirstColumn="0" w:firstRowLastColumn="0" w:lastRowFirstColumn="0" w:lastRowLastColumn="0"/>
            <w:tcW w:w="1248" w:type="dxa"/>
          </w:tcPr>
          <w:p w14:paraId="7DFA57BE" w14:textId="77777777" w:rsidR="008274F2" w:rsidRPr="00866D96" w:rsidRDefault="008274F2" w:rsidP="00866D96">
            <w:pPr>
              <w:widowControl w:val="0"/>
              <w:spacing w:before="0" w:after="0" w:line="291" w:lineRule="exact"/>
              <w:ind w:left="6"/>
              <w:jc w:val="center"/>
              <w:rPr>
                <w:rFonts w:eastAsia="Calibri" w:cs="Arial"/>
                <w:color w:val="auto"/>
                <w:szCs w:val="20"/>
                <w:lang w:eastAsia="en-US"/>
              </w:rPr>
            </w:pPr>
            <w:r w:rsidRPr="00866D96">
              <w:rPr>
                <w:rFonts w:eastAsiaTheme="minorHAnsi" w:cs="Arial"/>
                <w:color w:val="auto"/>
                <w:szCs w:val="20"/>
                <w:lang w:eastAsia="en-US"/>
              </w:rPr>
              <w:t>138,300</w:t>
            </w:r>
          </w:p>
        </w:tc>
        <w:tc>
          <w:tcPr>
            <w:tcW w:w="1701" w:type="dxa"/>
          </w:tcPr>
          <w:p w14:paraId="0805228A" w14:textId="77777777" w:rsidR="008274F2" w:rsidRPr="00866D96" w:rsidRDefault="008274F2" w:rsidP="00866D96">
            <w:pPr>
              <w:widowControl w:val="0"/>
              <w:spacing w:before="0" w:after="0" w:line="291" w:lineRule="exact"/>
              <w:ind w:lef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10,000</w:t>
            </w:r>
          </w:p>
        </w:tc>
        <w:tc>
          <w:tcPr>
            <w:cnfStyle w:val="000010000000" w:firstRow="0" w:lastRow="0" w:firstColumn="0" w:lastColumn="0" w:oddVBand="1" w:evenVBand="0" w:oddHBand="0" w:evenHBand="0" w:firstRowFirstColumn="0" w:firstRowLastColumn="0" w:lastRowFirstColumn="0" w:lastRowLastColumn="0"/>
            <w:tcW w:w="1275" w:type="dxa"/>
          </w:tcPr>
          <w:p w14:paraId="480ACE31" w14:textId="77777777" w:rsidR="008274F2" w:rsidRPr="00866D96" w:rsidRDefault="008274F2" w:rsidP="00866D96">
            <w:pPr>
              <w:widowControl w:val="0"/>
              <w:spacing w:before="0" w:after="0" w:line="291" w:lineRule="exact"/>
              <w:ind w:left="33"/>
              <w:jc w:val="center"/>
              <w:rPr>
                <w:rFonts w:eastAsia="Calibri" w:cs="Arial"/>
                <w:color w:val="auto"/>
                <w:szCs w:val="20"/>
                <w:lang w:eastAsia="en-US"/>
              </w:rPr>
            </w:pPr>
            <w:r w:rsidRPr="00866D96">
              <w:rPr>
                <w:rFonts w:eastAsiaTheme="minorHAnsi" w:cs="Arial"/>
                <w:color w:val="auto"/>
                <w:szCs w:val="20"/>
                <w:lang w:eastAsia="en-US"/>
              </w:rPr>
              <w:t>4</w:t>
            </w:r>
            <w:r w:rsidR="000D2D33">
              <w:rPr>
                <w:rFonts w:eastAsiaTheme="minorHAnsi" w:cs="Arial"/>
                <w:color w:val="auto"/>
                <w:szCs w:val="20"/>
                <w:lang w:eastAsia="en-US"/>
              </w:rPr>
              <w:t>,</w:t>
            </w:r>
            <w:r w:rsidRPr="00866D96">
              <w:rPr>
                <w:rFonts w:eastAsiaTheme="minorHAnsi" w:cs="Arial"/>
                <w:color w:val="auto"/>
                <w:szCs w:val="20"/>
                <w:lang w:eastAsia="en-US"/>
              </w:rPr>
              <w:t>320</w:t>
            </w:r>
          </w:p>
        </w:tc>
        <w:tc>
          <w:tcPr>
            <w:tcW w:w="1134" w:type="dxa"/>
          </w:tcPr>
          <w:p w14:paraId="61950145" w14:textId="77777777" w:rsidR="008274F2" w:rsidRPr="00866D96" w:rsidRDefault="008274F2" w:rsidP="00866D96">
            <w:pPr>
              <w:widowControl w:val="0"/>
              <w:spacing w:before="0" w:after="0" w:line="291" w:lineRule="exact"/>
              <w:ind w:right="33"/>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3</w:t>
            </w:r>
            <w:r w:rsidR="000D2D33">
              <w:rPr>
                <w:rFonts w:eastAsiaTheme="minorHAnsi" w:cs="Arial"/>
                <w:color w:val="auto"/>
                <w:szCs w:val="20"/>
                <w:lang w:eastAsia="en-US"/>
              </w:rPr>
              <w:t>,</w:t>
            </w:r>
            <w:r w:rsidRPr="00866D96">
              <w:rPr>
                <w:rFonts w:eastAsiaTheme="minorHAnsi" w:cs="Arial"/>
                <w:color w:val="auto"/>
                <w:szCs w:val="20"/>
                <w:lang w:eastAsia="en-US"/>
              </w:rPr>
              <w:t>675</w:t>
            </w:r>
          </w:p>
        </w:tc>
        <w:tc>
          <w:tcPr>
            <w:cnfStyle w:val="000010000000" w:firstRow="0" w:lastRow="0" w:firstColumn="0" w:lastColumn="0" w:oddVBand="1" w:evenVBand="0" w:oddHBand="0" w:evenHBand="0" w:firstRowFirstColumn="0" w:firstRowLastColumn="0" w:lastRowFirstColumn="0" w:lastRowLastColumn="0"/>
            <w:tcW w:w="1006" w:type="dxa"/>
          </w:tcPr>
          <w:p w14:paraId="2C5E9B3F" w14:textId="77777777" w:rsidR="008274F2" w:rsidRPr="00866D96" w:rsidRDefault="008274F2" w:rsidP="00866D96">
            <w:pPr>
              <w:widowControl w:val="0"/>
              <w:spacing w:before="0" w:after="0" w:line="291" w:lineRule="exact"/>
              <w:jc w:val="center"/>
              <w:rPr>
                <w:rFonts w:eastAsia="Calibri" w:cs="Arial"/>
                <w:color w:val="auto"/>
                <w:szCs w:val="20"/>
                <w:lang w:eastAsia="en-US"/>
              </w:rPr>
            </w:pPr>
            <w:r w:rsidRPr="00866D96">
              <w:rPr>
                <w:rFonts w:eastAsiaTheme="minorHAnsi" w:cs="Arial"/>
                <w:color w:val="auto"/>
                <w:szCs w:val="20"/>
                <w:lang w:eastAsia="en-US"/>
              </w:rPr>
              <w:t>156,295</w:t>
            </w:r>
          </w:p>
        </w:tc>
        <w:tc>
          <w:tcPr>
            <w:cnfStyle w:val="000100000000" w:firstRow="0" w:lastRow="0" w:firstColumn="0" w:lastColumn="1" w:oddVBand="0" w:evenVBand="0" w:oddHBand="0" w:evenHBand="0" w:firstRowFirstColumn="0" w:firstRowLastColumn="0" w:lastRowFirstColumn="0" w:lastRowLastColumn="0"/>
            <w:tcW w:w="1262" w:type="dxa"/>
          </w:tcPr>
          <w:p w14:paraId="447677EF" w14:textId="77777777" w:rsidR="008274F2" w:rsidRPr="006122EE" w:rsidRDefault="008274F2" w:rsidP="00866D96">
            <w:pPr>
              <w:jc w:val="center"/>
              <w:rPr>
                <w:rFonts w:cs="Arial"/>
                <w:szCs w:val="20"/>
              </w:rPr>
            </w:pPr>
          </w:p>
        </w:tc>
      </w:tr>
      <w:tr w:rsidR="008274F2" w:rsidRPr="006122EE" w14:paraId="2F051276" w14:textId="77777777" w:rsidTr="00866D96">
        <w:trPr>
          <w:cnfStyle w:val="010000000000" w:firstRow="0" w:lastRow="1" w:firstColumn="0" w:lastColumn="0" w:oddVBand="0" w:evenVBand="0" w:oddHBand="0"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1441" w:type="dxa"/>
          </w:tcPr>
          <w:p w14:paraId="342B053A" w14:textId="77777777" w:rsidR="008274F2" w:rsidRPr="00866D96" w:rsidRDefault="008274F2" w:rsidP="008274F2">
            <w:pPr>
              <w:widowControl w:val="0"/>
              <w:spacing w:before="0" w:after="0" w:line="291" w:lineRule="exact"/>
              <w:ind w:left="104"/>
              <w:jc w:val="left"/>
              <w:rPr>
                <w:rFonts w:eastAsia="Calibri" w:cs="Arial"/>
                <w:color w:val="auto"/>
                <w:szCs w:val="20"/>
                <w:lang w:eastAsia="en-US"/>
              </w:rPr>
            </w:pPr>
            <w:r w:rsidRPr="00866D96">
              <w:rPr>
                <w:rFonts w:eastAsiaTheme="minorHAnsi" w:cs="Arial"/>
                <w:color w:val="auto"/>
                <w:szCs w:val="20"/>
                <w:lang w:eastAsia="en-US"/>
              </w:rPr>
              <w:t>%</w:t>
            </w:r>
          </w:p>
        </w:tc>
        <w:tc>
          <w:tcPr>
            <w:cnfStyle w:val="000010000000" w:firstRow="0" w:lastRow="0" w:firstColumn="0" w:lastColumn="0" w:oddVBand="1" w:evenVBand="0" w:oddHBand="0" w:evenHBand="0" w:firstRowFirstColumn="0" w:firstRowLastColumn="0" w:lastRowFirstColumn="0" w:lastRowLastColumn="0"/>
            <w:tcW w:w="1248" w:type="dxa"/>
          </w:tcPr>
          <w:p w14:paraId="717440C8" w14:textId="77777777" w:rsidR="008274F2" w:rsidRPr="00866D96" w:rsidRDefault="008274F2" w:rsidP="00866D96">
            <w:pPr>
              <w:widowControl w:val="0"/>
              <w:spacing w:before="0" w:after="0" w:line="291" w:lineRule="exact"/>
              <w:ind w:left="6"/>
              <w:jc w:val="center"/>
              <w:rPr>
                <w:rFonts w:eastAsia="Calibri" w:cs="Arial"/>
                <w:color w:val="auto"/>
                <w:szCs w:val="20"/>
                <w:lang w:eastAsia="en-US"/>
              </w:rPr>
            </w:pPr>
            <w:r w:rsidRPr="00866D96">
              <w:rPr>
                <w:rFonts w:eastAsiaTheme="minorHAnsi" w:cs="Arial"/>
                <w:color w:val="auto"/>
                <w:szCs w:val="20"/>
                <w:lang w:eastAsia="en-US"/>
              </w:rPr>
              <w:t>88.5</w:t>
            </w:r>
          </w:p>
        </w:tc>
        <w:tc>
          <w:tcPr>
            <w:tcW w:w="1701" w:type="dxa"/>
          </w:tcPr>
          <w:p w14:paraId="13E63A23" w14:textId="77777777" w:rsidR="008274F2" w:rsidRPr="00866D96" w:rsidRDefault="008274F2" w:rsidP="00866D96">
            <w:pPr>
              <w:widowControl w:val="0"/>
              <w:spacing w:before="0" w:after="0" w:line="291" w:lineRule="exact"/>
              <w:ind w:right="95"/>
              <w:jc w:val="center"/>
              <w:cnfStyle w:val="010000000000" w:firstRow="0" w:lastRow="1"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w w:val="95"/>
                <w:szCs w:val="20"/>
                <w:lang w:eastAsia="en-US"/>
              </w:rPr>
              <w:t>6.4</w:t>
            </w:r>
          </w:p>
        </w:tc>
        <w:tc>
          <w:tcPr>
            <w:cnfStyle w:val="000010000000" w:firstRow="0" w:lastRow="0" w:firstColumn="0" w:lastColumn="0" w:oddVBand="1" w:evenVBand="0" w:oddHBand="0" w:evenHBand="0" w:firstRowFirstColumn="0" w:firstRowLastColumn="0" w:lastRowFirstColumn="0" w:lastRowLastColumn="0"/>
            <w:tcW w:w="1275" w:type="dxa"/>
          </w:tcPr>
          <w:p w14:paraId="0250FF66" w14:textId="77777777" w:rsidR="008274F2" w:rsidRPr="00866D96" w:rsidRDefault="008274F2" w:rsidP="00866D96">
            <w:pPr>
              <w:widowControl w:val="0"/>
              <w:spacing w:before="0" w:after="0" w:line="291" w:lineRule="exact"/>
              <w:ind w:left="33"/>
              <w:jc w:val="center"/>
              <w:rPr>
                <w:rFonts w:eastAsia="Calibri" w:cs="Arial"/>
                <w:color w:val="auto"/>
                <w:szCs w:val="20"/>
                <w:lang w:eastAsia="en-US"/>
              </w:rPr>
            </w:pPr>
            <w:r w:rsidRPr="00866D96">
              <w:rPr>
                <w:rFonts w:eastAsiaTheme="minorHAnsi" w:cs="Arial"/>
                <w:color w:val="auto"/>
                <w:szCs w:val="20"/>
                <w:lang w:eastAsia="en-US"/>
              </w:rPr>
              <w:t>2.8</w:t>
            </w:r>
          </w:p>
        </w:tc>
        <w:tc>
          <w:tcPr>
            <w:tcW w:w="1134" w:type="dxa"/>
          </w:tcPr>
          <w:p w14:paraId="7862A5BF" w14:textId="77777777" w:rsidR="008274F2" w:rsidRPr="00866D96" w:rsidRDefault="008274F2" w:rsidP="00866D96">
            <w:pPr>
              <w:widowControl w:val="0"/>
              <w:spacing w:before="0" w:after="0" w:line="291" w:lineRule="exact"/>
              <w:ind w:right="33"/>
              <w:jc w:val="center"/>
              <w:cnfStyle w:val="010000000000" w:firstRow="0" w:lastRow="1" w:firstColumn="0" w:lastColumn="0" w:oddVBand="0" w:evenVBand="0" w:oddHBand="0" w:evenHBand="0" w:firstRowFirstColumn="0" w:firstRowLastColumn="0" w:lastRowFirstColumn="0" w:lastRowLastColumn="0"/>
              <w:rPr>
                <w:rFonts w:eastAsia="Calibri" w:cs="Arial"/>
                <w:color w:val="auto"/>
                <w:szCs w:val="20"/>
                <w:lang w:eastAsia="en-US"/>
              </w:rPr>
            </w:pPr>
            <w:r w:rsidRPr="00866D96">
              <w:rPr>
                <w:rFonts w:eastAsiaTheme="minorHAnsi" w:cs="Arial"/>
                <w:color w:val="auto"/>
                <w:szCs w:val="20"/>
                <w:lang w:eastAsia="en-US"/>
              </w:rPr>
              <w:t>2.4</w:t>
            </w:r>
          </w:p>
        </w:tc>
        <w:tc>
          <w:tcPr>
            <w:cnfStyle w:val="000010000000" w:firstRow="0" w:lastRow="0" w:firstColumn="0" w:lastColumn="0" w:oddVBand="1" w:evenVBand="0" w:oddHBand="0" w:evenHBand="0" w:firstRowFirstColumn="0" w:firstRowLastColumn="0" w:lastRowFirstColumn="0" w:lastRowLastColumn="0"/>
            <w:tcW w:w="1006" w:type="dxa"/>
          </w:tcPr>
          <w:p w14:paraId="7B7D8B58" w14:textId="77777777" w:rsidR="008274F2" w:rsidRPr="006122EE" w:rsidRDefault="008274F2" w:rsidP="00866D96">
            <w:pPr>
              <w:jc w:val="center"/>
              <w:rPr>
                <w:rFonts w:cs="Arial"/>
                <w:szCs w:val="20"/>
              </w:rPr>
            </w:pPr>
          </w:p>
        </w:tc>
        <w:tc>
          <w:tcPr>
            <w:cnfStyle w:val="000100000000" w:firstRow="0" w:lastRow="0" w:firstColumn="0" w:lastColumn="1" w:oddVBand="0" w:evenVBand="0" w:oddHBand="0" w:evenHBand="0" w:firstRowFirstColumn="0" w:firstRowLastColumn="0" w:lastRowFirstColumn="0" w:lastRowLastColumn="0"/>
            <w:tcW w:w="1262" w:type="dxa"/>
          </w:tcPr>
          <w:p w14:paraId="1A57A296" w14:textId="77777777" w:rsidR="008274F2" w:rsidRPr="006122EE" w:rsidRDefault="008274F2" w:rsidP="00866D96">
            <w:pPr>
              <w:jc w:val="center"/>
              <w:rPr>
                <w:rFonts w:cs="Arial"/>
                <w:szCs w:val="20"/>
              </w:rPr>
            </w:pPr>
          </w:p>
        </w:tc>
      </w:tr>
    </w:tbl>
    <w:p w14:paraId="70A1F4A8" w14:textId="77777777" w:rsidR="00B53E51" w:rsidRDefault="00B53E51" w:rsidP="00DF291C">
      <w:pPr>
        <w:rPr>
          <w:lang w:eastAsia="en-US"/>
        </w:rPr>
      </w:pPr>
    </w:p>
    <w:p w14:paraId="1033CF4A" w14:textId="77777777" w:rsidR="00DF291C" w:rsidRPr="00866D96" w:rsidRDefault="00276BEB" w:rsidP="00B53E51">
      <w:pPr>
        <w:spacing w:line="276" w:lineRule="auto"/>
      </w:pPr>
      <w:r w:rsidRPr="006122EE">
        <w:rPr>
          <w:lang w:eastAsia="en-US"/>
        </w:rPr>
        <w:t>The Malawi g</w:t>
      </w:r>
      <w:r w:rsidR="00AA182C" w:rsidRPr="006122EE">
        <w:rPr>
          <w:lang w:eastAsia="en-US"/>
        </w:rPr>
        <w:t>overnment</w:t>
      </w:r>
      <w:r w:rsidRPr="006122EE">
        <w:rPr>
          <w:lang w:eastAsia="en-US"/>
        </w:rPr>
        <w:t>’s</w:t>
      </w:r>
      <w:r w:rsidR="00AA182C" w:rsidRPr="006122EE">
        <w:rPr>
          <w:lang w:eastAsia="en-US"/>
        </w:rPr>
        <w:t xml:space="preserve"> aspirations </w:t>
      </w:r>
      <w:r w:rsidR="009F1CC5" w:rsidRPr="006122EE">
        <w:rPr>
          <w:lang w:eastAsia="en-US"/>
        </w:rPr>
        <w:t xml:space="preserve">are </w:t>
      </w:r>
      <w:r w:rsidR="00AA182C" w:rsidRPr="006122EE">
        <w:rPr>
          <w:lang w:eastAsia="en-US"/>
        </w:rPr>
        <w:t>depicted in the National Energy Policy</w:t>
      </w:r>
      <w:r w:rsidR="00906F73" w:rsidRPr="006122EE">
        <w:rPr>
          <w:lang w:eastAsia="en-US"/>
        </w:rPr>
        <w:t xml:space="preserve"> </w:t>
      </w:r>
      <w:r w:rsidR="007168EB" w:rsidRPr="006122EE">
        <w:rPr>
          <w:lang w:eastAsia="en-US"/>
        </w:rPr>
        <w:t xml:space="preserve">(NEP) </w:t>
      </w:r>
      <w:r w:rsidR="00906F73" w:rsidRPr="006122EE">
        <w:rPr>
          <w:lang w:eastAsia="en-US"/>
        </w:rPr>
        <w:t xml:space="preserve">of </w:t>
      </w:r>
      <w:r w:rsidR="00764105" w:rsidRPr="006122EE">
        <w:rPr>
          <w:lang w:eastAsia="en-US"/>
        </w:rPr>
        <w:t>2016</w:t>
      </w:r>
      <w:r w:rsidR="00CD2F53" w:rsidRPr="006122EE">
        <w:rPr>
          <w:lang w:eastAsia="en-US"/>
        </w:rPr>
        <w:t xml:space="preserve">, </w:t>
      </w:r>
      <w:r w:rsidR="002C7991" w:rsidRPr="006122EE">
        <w:rPr>
          <w:lang w:eastAsia="en-US"/>
        </w:rPr>
        <w:t>which emphasizes</w:t>
      </w:r>
      <w:r w:rsidR="00CD2F53" w:rsidRPr="006122EE">
        <w:rPr>
          <w:lang w:eastAsia="en-US"/>
        </w:rPr>
        <w:t xml:space="preserve"> moving the country</w:t>
      </w:r>
      <w:r w:rsidR="00AA182C" w:rsidRPr="006122EE">
        <w:rPr>
          <w:lang w:eastAsia="en-US"/>
        </w:rPr>
        <w:t xml:space="preserve"> away from biomass to more modern energy sources</w:t>
      </w:r>
      <w:r w:rsidR="00312C85" w:rsidRPr="006122EE">
        <w:rPr>
          <w:lang w:eastAsia="en-US"/>
        </w:rPr>
        <w:t xml:space="preserve">. </w:t>
      </w:r>
      <w:r w:rsidR="007168EB" w:rsidRPr="006122EE">
        <w:rPr>
          <w:lang w:eastAsia="en-US"/>
        </w:rPr>
        <w:t xml:space="preserve"> Specifically, the NEP calls for the following:</w:t>
      </w:r>
    </w:p>
    <w:p w14:paraId="2EA3FFE8" w14:textId="77777777" w:rsidR="00DF291C" w:rsidRPr="00866D96" w:rsidRDefault="00DF291C" w:rsidP="00B53E51">
      <w:pPr>
        <w:pStyle w:val="DBulletlevel1"/>
        <w:spacing w:line="276" w:lineRule="auto"/>
        <w:rPr>
          <w:noProof w:val="0"/>
        </w:rPr>
      </w:pPr>
      <w:r w:rsidRPr="00866D96">
        <w:rPr>
          <w:noProof w:val="0"/>
        </w:rPr>
        <w:t xml:space="preserve">Increase the number of households with electricity to 30% by 2020 and 40% by 2050. The current (2015) electricity access rate is around 10%. </w:t>
      </w:r>
    </w:p>
    <w:p w14:paraId="649D3FB2" w14:textId="77777777" w:rsidR="00DF291C" w:rsidRPr="00866D96" w:rsidRDefault="00DF291C" w:rsidP="00B53E51">
      <w:pPr>
        <w:pStyle w:val="DBulletlevel1"/>
        <w:spacing w:line="276" w:lineRule="auto"/>
        <w:rPr>
          <w:noProof w:val="0"/>
        </w:rPr>
      </w:pPr>
      <w:r w:rsidRPr="00866D96">
        <w:rPr>
          <w:noProof w:val="0"/>
        </w:rPr>
        <w:t>Construct new 220-330 kV backbone North – South transmission line.</w:t>
      </w:r>
    </w:p>
    <w:p w14:paraId="7FA17663" w14:textId="77777777" w:rsidR="00DF291C" w:rsidRPr="00866D96" w:rsidRDefault="00DF291C" w:rsidP="00B53E51">
      <w:pPr>
        <w:pStyle w:val="DBulletlevel1"/>
        <w:spacing w:line="276" w:lineRule="auto"/>
        <w:rPr>
          <w:noProof w:val="0"/>
        </w:rPr>
      </w:pPr>
      <w:r w:rsidRPr="00866D96">
        <w:rPr>
          <w:noProof w:val="0"/>
        </w:rPr>
        <w:t>Policy and regulatory review to encourage private sector generation and adoption of vandal free technologies. (Independent Power Producer Agreement Framework and Feed-in-tariff have been developed).</w:t>
      </w:r>
    </w:p>
    <w:p w14:paraId="7047B54A" w14:textId="77777777" w:rsidR="00DF291C" w:rsidRPr="00866D96" w:rsidRDefault="00DF291C" w:rsidP="00B53E51">
      <w:pPr>
        <w:pStyle w:val="DBulletlevel1"/>
        <w:spacing w:line="276" w:lineRule="auto"/>
        <w:rPr>
          <w:noProof w:val="0"/>
        </w:rPr>
      </w:pPr>
      <w:r w:rsidRPr="00866D96">
        <w:rPr>
          <w:noProof w:val="0"/>
        </w:rPr>
        <w:t>Increase petrol-ethanol blending ratio from 90:10 to 80:20.</w:t>
      </w:r>
    </w:p>
    <w:p w14:paraId="0A02C582" w14:textId="77777777" w:rsidR="00DF291C" w:rsidRPr="00866D96" w:rsidRDefault="00DF291C" w:rsidP="00B53E51">
      <w:pPr>
        <w:pStyle w:val="DBulletlevel1"/>
        <w:spacing w:line="276" w:lineRule="auto"/>
        <w:rPr>
          <w:noProof w:val="0"/>
        </w:rPr>
      </w:pPr>
      <w:r w:rsidRPr="00866D96">
        <w:rPr>
          <w:noProof w:val="0"/>
        </w:rPr>
        <w:t xml:space="preserve">Increase internal storage capacity using government and private sector facilities from 6 days to 30 days. </w:t>
      </w:r>
    </w:p>
    <w:p w14:paraId="275FB5D0" w14:textId="77777777" w:rsidR="00DF291C" w:rsidRPr="00866D96" w:rsidRDefault="00DF291C" w:rsidP="00B53E51">
      <w:pPr>
        <w:pStyle w:val="DBulletlevel1"/>
        <w:spacing w:line="276" w:lineRule="auto"/>
        <w:rPr>
          <w:noProof w:val="0"/>
        </w:rPr>
      </w:pPr>
      <w:r w:rsidRPr="00866D96">
        <w:rPr>
          <w:noProof w:val="0"/>
        </w:rPr>
        <w:t xml:space="preserve">Promote use of LPG at </w:t>
      </w:r>
      <w:r w:rsidR="006778C6" w:rsidRPr="00866D96">
        <w:rPr>
          <w:noProof w:val="0"/>
        </w:rPr>
        <w:t xml:space="preserve">the </w:t>
      </w:r>
      <w:r w:rsidRPr="00866D96">
        <w:rPr>
          <w:noProof w:val="0"/>
        </w:rPr>
        <w:t>household level.</w:t>
      </w:r>
    </w:p>
    <w:p w14:paraId="1DCEBF23" w14:textId="77777777" w:rsidR="00AA182C" w:rsidRPr="006122EE" w:rsidRDefault="00AA182C" w:rsidP="00B53E51">
      <w:pPr>
        <w:spacing w:line="276" w:lineRule="auto"/>
        <w:rPr>
          <w:lang w:eastAsia="en-US"/>
        </w:rPr>
      </w:pPr>
      <w:r w:rsidRPr="006122EE">
        <w:rPr>
          <w:lang w:eastAsia="en-US"/>
        </w:rPr>
        <w:t>Malawi's energy consumers consist of household, services, industry and transport. Household subsector accounts for 83% (</w:t>
      </w:r>
      <w:r w:rsidR="00312C85" w:rsidRPr="006122EE">
        <w:rPr>
          <w:lang w:eastAsia="en-US"/>
        </w:rPr>
        <w:fldChar w:fldCharType="begin"/>
      </w:r>
      <w:r w:rsidR="00312C85" w:rsidRPr="006122EE">
        <w:rPr>
          <w:lang w:eastAsia="en-US"/>
        </w:rPr>
        <w:instrText xml:space="preserve"> REF _Ref443662449 \h </w:instrText>
      </w:r>
      <w:r w:rsidR="00B53E51">
        <w:rPr>
          <w:lang w:eastAsia="en-US"/>
        </w:rPr>
        <w:instrText xml:space="preserve"> \* MERGEFORMAT </w:instrText>
      </w:r>
      <w:r w:rsidR="00312C85" w:rsidRPr="006122EE">
        <w:rPr>
          <w:lang w:eastAsia="en-US"/>
        </w:rPr>
      </w:r>
      <w:r w:rsidR="00312C85" w:rsidRPr="006122EE">
        <w:rPr>
          <w:lang w:eastAsia="en-US"/>
        </w:rPr>
        <w:fldChar w:fldCharType="separate"/>
      </w:r>
      <w:r w:rsidR="00866D96" w:rsidRPr="006122EE">
        <w:t xml:space="preserve">Table </w:t>
      </w:r>
      <w:r w:rsidR="00866D96">
        <w:rPr>
          <w:noProof/>
        </w:rPr>
        <w:t>9</w:t>
      </w:r>
      <w:r w:rsidR="00312C85" w:rsidRPr="006122EE">
        <w:rPr>
          <w:lang w:eastAsia="en-US"/>
        </w:rPr>
        <w:fldChar w:fldCharType="end"/>
      </w:r>
      <w:r w:rsidR="00312C85" w:rsidRPr="006122EE">
        <w:rPr>
          <w:lang w:eastAsia="en-US"/>
        </w:rPr>
        <w:t xml:space="preserve"> </w:t>
      </w:r>
      <w:r w:rsidRPr="006122EE">
        <w:rPr>
          <w:lang w:eastAsia="en-US"/>
        </w:rPr>
        <w:t>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836"/>
      </w:tblGrid>
      <w:tr w:rsidR="00AA182C" w:rsidRPr="006122EE" w14:paraId="61BFEC6F" w14:textId="77777777" w:rsidTr="00B50039">
        <w:tc>
          <w:tcPr>
            <w:tcW w:w="4772" w:type="dxa"/>
          </w:tcPr>
          <w:p w14:paraId="1F875BA3" w14:textId="77777777" w:rsidR="00AA182C" w:rsidRPr="006122EE" w:rsidRDefault="00AA182C" w:rsidP="00AA182C">
            <w:pPr>
              <w:pStyle w:val="Caption"/>
            </w:pPr>
            <w:bookmarkStart w:id="106" w:name="_Ref443662449"/>
            <w:bookmarkStart w:id="107" w:name="_Toc481614994"/>
            <w:r w:rsidRPr="006122EE">
              <w:t xml:space="preserve">Table </w:t>
            </w:r>
            <w:r w:rsidR="00DC7D8C">
              <w:fldChar w:fldCharType="begin"/>
            </w:r>
            <w:r w:rsidR="00DC7D8C">
              <w:instrText xml:space="preserve"> SEQ Table \* ARABIC </w:instrText>
            </w:r>
            <w:r w:rsidR="00DC7D8C">
              <w:fldChar w:fldCharType="separate"/>
            </w:r>
            <w:r w:rsidR="00866D96">
              <w:rPr>
                <w:noProof/>
              </w:rPr>
              <w:t>9</w:t>
            </w:r>
            <w:r w:rsidR="00DC7D8C">
              <w:rPr>
                <w:noProof/>
              </w:rPr>
              <w:fldChar w:fldCharType="end"/>
            </w:r>
            <w:bookmarkEnd w:id="106"/>
            <w:r w:rsidRPr="006122EE">
              <w:t>: Energy mix projections</w:t>
            </w:r>
            <w:r w:rsidR="0011497C" w:rsidRPr="006122EE">
              <w:rPr>
                <w:rStyle w:val="FootnoteReference"/>
              </w:rPr>
              <w:footnoteReference w:id="11"/>
            </w:r>
            <w:bookmarkEnd w:id="107"/>
          </w:p>
          <w:p w14:paraId="26D33F5A" w14:textId="77777777" w:rsidR="00AA182C" w:rsidRPr="006122EE" w:rsidRDefault="00AA182C" w:rsidP="00AA182C">
            <w:pPr>
              <w:jc w:val="center"/>
            </w:pPr>
            <w:r w:rsidRPr="006122EE">
              <w:rPr>
                <w:rFonts w:eastAsia="Calibri" w:cs="Arial"/>
                <w:color w:val="auto"/>
                <w:szCs w:val="20"/>
                <w:lang w:eastAsia="en-US"/>
              </w:rPr>
              <w:object w:dxaOrig="5169" w:dyaOrig="2978" w14:anchorId="41DDC4D5">
                <v:shape id="_x0000_i1029" type="#_x0000_t75" style="width:186.85pt;height:120.75pt" o:ole="">
                  <v:imagedata r:id="rId19" o:title=""/>
                </v:shape>
                <o:OLEObject Type="Embed" ProgID="Excel.Sheet.12" ShapeID="_x0000_i1029" DrawAspect="Content" ObjectID="_1561376854" r:id="rId20"/>
              </w:object>
            </w:r>
          </w:p>
        </w:tc>
        <w:tc>
          <w:tcPr>
            <w:tcW w:w="4772" w:type="dxa"/>
          </w:tcPr>
          <w:p w14:paraId="11322FF2" w14:textId="77777777" w:rsidR="00AA182C" w:rsidRPr="006122EE" w:rsidRDefault="00AA182C" w:rsidP="00AA182C">
            <w:pPr>
              <w:keepNext/>
            </w:pPr>
            <w:r w:rsidRPr="00866D96">
              <w:rPr>
                <w:rFonts w:eastAsia="Calibri" w:cs="Arial"/>
                <w:noProof/>
                <w:color w:val="auto"/>
                <w:szCs w:val="20"/>
                <w:shd w:val="clear" w:color="auto" w:fill="FFFFFF" w:themeFill="background1"/>
                <w:lang w:val="en-US" w:eastAsia="en-US"/>
              </w:rPr>
              <w:drawing>
                <wp:inline distT="0" distB="0" distL="0" distR="0" wp14:anchorId="73D4ED4D" wp14:editId="4AA09F94">
                  <wp:extent cx="2918460" cy="1935480"/>
                  <wp:effectExtent l="0" t="0" r="15240" b="762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661EFF" w14:textId="77777777" w:rsidR="00AA182C" w:rsidRPr="006122EE" w:rsidRDefault="00AA182C" w:rsidP="00AA182C">
            <w:pPr>
              <w:pStyle w:val="Caption"/>
            </w:pPr>
            <w:bookmarkStart w:id="108" w:name="_Ref448247378"/>
            <w:bookmarkStart w:id="109" w:name="_Toc481614965"/>
            <w:r w:rsidRPr="006122EE">
              <w:t xml:space="preserve">Figure </w:t>
            </w:r>
            <w:r w:rsidR="00DC7D8C">
              <w:fldChar w:fldCharType="begin"/>
            </w:r>
            <w:r w:rsidR="00DC7D8C">
              <w:instrText xml:space="preserve"> SEQ Figure \* ARABIC </w:instrText>
            </w:r>
            <w:r w:rsidR="00DC7D8C">
              <w:fldChar w:fldCharType="separate"/>
            </w:r>
            <w:r w:rsidR="00866D96">
              <w:rPr>
                <w:noProof/>
              </w:rPr>
              <w:t>1</w:t>
            </w:r>
            <w:r w:rsidR="00DC7D8C">
              <w:rPr>
                <w:noProof/>
              </w:rPr>
              <w:fldChar w:fldCharType="end"/>
            </w:r>
            <w:bookmarkEnd w:id="108"/>
            <w:r w:rsidRPr="006122EE">
              <w:t>: Energy consumption</w:t>
            </w:r>
            <w:bookmarkEnd w:id="109"/>
          </w:p>
        </w:tc>
      </w:tr>
    </w:tbl>
    <w:p w14:paraId="1ADE4953" w14:textId="77777777" w:rsidR="00AA182C" w:rsidRPr="006122EE" w:rsidRDefault="00AA182C" w:rsidP="00B53E51">
      <w:pPr>
        <w:spacing w:line="276" w:lineRule="auto"/>
      </w:pPr>
      <w:r w:rsidRPr="006122EE">
        <w:rPr>
          <w:szCs w:val="20"/>
          <w:lang w:eastAsia="en-US"/>
        </w:rPr>
        <w:tab/>
      </w:r>
      <w:r w:rsidRPr="006122EE">
        <w:t>Annual energy consumption is estimated to range from 150TJ to 156TJ</w:t>
      </w:r>
      <w:r w:rsidR="0011497C" w:rsidRPr="006122EE">
        <w:t xml:space="preserve"> </w:t>
      </w:r>
      <w:r w:rsidRPr="006122EE">
        <w:rPr>
          <w:vertAlign w:val="superscript"/>
        </w:rPr>
        <w:footnoteReference w:id="12"/>
      </w:r>
      <w:r w:rsidR="0011497C" w:rsidRPr="006122EE">
        <w:t xml:space="preserve">. </w:t>
      </w:r>
      <w:r w:rsidRPr="006122EE">
        <w:t xml:space="preserve">The study by Openshaw showed that the consumption pattern has not changed much as per </w:t>
      </w:r>
      <w:r w:rsidR="00603DE0" w:rsidRPr="006122EE">
        <w:fldChar w:fldCharType="begin"/>
      </w:r>
      <w:r w:rsidR="00603DE0" w:rsidRPr="006122EE">
        <w:instrText xml:space="preserve"> REF _Ref448247378 \h </w:instrText>
      </w:r>
      <w:r w:rsidR="00B53E51">
        <w:instrText xml:space="preserve"> \* MERGEFORMAT </w:instrText>
      </w:r>
      <w:r w:rsidR="00603DE0" w:rsidRPr="006122EE">
        <w:fldChar w:fldCharType="separate"/>
      </w:r>
      <w:r w:rsidR="00866D96" w:rsidRPr="006122EE">
        <w:t xml:space="preserve">Figure </w:t>
      </w:r>
      <w:r w:rsidR="00866D96">
        <w:rPr>
          <w:noProof/>
        </w:rPr>
        <w:t>1</w:t>
      </w:r>
      <w:r w:rsidR="00603DE0" w:rsidRPr="006122EE">
        <w:fldChar w:fldCharType="end"/>
      </w:r>
      <w:r w:rsidRPr="006122EE">
        <w:t>.</w:t>
      </w:r>
    </w:p>
    <w:p w14:paraId="5CAFB750" w14:textId="77777777" w:rsidR="00AA182C" w:rsidRPr="006122EE" w:rsidRDefault="00AA182C" w:rsidP="00B53E51">
      <w:pPr>
        <w:spacing w:line="276" w:lineRule="auto"/>
      </w:pPr>
      <w:r w:rsidRPr="006122EE">
        <w:t>Despite positive trends in the economy, Malawi's energy per capita is still very low</w:t>
      </w:r>
      <w:r w:rsidR="0011497C" w:rsidRPr="006122EE">
        <w:t xml:space="preserve">. </w:t>
      </w:r>
      <w:r w:rsidRPr="006122EE">
        <w:t>International Energy Agency estimated it as 12.14 GJ compared to an average of 23.57 GJ and 76.2 GJ for low income countries and global average respectively</w:t>
      </w:r>
      <w:r w:rsidR="0011497C" w:rsidRPr="006122EE">
        <w:t xml:space="preserve">. </w:t>
      </w:r>
      <w:r w:rsidRPr="006122EE">
        <w:t>Energy per capita is not growing at the same rate as the economy</w:t>
      </w:r>
      <w:r w:rsidR="0011497C" w:rsidRPr="006122EE">
        <w:t xml:space="preserve">. </w:t>
      </w:r>
      <w:r w:rsidRPr="006122EE">
        <w:t xml:space="preserve">Factors that constrain the growth in energy per capita are a combination of demographic </w:t>
      </w:r>
      <w:r w:rsidR="0011497C" w:rsidRPr="006122EE">
        <w:t>(84</w:t>
      </w:r>
      <w:r w:rsidRPr="006122EE">
        <w:t xml:space="preserve">% rural based </w:t>
      </w:r>
      <w:r w:rsidR="0089762C" w:rsidRPr="006122EE">
        <w:t>population</w:t>
      </w:r>
      <w:r w:rsidRPr="006122EE">
        <w:t xml:space="preserve">) and entrenched </w:t>
      </w:r>
      <w:r w:rsidR="00491EEF" w:rsidRPr="006122EE">
        <w:t>poverty, hovering around 50%</w:t>
      </w:r>
      <w:r w:rsidR="0011497C" w:rsidRPr="006122EE">
        <w:t xml:space="preserve">. </w:t>
      </w:r>
      <w:r w:rsidR="00491EEF" w:rsidRPr="006122EE">
        <w:t>The m</w:t>
      </w:r>
      <w:r w:rsidRPr="006122EE">
        <w:t xml:space="preserve">ajority </w:t>
      </w:r>
      <w:r w:rsidR="00491EEF" w:rsidRPr="006122EE">
        <w:t xml:space="preserve">of people </w:t>
      </w:r>
      <w:r w:rsidRPr="006122EE">
        <w:t>cannot afford modern energy s</w:t>
      </w:r>
      <w:r w:rsidR="00491EEF" w:rsidRPr="006122EE">
        <w:t>ervice</w:t>
      </w:r>
      <w:r w:rsidRPr="006122EE">
        <w:t>s</w:t>
      </w:r>
      <w:r w:rsidR="0011497C" w:rsidRPr="006122EE">
        <w:t xml:space="preserve">. </w:t>
      </w:r>
      <w:r w:rsidRPr="006122EE">
        <w:t xml:space="preserve">The issue of affordability is </w:t>
      </w:r>
      <w:r w:rsidR="00491EEF" w:rsidRPr="006122EE">
        <w:t>a</w:t>
      </w:r>
      <w:r w:rsidRPr="006122EE">
        <w:t xml:space="preserve"> </w:t>
      </w:r>
      <w:r w:rsidR="00491EEF" w:rsidRPr="006122EE">
        <w:t xml:space="preserve">main </w:t>
      </w:r>
      <w:r w:rsidRPr="006122EE">
        <w:t xml:space="preserve">reason </w:t>
      </w:r>
      <w:r w:rsidR="00491EEF" w:rsidRPr="006122EE">
        <w:t xml:space="preserve">for the limited success of </w:t>
      </w:r>
      <w:r w:rsidRPr="006122EE">
        <w:t>rural electrification efforts.</w:t>
      </w:r>
    </w:p>
    <w:p w14:paraId="5C1860D0" w14:textId="77777777" w:rsidR="00AA182C" w:rsidRPr="006122EE" w:rsidRDefault="00AA182C" w:rsidP="00B53E51">
      <w:pPr>
        <w:spacing w:line="276" w:lineRule="auto"/>
      </w:pPr>
      <w:r w:rsidRPr="006122EE">
        <w:t>The Malawi energy mix is made up of five components, namely: biomass</w:t>
      </w:r>
      <w:r w:rsidRPr="006122EE">
        <w:rPr>
          <w:vertAlign w:val="superscript"/>
        </w:rPr>
        <w:footnoteReference w:id="13"/>
      </w:r>
      <w:r w:rsidRPr="006122EE">
        <w:t xml:space="preserve">, electricity, liquid fuel and gas, coal and other renewables. Just </w:t>
      </w:r>
      <w:r w:rsidR="003A7314" w:rsidRPr="006122EE">
        <w:t xml:space="preserve">as biomass is the main fuel used, it is also the man fuel supplied. </w:t>
      </w:r>
    </w:p>
    <w:p w14:paraId="2E46E2DB" w14:textId="77777777" w:rsidR="00AA182C" w:rsidRPr="00866D96" w:rsidRDefault="00AA182C" w:rsidP="00B53E51">
      <w:pPr>
        <w:pStyle w:val="DBulletlevel1"/>
        <w:spacing w:line="276" w:lineRule="auto"/>
        <w:rPr>
          <w:rFonts w:eastAsia="Calibri"/>
          <w:noProof w:val="0"/>
        </w:rPr>
      </w:pPr>
      <w:r w:rsidRPr="00866D96">
        <w:rPr>
          <w:rFonts w:eastAsia="Calibri"/>
          <w:noProof w:val="0"/>
        </w:rPr>
        <w:t xml:space="preserve">Biomass contributes </w:t>
      </w:r>
      <w:r w:rsidR="003A7314" w:rsidRPr="00866D96">
        <w:rPr>
          <w:rFonts w:eastAsia="Calibri"/>
          <w:noProof w:val="0"/>
        </w:rPr>
        <w:t xml:space="preserve">the </w:t>
      </w:r>
      <w:r w:rsidRPr="00866D96">
        <w:rPr>
          <w:rFonts w:eastAsia="Calibri"/>
          <w:noProof w:val="0"/>
        </w:rPr>
        <w:t xml:space="preserve">largest share (89%) of total energy </w:t>
      </w:r>
      <w:r w:rsidR="003A7314" w:rsidRPr="00866D96">
        <w:rPr>
          <w:rFonts w:eastAsia="Calibri"/>
          <w:noProof w:val="0"/>
        </w:rPr>
        <w:t>use, and is mainly in the form</w:t>
      </w:r>
      <w:r w:rsidRPr="00866D96">
        <w:rPr>
          <w:rFonts w:eastAsia="Calibri"/>
          <w:noProof w:val="0"/>
        </w:rPr>
        <w:t xml:space="preserve"> of firewood, charcoal (for urban areas) and crop residues.</w:t>
      </w:r>
    </w:p>
    <w:p w14:paraId="7079B67C" w14:textId="77777777" w:rsidR="00AA182C" w:rsidRPr="00866D96" w:rsidRDefault="00AA182C" w:rsidP="00B53E51">
      <w:pPr>
        <w:pStyle w:val="DBulletlevel1"/>
        <w:spacing w:line="276" w:lineRule="auto"/>
        <w:rPr>
          <w:rFonts w:eastAsia="Calibri"/>
          <w:noProof w:val="0"/>
        </w:rPr>
      </w:pPr>
      <w:r w:rsidRPr="00866D96">
        <w:rPr>
          <w:rFonts w:eastAsia="Calibri"/>
          <w:noProof w:val="0"/>
        </w:rPr>
        <w:t>The share of total commercial energy</w:t>
      </w:r>
      <w:r w:rsidRPr="00866D96">
        <w:rPr>
          <w:rStyle w:val="FootnoteReference"/>
          <w:rFonts w:eastAsia="Calibri"/>
          <w:noProof w:val="0"/>
        </w:rPr>
        <w:footnoteReference w:id="14"/>
      </w:r>
      <w:r w:rsidRPr="00866D96">
        <w:rPr>
          <w:rFonts w:eastAsia="Calibri"/>
          <w:noProof w:val="0"/>
        </w:rPr>
        <w:t xml:space="preserve"> consumption to total energy consumption is relatively small (at 26% of the total energy consumed). Most of the commercial energy consumed is biomass (15%) followed by petroleum (6%). </w:t>
      </w:r>
    </w:p>
    <w:p w14:paraId="085AA577" w14:textId="77777777" w:rsidR="00AA182C" w:rsidRPr="00866D96" w:rsidRDefault="00AA182C" w:rsidP="00B53E51">
      <w:pPr>
        <w:pStyle w:val="DBulletlevel1"/>
        <w:spacing w:line="276" w:lineRule="auto"/>
        <w:rPr>
          <w:rFonts w:eastAsia="Calibri"/>
          <w:noProof w:val="0"/>
        </w:rPr>
      </w:pPr>
      <w:r w:rsidRPr="00866D96">
        <w:rPr>
          <w:rFonts w:eastAsia="Calibri"/>
          <w:noProof w:val="0"/>
        </w:rPr>
        <w:t>By sector, the household is the largest consumer of energy (83%) followed by industry (12%). At 98% of total energy consumed, biomass is the dominant energy source in the household sector.</w:t>
      </w:r>
    </w:p>
    <w:p w14:paraId="188A87CC" w14:textId="77777777" w:rsidR="00AA182C" w:rsidRPr="006122EE" w:rsidRDefault="008274F2" w:rsidP="00B53E51">
      <w:pPr>
        <w:pStyle w:val="BTitle3"/>
        <w:numPr>
          <w:ilvl w:val="0"/>
          <w:numId w:val="0"/>
        </w:numPr>
        <w:spacing w:line="276" w:lineRule="auto"/>
        <w:ind w:left="710"/>
        <w:rPr>
          <w:noProof w:val="0"/>
          <w:lang w:val="en-GB"/>
        </w:rPr>
      </w:pPr>
      <w:bookmarkStart w:id="110" w:name="_Toc481614893"/>
      <w:r w:rsidRPr="006122EE">
        <w:rPr>
          <w:noProof w:val="0"/>
          <w:lang w:val="en-GB"/>
        </w:rPr>
        <w:t>4.1.</w:t>
      </w:r>
      <w:r w:rsidR="004E0D38" w:rsidRPr="006122EE">
        <w:rPr>
          <w:noProof w:val="0"/>
          <w:lang w:val="en-GB"/>
        </w:rPr>
        <w:t xml:space="preserve">2 </w:t>
      </w:r>
      <w:r w:rsidR="009F1CC5" w:rsidRPr="006122EE">
        <w:rPr>
          <w:noProof w:val="0"/>
          <w:lang w:val="en-GB"/>
        </w:rPr>
        <w:t>Electricity g</w:t>
      </w:r>
      <w:r w:rsidR="00AA182C" w:rsidRPr="006122EE">
        <w:rPr>
          <w:noProof w:val="0"/>
          <w:lang w:val="en-GB"/>
        </w:rPr>
        <w:t>eneration and transmission plans</w:t>
      </w:r>
      <w:bookmarkEnd w:id="110"/>
    </w:p>
    <w:p w14:paraId="15884E1E" w14:textId="77777777" w:rsidR="00AA182C" w:rsidRPr="006122EE" w:rsidRDefault="00AA182C" w:rsidP="00B53E51">
      <w:pPr>
        <w:spacing w:line="276" w:lineRule="auto"/>
      </w:pPr>
      <w:r w:rsidRPr="006122EE">
        <w:t xml:space="preserve">The growth in electricity generation capacity has lagged behind the growth in electricity demand for a long period. In the recent past, the </w:t>
      </w:r>
      <w:r w:rsidR="00983ED1" w:rsidRPr="006122EE">
        <w:t>g</w:t>
      </w:r>
      <w:r w:rsidRPr="006122EE">
        <w:t xml:space="preserve">overnment has expressed the urgency to expand its generation capacity.  </w:t>
      </w:r>
      <w:r w:rsidR="00645193" w:rsidRPr="006122EE">
        <w:t>The National Energy Policy forecasted demand for electricity would</w:t>
      </w:r>
      <w:r w:rsidRPr="006122EE">
        <w:t xml:space="preserve"> be 420 MW in 2015, 1,000 MW in 2020, 1,750 MW in 2025 and 2 550MW in 2030 under moderate </w:t>
      </w:r>
      <w:r w:rsidR="00B17912" w:rsidRPr="006122EE">
        <w:t>economic growth</w:t>
      </w:r>
      <w:r w:rsidRPr="006122EE">
        <w:t xml:space="preserve"> scenario</w:t>
      </w:r>
      <w:r w:rsidR="00645193" w:rsidRPr="006122EE">
        <w:t>.</w:t>
      </w:r>
      <w:r w:rsidRPr="006122EE">
        <w:rPr>
          <w:vertAlign w:val="superscript"/>
        </w:rPr>
        <w:t xml:space="preserve"> </w:t>
      </w:r>
    </w:p>
    <w:p w14:paraId="2929806F" w14:textId="77777777" w:rsidR="00AA182C" w:rsidRPr="006122EE" w:rsidRDefault="00AA182C" w:rsidP="00B53E51">
      <w:pPr>
        <w:spacing w:line="276" w:lineRule="auto"/>
      </w:pPr>
      <w:r w:rsidRPr="006122EE">
        <w:t xml:space="preserve">With the support of the US </w:t>
      </w:r>
      <w:r w:rsidR="00983ED1" w:rsidRPr="006122EE">
        <w:t>g</w:t>
      </w:r>
      <w:r w:rsidRPr="006122EE">
        <w:t>overnment through the Millennium Challenge Corporation (MCC</w:t>
      </w:r>
      <w:r w:rsidR="00983ED1" w:rsidRPr="006122EE">
        <w:t xml:space="preserve">) and the Power Africa initiative, </w:t>
      </w:r>
      <w:r w:rsidR="009D7616" w:rsidRPr="006122EE">
        <w:t xml:space="preserve">there is ongoing </w:t>
      </w:r>
      <w:r w:rsidRPr="006122EE">
        <w:t>work to improve transmission and distribution, as well as upgrade generation</w:t>
      </w:r>
      <w:r w:rsidR="00983ED1" w:rsidRPr="006122EE">
        <w:t xml:space="preserve"> and improve regulations with regard to IPPs</w:t>
      </w:r>
      <w:r w:rsidRPr="006122EE">
        <w:t xml:space="preserve">. </w:t>
      </w:r>
    </w:p>
    <w:p w14:paraId="3830EA42" w14:textId="77777777" w:rsidR="00AA182C" w:rsidRPr="006122EE" w:rsidRDefault="009D7616" w:rsidP="00B53E51">
      <w:pPr>
        <w:spacing w:line="276" w:lineRule="auto"/>
      </w:pPr>
      <w:r w:rsidRPr="006122EE">
        <w:t xml:space="preserve">The </w:t>
      </w:r>
      <w:r w:rsidR="00AA182C" w:rsidRPr="006122EE">
        <w:t xml:space="preserve">Malawian government has firm plans to add generation from 351 to 429 MW by 2018 through upgrading Nkula A (24 MW + 12 MW), expansion of Tedzani (21 MW) and installation of three diesel generators that will add 45 MW for peak power management. </w:t>
      </w:r>
      <w:r w:rsidR="00AA182C" w:rsidRPr="006122EE">
        <w:fldChar w:fldCharType="begin"/>
      </w:r>
      <w:r w:rsidR="00AA182C" w:rsidRPr="006122EE">
        <w:instrText xml:space="preserve"> REF _Ref443662503 \h </w:instrText>
      </w:r>
      <w:r w:rsidR="00B53E51">
        <w:instrText xml:space="preserve"> \* MERGEFORMAT </w:instrText>
      </w:r>
      <w:r w:rsidR="00AA182C" w:rsidRPr="006122EE">
        <w:fldChar w:fldCharType="separate"/>
      </w:r>
      <w:r w:rsidR="00866D96" w:rsidRPr="006122EE">
        <w:t xml:space="preserve">Table </w:t>
      </w:r>
      <w:r w:rsidR="00866D96">
        <w:rPr>
          <w:noProof/>
        </w:rPr>
        <w:t>10</w:t>
      </w:r>
      <w:r w:rsidR="00AA182C" w:rsidRPr="006122EE">
        <w:fldChar w:fldCharType="end"/>
      </w:r>
      <w:r w:rsidR="00AA182C" w:rsidRPr="006122EE">
        <w:t xml:space="preserve"> below shows the supply deficit if the status quo remains.</w:t>
      </w:r>
    </w:p>
    <w:p w14:paraId="4797A7D7" w14:textId="77777777" w:rsidR="00AA182C" w:rsidRPr="006122EE" w:rsidRDefault="00AA182C" w:rsidP="00AA182C">
      <w:pPr>
        <w:pStyle w:val="Caption"/>
      </w:pPr>
      <w:bookmarkStart w:id="111" w:name="_Ref443662503"/>
      <w:bookmarkStart w:id="112" w:name="_Toc481614995"/>
      <w:r w:rsidRPr="006122EE">
        <w:t xml:space="preserve">Table </w:t>
      </w:r>
      <w:r w:rsidR="00DC7D8C">
        <w:fldChar w:fldCharType="begin"/>
      </w:r>
      <w:r w:rsidR="00DC7D8C">
        <w:instrText xml:space="preserve"> SEQ Table \* ARABIC </w:instrText>
      </w:r>
      <w:r w:rsidR="00DC7D8C">
        <w:fldChar w:fldCharType="separate"/>
      </w:r>
      <w:r w:rsidR="00866D96">
        <w:rPr>
          <w:noProof/>
        </w:rPr>
        <w:t>10</w:t>
      </w:r>
      <w:r w:rsidR="00DC7D8C">
        <w:rPr>
          <w:noProof/>
        </w:rPr>
        <w:fldChar w:fldCharType="end"/>
      </w:r>
      <w:bookmarkEnd w:id="111"/>
      <w:r w:rsidRPr="006122EE">
        <w:t>: Projections on peak demand, capacity requirement and ESCOM's supply capacity</w:t>
      </w:r>
      <w:r w:rsidR="00B5347E" w:rsidRPr="006122EE">
        <w:rPr>
          <w:rStyle w:val="FootnoteReference"/>
        </w:rPr>
        <w:footnoteReference w:id="15"/>
      </w:r>
      <w:bookmarkEnd w:id="112"/>
      <w:r w:rsidRPr="006122EE">
        <w:t xml:space="preserve"> </w:t>
      </w:r>
    </w:p>
    <w:p w14:paraId="200EAFFC" w14:textId="77777777" w:rsidR="00AA182C" w:rsidRPr="006122EE" w:rsidRDefault="00AA182C" w:rsidP="00AA182C">
      <w:pPr>
        <w:autoSpaceDE w:val="0"/>
        <w:autoSpaceDN w:val="0"/>
        <w:adjustRightInd w:val="0"/>
        <w:spacing w:before="0" w:after="0" w:line="240" w:lineRule="auto"/>
        <w:ind w:left="720"/>
        <w:contextualSpacing/>
        <w:rPr>
          <w:rFonts w:eastAsia="Calibri" w:cs="Arial"/>
          <w:color w:val="auto"/>
          <w:szCs w:val="20"/>
          <w:lang w:eastAsia="en-US"/>
        </w:rPr>
      </w:pPr>
      <w:r w:rsidRPr="00866D96">
        <w:rPr>
          <w:rFonts w:eastAsia="Calibri" w:cs="Arial"/>
          <w:noProof/>
          <w:color w:val="auto"/>
          <w:szCs w:val="20"/>
          <w:lang w:val="en-US" w:eastAsia="en-US"/>
        </w:rPr>
        <w:drawing>
          <wp:inline distT="0" distB="0" distL="0" distR="0" wp14:anchorId="0F16CD4E" wp14:editId="78CEE952">
            <wp:extent cx="5162550" cy="197485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166261" cy="1976269"/>
                    </a:xfrm>
                    <a:prstGeom prst="rect">
                      <a:avLst/>
                    </a:prstGeom>
                    <a:noFill/>
                    <a:ln w="9525">
                      <a:noFill/>
                      <a:miter lim="800000"/>
                      <a:headEnd/>
                      <a:tailEnd/>
                    </a:ln>
                  </pic:spPr>
                </pic:pic>
              </a:graphicData>
            </a:graphic>
          </wp:inline>
        </w:drawing>
      </w:r>
    </w:p>
    <w:p w14:paraId="6E8217F5" w14:textId="77777777" w:rsidR="00AA182C" w:rsidRPr="006122EE" w:rsidRDefault="00AA182C" w:rsidP="00B53E51">
      <w:pPr>
        <w:spacing w:line="276" w:lineRule="auto"/>
      </w:pPr>
      <w:r w:rsidRPr="006122EE">
        <w:tab/>
        <w:t xml:space="preserve">Furthermore, a 50 MW Kapichira III hydropower plant expansion project </w:t>
      </w:r>
      <w:r w:rsidR="006B7985" w:rsidRPr="006122EE">
        <w:t xml:space="preserve">is </w:t>
      </w:r>
      <w:r w:rsidRPr="006122EE">
        <w:t xml:space="preserve">to be funded by </w:t>
      </w:r>
      <w:r w:rsidR="00647005" w:rsidRPr="006122EE">
        <w:t xml:space="preserve">EGENCO, the new government generation company created by the break-up of the government electric utility company, </w:t>
      </w:r>
      <w:r w:rsidRPr="006122EE">
        <w:t xml:space="preserve">ESCOM. This project is currently at the pre-feasibility stage and is slated for completion in 2020. </w:t>
      </w:r>
    </w:p>
    <w:p w14:paraId="0FDE01CD" w14:textId="77777777" w:rsidR="00EA598D" w:rsidRPr="006122EE" w:rsidRDefault="00EA598D" w:rsidP="00B53E51">
      <w:pPr>
        <w:spacing w:line="276" w:lineRule="auto"/>
      </w:pPr>
      <w:r w:rsidRPr="006122EE">
        <w:t>Apart from the government/</w:t>
      </w:r>
      <w:r w:rsidR="00647005" w:rsidRPr="006122EE">
        <w:t>EGENCO</w:t>
      </w:r>
      <w:r w:rsidRPr="006122EE">
        <w:t xml:space="preserve"> supported projects, independent power producers are also expected to bring an additional capacity into the national grid dependent on favourable power purchase agreements. Independent Power Producers have been </w:t>
      </w:r>
      <w:r w:rsidR="0089762C" w:rsidRPr="006122EE">
        <w:t>signing</w:t>
      </w:r>
      <w:r w:rsidRPr="006122EE">
        <w:t xml:space="preserve"> MOUs with the </w:t>
      </w:r>
      <w:r w:rsidR="0089762C" w:rsidRPr="006122EE">
        <w:t>government,</w:t>
      </w:r>
      <w:r w:rsidRPr="006122EE">
        <w:t xml:space="preserve"> and the government plans to add 1,500 MW by the year 2020</w:t>
      </w:r>
      <w:r w:rsidRPr="006122EE">
        <w:rPr>
          <w:vertAlign w:val="superscript"/>
        </w:rPr>
        <w:footnoteReference w:id="16"/>
      </w:r>
      <w:r w:rsidRPr="006122EE">
        <w:t xml:space="preserve">. MERA is reported to assume the responsibility of a negotiator from ESCOM, </w:t>
      </w:r>
      <w:r w:rsidR="00647005" w:rsidRPr="006122EE">
        <w:t>which is</w:t>
      </w:r>
      <w:r w:rsidRPr="006122EE">
        <w:t xml:space="preserve"> viewed as an interested party</w:t>
      </w:r>
      <w:r w:rsidRPr="006122EE">
        <w:rPr>
          <w:vertAlign w:val="superscript"/>
        </w:rPr>
        <w:footnoteReference w:id="17"/>
      </w:r>
      <w:r w:rsidRPr="006122EE">
        <w:t>.</w:t>
      </w:r>
    </w:p>
    <w:p w14:paraId="52F7C93F" w14:textId="77777777" w:rsidR="00AA182C" w:rsidRPr="006122EE" w:rsidRDefault="00EA598D" w:rsidP="00B53E51">
      <w:pPr>
        <w:spacing w:line="276" w:lineRule="auto"/>
      </w:pPr>
      <w:r w:rsidRPr="006122EE" w:rsidDel="00EA598D">
        <w:t xml:space="preserve"> </w:t>
      </w:r>
      <w:r w:rsidR="00AA182C" w:rsidRPr="006122EE">
        <w:t xml:space="preserve">In addition, a 300 MW Kammwamba coal-fired electric power </w:t>
      </w:r>
      <w:r w:rsidR="005A3127" w:rsidRPr="006122EE">
        <w:t xml:space="preserve">plant </w:t>
      </w:r>
      <w:r w:rsidR="00AA182C" w:rsidRPr="006122EE">
        <w:t xml:space="preserve">is planned for completion between 2018 and 2020 using coal from Moartize in Mozambique, while 100 MW at Pamodzi in Salima will be using local coal.  </w:t>
      </w:r>
    </w:p>
    <w:p w14:paraId="06F06370" w14:textId="77777777" w:rsidR="00AA182C" w:rsidRPr="006122EE" w:rsidRDefault="00AA182C" w:rsidP="00B53E51">
      <w:pPr>
        <w:spacing w:line="276" w:lineRule="auto"/>
      </w:pPr>
      <w:r w:rsidRPr="006122EE">
        <w:t>Malawi has coal reserves of over 1 billion metric tonnes but about 22 million metric tonnes are proven (most of which are of sub-bituminous type)-with average calorific value of 24.9 GJ/tonne( NEP,2003, page10), this is equivalent to 547.8 PJ of energy. Coal production was 70,552 and 67,024 million metric tonnes in 2012 and 2013 respectively. Coal companies in Malawi (Mchenga, Kaziwiziwi, Malcoal and Eland) supply about 95% of coal required.</w:t>
      </w:r>
    </w:p>
    <w:p w14:paraId="4F23623B" w14:textId="77777777" w:rsidR="00AA182C" w:rsidRPr="006122EE" w:rsidRDefault="00AA182C" w:rsidP="00B53E51">
      <w:pPr>
        <w:spacing w:line="276" w:lineRule="auto"/>
      </w:pPr>
      <w:r w:rsidRPr="006122EE">
        <w:t xml:space="preserve">In addition, a 30 MW solar energy project with Canadian firm JCM Capital is </w:t>
      </w:r>
      <w:r w:rsidR="00647005" w:rsidRPr="006122EE">
        <w:t>under</w:t>
      </w:r>
      <w:r w:rsidRPr="006122EE">
        <w:t xml:space="preserve"> discussion with the government. </w:t>
      </w:r>
    </w:p>
    <w:p w14:paraId="1B7C4129" w14:textId="77777777" w:rsidR="00AA182C" w:rsidRPr="006122EE" w:rsidRDefault="00AA182C" w:rsidP="00B53E51">
      <w:pPr>
        <w:spacing w:line="276" w:lineRule="auto"/>
      </w:pPr>
      <w:r w:rsidRPr="006122EE">
        <w:t xml:space="preserve">Illovo sugar estates produce electricity from cogeneration using </w:t>
      </w:r>
      <w:r w:rsidR="00AB72A3" w:rsidRPr="006122EE">
        <w:t>bagasse</w:t>
      </w:r>
      <w:r w:rsidRPr="006122EE">
        <w:t xml:space="preserve">. The total installed electricity capacity from Nchalo and Dwangwa </w:t>
      </w:r>
      <w:r w:rsidR="005A3127" w:rsidRPr="006122EE">
        <w:t>estates</w:t>
      </w:r>
      <w:r w:rsidRPr="006122EE">
        <w:t xml:space="preserve"> is 18 MW but could potentially generate 100 MW from </w:t>
      </w:r>
      <w:r w:rsidR="005A3127" w:rsidRPr="006122EE">
        <w:t>the two</w:t>
      </w:r>
      <w:r w:rsidRPr="006122EE">
        <w:t xml:space="preserve"> estates</w:t>
      </w:r>
      <w:r w:rsidRPr="006122EE">
        <w:rPr>
          <w:vertAlign w:val="superscript"/>
        </w:rPr>
        <w:footnoteReference w:id="18"/>
      </w:r>
      <w:r w:rsidRPr="006122EE">
        <w:t>.</w:t>
      </w:r>
      <w:r w:rsidRPr="006122EE">
        <w:rPr>
          <w:vertAlign w:val="superscript"/>
        </w:rPr>
        <w:t xml:space="preserve"> </w:t>
      </w:r>
    </w:p>
    <w:p w14:paraId="08DC7F90" w14:textId="77777777" w:rsidR="00AA182C" w:rsidRPr="006122EE" w:rsidRDefault="00AA182C" w:rsidP="00B53E51">
      <w:pPr>
        <w:spacing w:line="276" w:lineRule="auto"/>
      </w:pPr>
      <w:r w:rsidRPr="006122EE">
        <w:t xml:space="preserve">Malawi has more than 2,000 MW of hydropower potential. </w:t>
      </w:r>
      <w:r w:rsidRPr="006122EE">
        <w:fldChar w:fldCharType="begin"/>
      </w:r>
      <w:r w:rsidRPr="006122EE">
        <w:instrText xml:space="preserve"> REF _Ref443593040 \h </w:instrText>
      </w:r>
      <w:r w:rsidR="00B53E51">
        <w:instrText xml:space="preserve"> \* MERGEFORMAT </w:instrText>
      </w:r>
      <w:r w:rsidRPr="006122EE">
        <w:fldChar w:fldCharType="separate"/>
      </w:r>
      <w:r w:rsidR="00866D96" w:rsidRPr="006122EE">
        <w:t xml:space="preserve">Figure </w:t>
      </w:r>
      <w:r w:rsidR="00866D96">
        <w:rPr>
          <w:noProof/>
        </w:rPr>
        <w:t>2</w:t>
      </w:r>
      <w:r w:rsidRPr="006122EE">
        <w:fldChar w:fldCharType="end"/>
      </w:r>
      <w:r w:rsidRPr="006122EE">
        <w:t xml:space="preserve"> shows the location and other details for these potential hydropower projects. Six hydropower projects exist with completed feasibility studies or with feasibility studies currently underway with donor support. These are: </w:t>
      </w:r>
      <w:r w:rsidR="006B7985" w:rsidRPr="006122EE">
        <w:t>a</w:t>
      </w:r>
      <w:r w:rsidRPr="006122EE">
        <w:t xml:space="preserve"> 50 MW hydropower project called Chizuma; a 50 MW hydropower project called Chasombo; a 100-280 MW Mpatamanga project; a 100-150 MW Lower Fufu project; a 20-50 MW Chimgonda project; and a 140-280 MW Kholombidzo Project. There are other Interests in hydropower plants by IPPs: a 52MW plant at Mulanje massif by Kuwale Power and a 40MW plant on Bua River at Mbongozi by HE Power.</w:t>
      </w:r>
      <w:r w:rsidR="00647005" w:rsidRPr="006122EE">
        <w:t xml:space="preserve"> The government is also in the process of upgrading the nation’s transmission grid, with the MCC supporting the installation of a new North-South transmission line (See </w:t>
      </w:r>
      <w:r w:rsidR="00C72B9A" w:rsidRPr="006122EE">
        <w:fldChar w:fldCharType="begin"/>
      </w:r>
      <w:r w:rsidR="00C72B9A" w:rsidRPr="006122EE">
        <w:instrText xml:space="preserve"> REF _Ref481599604 \h </w:instrText>
      </w:r>
      <w:r w:rsidR="00B53E51">
        <w:instrText xml:space="preserve"> \* MERGEFORMAT </w:instrText>
      </w:r>
      <w:r w:rsidR="00C72B9A" w:rsidRPr="006122EE">
        <w:fldChar w:fldCharType="separate"/>
      </w:r>
      <w:r w:rsidR="00866D96" w:rsidRPr="006122EE">
        <w:t xml:space="preserve">Figure </w:t>
      </w:r>
      <w:r w:rsidR="00866D96">
        <w:rPr>
          <w:noProof/>
        </w:rPr>
        <w:t>3</w:t>
      </w:r>
      <w:r w:rsidR="00C72B9A" w:rsidRPr="006122EE">
        <w:fldChar w:fldCharType="end"/>
      </w:r>
      <w:r w:rsidR="00647005" w:rsidRPr="006122E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6"/>
        <w:gridCol w:w="3948"/>
      </w:tblGrid>
      <w:tr w:rsidR="00AA182C" w:rsidRPr="006122EE" w14:paraId="538BED3B" w14:textId="77777777" w:rsidTr="00726AF3">
        <w:tc>
          <w:tcPr>
            <w:tcW w:w="4772" w:type="dxa"/>
          </w:tcPr>
          <w:p w14:paraId="0E167D99" w14:textId="77777777" w:rsidR="00AA182C" w:rsidRPr="006122EE" w:rsidRDefault="00AA182C" w:rsidP="00AA182C">
            <w:pPr>
              <w:keepNext/>
            </w:pPr>
            <w:r w:rsidRPr="00866D96">
              <w:rPr>
                <w:rFonts w:eastAsia="Calibri" w:cs="Arial"/>
                <w:noProof/>
                <w:color w:val="auto"/>
                <w:szCs w:val="20"/>
                <w:lang w:val="en-US" w:eastAsia="en-US"/>
              </w:rPr>
              <w:drawing>
                <wp:inline distT="0" distB="0" distL="0" distR="0" wp14:anchorId="34D9F3A3" wp14:editId="28649001">
                  <wp:extent cx="3368850" cy="3960000"/>
                  <wp:effectExtent l="0" t="0" r="3175"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68850" cy="3960000"/>
                          </a:xfrm>
                          <a:prstGeom prst="rect">
                            <a:avLst/>
                          </a:prstGeom>
                          <a:noFill/>
                          <a:ln w="9525">
                            <a:noFill/>
                            <a:miter lim="800000"/>
                            <a:headEnd/>
                            <a:tailEnd/>
                          </a:ln>
                        </pic:spPr>
                      </pic:pic>
                    </a:graphicData>
                  </a:graphic>
                </wp:inline>
              </w:drawing>
            </w:r>
          </w:p>
          <w:p w14:paraId="0FDD1899" w14:textId="77777777" w:rsidR="00AA182C" w:rsidRPr="006122EE" w:rsidRDefault="00AA182C" w:rsidP="00AA182C">
            <w:pPr>
              <w:pStyle w:val="Caption"/>
            </w:pPr>
            <w:bookmarkStart w:id="113" w:name="_Ref443593040"/>
            <w:bookmarkStart w:id="114" w:name="_Toc481614966"/>
            <w:r w:rsidRPr="006122EE">
              <w:t xml:space="preserve">Figure </w:t>
            </w:r>
            <w:r w:rsidR="00DC7D8C">
              <w:fldChar w:fldCharType="begin"/>
            </w:r>
            <w:r w:rsidR="00DC7D8C">
              <w:instrText xml:space="preserve"> SEQ Figure \* ARABIC </w:instrText>
            </w:r>
            <w:r w:rsidR="00DC7D8C">
              <w:fldChar w:fldCharType="separate"/>
            </w:r>
            <w:r w:rsidR="00866D96">
              <w:rPr>
                <w:noProof/>
              </w:rPr>
              <w:t>2</w:t>
            </w:r>
            <w:r w:rsidR="00DC7D8C">
              <w:rPr>
                <w:noProof/>
              </w:rPr>
              <w:fldChar w:fldCharType="end"/>
            </w:r>
            <w:bookmarkEnd w:id="113"/>
            <w:r w:rsidRPr="006122EE">
              <w:t>: Potential hydropower projects in Malawi</w:t>
            </w:r>
            <w:bookmarkEnd w:id="114"/>
          </w:p>
        </w:tc>
        <w:tc>
          <w:tcPr>
            <w:tcW w:w="4772" w:type="dxa"/>
          </w:tcPr>
          <w:p w14:paraId="30055A08" w14:textId="77777777" w:rsidR="00AA182C" w:rsidRPr="006122EE" w:rsidRDefault="00AA182C" w:rsidP="00AA182C">
            <w:pPr>
              <w:keepNext/>
            </w:pPr>
            <w:r w:rsidRPr="00866D96">
              <w:rPr>
                <w:rFonts w:eastAsia="Calibri" w:cs="Arial"/>
                <w:noProof/>
                <w:color w:val="auto"/>
                <w:szCs w:val="20"/>
                <w:lang w:val="en-US" w:eastAsia="en-US"/>
              </w:rPr>
              <w:drawing>
                <wp:inline distT="0" distB="0" distL="0" distR="0" wp14:anchorId="34F53D65" wp14:editId="3F412D06">
                  <wp:extent cx="2401267" cy="3960000"/>
                  <wp:effectExtent l="0" t="0" r="0" b="254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lum bright="-10000" contrast="10000"/>
                          </a:blip>
                          <a:srcRect/>
                          <a:stretch>
                            <a:fillRect/>
                          </a:stretch>
                        </pic:blipFill>
                        <pic:spPr bwMode="auto">
                          <a:xfrm>
                            <a:off x="0" y="0"/>
                            <a:ext cx="2401267" cy="3960000"/>
                          </a:xfrm>
                          <a:prstGeom prst="rect">
                            <a:avLst/>
                          </a:prstGeom>
                          <a:noFill/>
                          <a:ln w="9525">
                            <a:noFill/>
                            <a:miter lim="800000"/>
                            <a:headEnd/>
                            <a:tailEnd/>
                          </a:ln>
                        </pic:spPr>
                      </pic:pic>
                    </a:graphicData>
                  </a:graphic>
                </wp:inline>
              </w:drawing>
            </w:r>
          </w:p>
          <w:p w14:paraId="585BC470" w14:textId="77777777" w:rsidR="00AA182C" w:rsidRPr="006122EE" w:rsidRDefault="00AA182C" w:rsidP="00AA182C">
            <w:pPr>
              <w:pStyle w:val="Caption"/>
            </w:pPr>
            <w:bookmarkStart w:id="115" w:name="_Ref481599604"/>
            <w:bookmarkStart w:id="116" w:name="_Toc481614967"/>
            <w:r w:rsidRPr="006122EE">
              <w:t xml:space="preserve">Figure </w:t>
            </w:r>
            <w:r w:rsidR="00DC7D8C">
              <w:fldChar w:fldCharType="begin"/>
            </w:r>
            <w:r w:rsidR="00DC7D8C">
              <w:instrText xml:space="preserve"> SEQ Figure \* ARABIC </w:instrText>
            </w:r>
            <w:r w:rsidR="00DC7D8C">
              <w:fldChar w:fldCharType="separate"/>
            </w:r>
            <w:r w:rsidR="00866D96">
              <w:rPr>
                <w:noProof/>
              </w:rPr>
              <w:t>3</w:t>
            </w:r>
            <w:r w:rsidR="00DC7D8C">
              <w:rPr>
                <w:noProof/>
              </w:rPr>
              <w:fldChar w:fldCharType="end"/>
            </w:r>
            <w:bookmarkEnd w:id="115"/>
            <w:r w:rsidRPr="006122EE">
              <w:t>: MCC Infrastructure Project Investments</w:t>
            </w:r>
            <w:bookmarkEnd w:id="116"/>
          </w:p>
        </w:tc>
      </w:tr>
    </w:tbl>
    <w:p w14:paraId="3A18C388" w14:textId="77777777" w:rsidR="00AA182C" w:rsidRPr="006122EE" w:rsidRDefault="00AA182C" w:rsidP="00866D96">
      <w:pPr>
        <w:pStyle w:val="Style1"/>
      </w:pPr>
      <w:r w:rsidRPr="006122EE">
        <w:t>Petroleum</w:t>
      </w:r>
    </w:p>
    <w:p w14:paraId="6311FCBD" w14:textId="77777777" w:rsidR="009D7616" w:rsidRPr="006122EE" w:rsidRDefault="009D7616" w:rsidP="00B53E51">
      <w:pPr>
        <w:spacing w:line="276" w:lineRule="auto"/>
      </w:pPr>
      <w:r w:rsidRPr="006122EE">
        <w:t xml:space="preserve">The dominant petroleum products used in Malawi are diesel and petrol (Figure 4) that are used chiefly for transportation. Malawi is not a producer of any petroleum products. All of it is imported. </w:t>
      </w:r>
      <w:r w:rsidRPr="006122EE">
        <w:fldChar w:fldCharType="begin"/>
      </w:r>
      <w:r w:rsidRPr="006122EE">
        <w:instrText xml:space="preserve"> REF _Ref443662587 \h </w:instrText>
      </w:r>
      <w:r w:rsidR="00B53E51">
        <w:instrText xml:space="preserve"> \* MERGEFORMAT </w:instrText>
      </w:r>
      <w:r w:rsidRPr="006122EE">
        <w:fldChar w:fldCharType="separate"/>
      </w:r>
      <w:r w:rsidR="00866D96" w:rsidRPr="006122EE">
        <w:t xml:space="preserve">Figure </w:t>
      </w:r>
      <w:r w:rsidR="00866D96">
        <w:rPr>
          <w:noProof/>
        </w:rPr>
        <w:t>5</w:t>
      </w:r>
      <w:r w:rsidRPr="006122EE">
        <w:fldChar w:fldCharType="end"/>
      </w:r>
      <w:r w:rsidRPr="006122EE">
        <w:t xml:space="preserve"> gives the history of petroleum imports for the period 1999 to 2013.  </w:t>
      </w:r>
    </w:p>
    <w:p w14:paraId="4419D1AD" w14:textId="77777777" w:rsidR="009D7616" w:rsidRPr="006122EE" w:rsidRDefault="009D7616" w:rsidP="00B53E51">
      <w:pPr>
        <w:spacing w:line="276" w:lineRule="auto"/>
      </w:pPr>
      <w:r w:rsidRPr="006122EE">
        <w:t>The transport sector consumes about 43% of the commercial energy in Malawi. Petroleum products provide 96% of transport energy, with the remaining 4% coming from local ethanol that is blended with petrol at an official blending ratio is 20:90</w:t>
      </w:r>
      <w:r w:rsidRPr="006122EE">
        <w:rPr>
          <w:vertAlign w:val="superscript"/>
        </w:rPr>
        <w:footnoteReference w:id="19"/>
      </w:r>
      <w:r w:rsidRPr="006122EE">
        <w:t>. The blending ratio is however not met because of limitation of the locally produced ethanol.</w:t>
      </w:r>
    </w:p>
    <w:p w14:paraId="2D8DACB8" w14:textId="77777777" w:rsidR="00AA182C" w:rsidRPr="006122EE" w:rsidRDefault="00AA182C" w:rsidP="00B53E51">
      <w:pPr>
        <w:spacing w:line="276" w:lineRule="auto"/>
      </w:pPr>
      <w:r w:rsidRPr="006122EE">
        <w:t>Under Energy Laws, MERA is mandated to regulate pump price for fuels. There is an automatic pricing mechanism which is triggered by movements in the procurement costs and the exchange rate of the Malawi Kwacha against the US Dollar.</w:t>
      </w:r>
    </w:p>
    <w:p w14:paraId="2F27E4A3" w14:textId="77777777" w:rsidR="00AA182C" w:rsidRPr="006122EE" w:rsidRDefault="00AA182C" w:rsidP="00AA182C">
      <w:pPr>
        <w:keepNext/>
        <w:spacing w:before="0" w:after="200" w:line="276" w:lineRule="auto"/>
        <w:jc w:val="center"/>
      </w:pPr>
      <w:r w:rsidRPr="00866D96">
        <w:rPr>
          <w:rFonts w:eastAsia="Calibri" w:cs="Arial"/>
          <w:noProof/>
          <w:color w:val="auto"/>
          <w:szCs w:val="20"/>
          <w:lang w:val="en-US" w:eastAsia="en-US"/>
        </w:rPr>
        <w:drawing>
          <wp:inline distT="0" distB="0" distL="0" distR="0" wp14:anchorId="42691725" wp14:editId="54A9C9B8">
            <wp:extent cx="4140200" cy="1778000"/>
            <wp:effectExtent l="0" t="0" r="1270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7B1A3B" w14:textId="77777777" w:rsidR="00AA182C" w:rsidRPr="006122EE" w:rsidRDefault="00AA182C" w:rsidP="00AA182C">
      <w:pPr>
        <w:pStyle w:val="Caption"/>
        <w:rPr>
          <w:rFonts w:eastAsia="Calibri" w:cs="Arial"/>
          <w:color w:val="auto"/>
          <w:szCs w:val="20"/>
          <w:lang w:eastAsia="en-US"/>
        </w:rPr>
      </w:pPr>
      <w:bookmarkStart w:id="117" w:name="_Toc481614968"/>
      <w:r w:rsidRPr="006122EE">
        <w:t xml:space="preserve">Figure </w:t>
      </w:r>
      <w:r w:rsidR="00DC7D8C">
        <w:fldChar w:fldCharType="begin"/>
      </w:r>
      <w:r w:rsidR="00DC7D8C">
        <w:instrText xml:space="preserve"> SEQ Figure \* ARABIC </w:instrText>
      </w:r>
      <w:r w:rsidR="00DC7D8C">
        <w:fldChar w:fldCharType="separate"/>
      </w:r>
      <w:r w:rsidR="00866D96">
        <w:rPr>
          <w:noProof/>
        </w:rPr>
        <w:t>4</w:t>
      </w:r>
      <w:r w:rsidR="00DC7D8C">
        <w:rPr>
          <w:noProof/>
        </w:rPr>
        <w:fldChar w:fldCharType="end"/>
      </w:r>
      <w:r w:rsidRPr="006122EE">
        <w:t xml:space="preserve">: Petroleum products supply based on total imports from 1999 </w:t>
      </w:r>
      <w:r w:rsidR="0011497C" w:rsidRPr="006122EE">
        <w:t xml:space="preserve">to </w:t>
      </w:r>
      <w:r w:rsidRPr="006122EE">
        <w:t>2013</w:t>
      </w:r>
      <w:r w:rsidR="0011497C" w:rsidRPr="006122EE">
        <w:rPr>
          <w:rStyle w:val="FootnoteReference"/>
        </w:rPr>
        <w:footnoteReference w:id="20"/>
      </w:r>
      <w:bookmarkEnd w:id="117"/>
    </w:p>
    <w:p w14:paraId="15AA1B2F" w14:textId="77777777" w:rsidR="00AA182C" w:rsidRPr="006122EE" w:rsidRDefault="00AA182C" w:rsidP="00B53E51">
      <w:pPr>
        <w:spacing w:line="276" w:lineRule="auto"/>
        <w:rPr>
          <w:lang w:eastAsia="en-US"/>
        </w:rPr>
      </w:pPr>
      <w:r w:rsidRPr="006122EE">
        <w:rPr>
          <w:lang w:eastAsia="en-US"/>
        </w:rPr>
        <w:t>Due to rapid growth of the number of vehicles, the demand for petroleum products will witness a growth in demand and it was</w:t>
      </w:r>
      <w:r w:rsidR="0089762C" w:rsidRPr="006122EE">
        <w:rPr>
          <w:lang w:eastAsia="en-US"/>
        </w:rPr>
        <w:t xml:space="preserve"> </w:t>
      </w:r>
      <w:r w:rsidRPr="006122EE">
        <w:rPr>
          <w:lang w:eastAsia="en-US"/>
        </w:rPr>
        <w:t xml:space="preserve">expected to rise to more than 350 million litres by 2015, which will </w:t>
      </w:r>
      <w:r w:rsidRPr="006122EE">
        <w:t>further</w:t>
      </w:r>
      <w:r w:rsidRPr="006122EE">
        <w:rPr>
          <w:lang w:eastAsia="en-US"/>
        </w:rPr>
        <w:t xml:space="preserve"> increase to around 417 million litres by 2030 assuming straight line growth. However, the Annual Economic Report (2015) showed sharp decline due to lower demand of diesel for electricity generation at Kayelekera Uranium Mines</w:t>
      </w:r>
      <w:r w:rsidR="0011497C" w:rsidRPr="006122EE">
        <w:rPr>
          <w:lang w:eastAsia="en-US"/>
        </w:rPr>
        <w:t xml:space="preserve">. </w:t>
      </w:r>
      <w:r w:rsidRPr="006122EE">
        <w:rPr>
          <w:lang w:eastAsia="en-US"/>
        </w:rPr>
        <w:t>From 2013 to 2014, diesel alone dropped from 212.6 to 159.8 million litres</w:t>
      </w:r>
      <w:r w:rsidR="0011497C" w:rsidRPr="006122EE">
        <w:rPr>
          <w:lang w:eastAsia="en-US"/>
        </w:rPr>
        <w:t xml:space="preserve">. </w:t>
      </w:r>
      <w:r w:rsidRPr="006122EE">
        <w:rPr>
          <w:lang w:eastAsia="en-US"/>
        </w:rPr>
        <w:t>The actual demand for 2014/15 was 278 million litres.</w:t>
      </w:r>
    </w:p>
    <w:p w14:paraId="39E19412" w14:textId="77777777" w:rsidR="00AA182C" w:rsidRPr="006122EE" w:rsidRDefault="00AA182C" w:rsidP="00AA182C">
      <w:pPr>
        <w:keepNext/>
        <w:spacing w:before="0" w:after="200" w:line="276" w:lineRule="auto"/>
        <w:jc w:val="center"/>
      </w:pPr>
      <w:r w:rsidRPr="00866D96">
        <w:rPr>
          <w:noProof/>
          <w:lang w:val="en-US" w:eastAsia="en-US"/>
        </w:rPr>
        <w:drawing>
          <wp:inline distT="0" distB="0" distL="0" distR="0" wp14:anchorId="10AC8B89" wp14:editId="4671CBA1">
            <wp:extent cx="4333480" cy="2898476"/>
            <wp:effectExtent l="0" t="0" r="10160" b="1651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FA40A5" w14:textId="77777777" w:rsidR="00716453" w:rsidRPr="006122EE" w:rsidRDefault="00AA182C" w:rsidP="00726AF3">
      <w:pPr>
        <w:pStyle w:val="Caption"/>
      </w:pPr>
      <w:bookmarkStart w:id="118" w:name="_Ref443662587"/>
      <w:bookmarkStart w:id="119" w:name="_Toc481614969"/>
      <w:r w:rsidRPr="006122EE">
        <w:t xml:space="preserve">Figure </w:t>
      </w:r>
      <w:r w:rsidR="00DC7D8C">
        <w:fldChar w:fldCharType="begin"/>
      </w:r>
      <w:r w:rsidR="00DC7D8C">
        <w:instrText xml:space="preserve"> SEQ Figure \* ARABIC </w:instrText>
      </w:r>
      <w:r w:rsidR="00DC7D8C">
        <w:fldChar w:fldCharType="separate"/>
      </w:r>
      <w:r w:rsidR="00866D96">
        <w:rPr>
          <w:noProof/>
        </w:rPr>
        <w:t>5</w:t>
      </w:r>
      <w:r w:rsidR="00DC7D8C">
        <w:rPr>
          <w:noProof/>
        </w:rPr>
        <w:fldChar w:fldCharType="end"/>
      </w:r>
      <w:bookmarkEnd w:id="118"/>
      <w:r w:rsidRPr="006122EE">
        <w:t>: Fuel import projections</w:t>
      </w:r>
      <w:r w:rsidR="004E0D38" w:rsidRPr="006122EE">
        <w:rPr>
          <w:rStyle w:val="FootnoteReference"/>
        </w:rPr>
        <w:footnoteReference w:id="21"/>
      </w:r>
      <w:bookmarkEnd w:id="119"/>
    </w:p>
    <w:p w14:paraId="248EC612" w14:textId="77777777" w:rsidR="00716453" w:rsidRPr="006122EE" w:rsidRDefault="00716453" w:rsidP="00866D96">
      <w:pPr>
        <w:pStyle w:val="Style1"/>
      </w:pPr>
      <w:r w:rsidRPr="006122EE">
        <w:t xml:space="preserve">Other </w:t>
      </w:r>
      <w:r w:rsidR="00B8029D" w:rsidRPr="006122EE">
        <w:t xml:space="preserve">energy-related policy processes </w:t>
      </w:r>
    </w:p>
    <w:p w14:paraId="145168FF" w14:textId="77777777" w:rsidR="00716453" w:rsidRPr="006122EE" w:rsidRDefault="00716453" w:rsidP="00B53E51">
      <w:pPr>
        <w:spacing w:line="276" w:lineRule="auto"/>
      </w:pPr>
      <w:r w:rsidRPr="006122EE">
        <w:t>The SE4ALL process comes to Malawi at a time when</w:t>
      </w:r>
      <w:r w:rsidR="00B8029D" w:rsidRPr="006122EE">
        <w:t xml:space="preserve"> the country has emphasized energy as a key element of its development strategy and is developing an update to its national energy policy of 2003.</w:t>
      </w:r>
    </w:p>
    <w:p w14:paraId="1235CAEB" w14:textId="77777777" w:rsidR="00716453" w:rsidRPr="006122EE" w:rsidRDefault="00716453" w:rsidP="00B53E51">
      <w:pPr>
        <w:spacing w:line="276" w:lineRule="auto"/>
      </w:pPr>
      <w:r w:rsidRPr="006122EE">
        <w:rPr>
          <w:rFonts w:eastAsia="Calibri"/>
          <w:b/>
          <w:lang w:eastAsia="en-US"/>
        </w:rPr>
        <w:t xml:space="preserve">The Malawi Growth and Development Strategy II (MGDS II) </w:t>
      </w:r>
      <w:r w:rsidRPr="006122EE">
        <w:t>is the second medium term national development strategy formulated to attain the country`s 2020 Vision. It is a decisive and strategic single reference document to be followed by all stakeholders to achieve the goal of wealth creation through sustainable economic growth and infrastructure development. Energy is among the nine Key priority areas identified and addressed in MGDS II</w:t>
      </w:r>
    </w:p>
    <w:p w14:paraId="34B64967" w14:textId="77777777" w:rsidR="00716453" w:rsidRPr="006122EE" w:rsidRDefault="00716453" w:rsidP="00B53E51">
      <w:pPr>
        <w:spacing w:line="276" w:lineRule="auto"/>
      </w:pPr>
      <w:r w:rsidRPr="006122EE">
        <w:rPr>
          <w:rFonts w:eastAsia="Calibri"/>
          <w:b/>
          <w:lang w:eastAsia="en-US"/>
        </w:rPr>
        <w:t>Malawi Energy Policy (NEP) of 2003</w:t>
      </w:r>
      <w:r w:rsidR="009F1CC5" w:rsidRPr="006122EE">
        <w:rPr>
          <w:rFonts w:eastAsia="Calibri"/>
          <w:b/>
          <w:lang w:eastAsia="en-US"/>
        </w:rPr>
        <w:t>, updated 2016</w:t>
      </w:r>
      <w:r w:rsidRPr="006122EE">
        <w:rPr>
          <w:rFonts w:eastAsia="Calibri"/>
          <w:b/>
          <w:lang w:eastAsia="en-US"/>
        </w:rPr>
        <w:t xml:space="preserve">. </w:t>
      </w:r>
      <w:r w:rsidRPr="006122EE">
        <w:t>The NEP calls for making Malawi`s energy sector sufficiently robust and efficient to support country`s efforts towards poverty reduction and sustainable economic growth. This policy`s long term vision is to drive Malawian economy from a hugely biomass energy reliant one to an economy based on efficient use of modern means and sources of energy. The new draft energy policy addresses some of the same themes as this Action Agenda, particularly in the areas of increasing energy access and grid-connected renewable energy.</w:t>
      </w:r>
    </w:p>
    <w:p w14:paraId="502AB874" w14:textId="77777777" w:rsidR="00B509DD" w:rsidRPr="00866D96" w:rsidRDefault="00B509DD" w:rsidP="006E363C">
      <w:pPr>
        <w:pStyle w:val="BTitle20"/>
        <w:rPr>
          <w:noProof w:val="0"/>
        </w:rPr>
      </w:pPr>
      <w:bookmarkStart w:id="120" w:name="_Ref448423278"/>
      <w:bookmarkStart w:id="121" w:name="_Toc481614894"/>
      <w:bookmarkEnd w:id="103"/>
      <w:r w:rsidRPr="00866D96">
        <w:rPr>
          <w:noProof w:val="0"/>
        </w:rPr>
        <w:t>Energy access – Clean cooking</w:t>
      </w:r>
      <w:bookmarkEnd w:id="120"/>
      <w:bookmarkEnd w:id="121"/>
      <w:r w:rsidRPr="00866D96">
        <w:rPr>
          <w:noProof w:val="0"/>
        </w:rPr>
        <w:t xml:space="preserve"> </w:t>
      </w:r>
    </w:p>
    <w:p w14:paraId="11F31149" w14:textId="77777777" w:rsidR="00B509DD" w:rsidRPr="00866D96" w:rsidRDefault="00B509DD" w:rsidP="00B509DD">
      <w:pPr>
        <w:pStyle w:val="BTitle3"/>
        <w:rPr>
          <w:noProof w:val="0"/>
          <w:lang w:val="en-GB"/>
        </w:rPr>
      </w:pPr>
      <w:bookmarkStart w:id="122" w:name="_Toc481614895"/>
      <w:r w:rsidRPr="00866D96">
        <w:rPr>
          <w:noProof w:val="0"/>
          <w:lang w:val="en-GB"/>
        </w:rPr>
        <w:t>What is the current status and BAU trajectory to 2030?</w:t>
      </w:r>
      <w:bookmarkEnd w:id="122"/>
    </w:p>
    <w:p w14:paraId="34EADA83" w14:textId="77777777" w:rsidR="00B509DD" w:rsidRPr="006122EE" w:rsidRDefault="00B509DD" w:rsidP="00866D96">
      <w:pPr>
        <w:pStyle w:val="Style1"/>
      </w:pPr>
      <w:r w:rsidRPr="006122EE">
        <w:t>Current status</w:t>
      </w:r>
    </w:p>
    <w:p w14:paraId="30CDA7E3" w14:textId="77777777" w:rsidR="00B509DD" w:rsidRPr="00866D96" w:rsidRDefault="00B509DD" w:rsidP="00B53E51">
      <w:pPr>
        <w:spacing w:line="276" w:lineRule="auto"/>
      </w:pPr>
      <w:r w:rsidRPr="00866D96">
        <w:t>According to the National Statistical Office (NSO), Malawi's population is estimated at 17 million, growing at 2.8% per annum.</w:t>
      </w:r>
      <w:r w:rsidRPr="00866D96">
        <w:rPr>
          <w:rStyle w:val="FootnoteReference"/>
          <w:color w:val="auto"/>
        </w:rPr>
        <w:footnoteReference w:id="22"/>
      </w:r>
      <w:r w:rsidRPr="00866D96">
        <w:t xml:space="preserve"> The population is estimated to reach 20 million by 2020 and 27.5 million by 2030</w:t>
      </w:r>
      <w:r w:rsidR="00545150" w:rsidRPr="00866D96">
        <w:t xml:space="preserve">. </w:t>
      </w:r>
      <w:r w:rsidRPr="00866D96">
        <w:t xml:space="preserve">It is further estimated </w:t>
      </w:r>
      <w:r w:rsidR="00603DE0" w:rsidRPr="00866D96">
        <w:t>that rural</w:t>
      </w:r>
      <w:r w:rsidRPr="00866D96">
        <w:t xml:space="preserve"> population is approximately 8</w:t>
      </w:r>
      <w:r w:rsidR="002F71DA" w:rsidRPr="00866D96">
        <w:t>4</w:t>
      </w:r>
      <w:r w:rsidRPr="00866D96">
        <w:t>% which predominantly uses biomass as a source of energy for cooking</w:t>
      </w:r>
      <w:r w:rsidR="00545150" w:rsidRPr="00866D96">
        <w:t xml:space="preserve">. </w:t>
      </w:r>
      <w:r w:rsidRPr="00866D96">
        <w:t xml:space="preserve">This entails 2.9 million households residing in rural areas depend on biomass for cooking and require efficient cook stoves for clean cooking. This is evidenced by the </w:t>
      </w:r>
      <w:r w:rsidR="00603DE0" w:rsidRPr="00866D96">
        <w:fldChar w:fldCharType="begin"/>
      </w:r>
      <w:r w:rsidR="00603DE0" w:rsidRPr="00866D96">
        <w:instrText xml:space="preserve"> REF _Ref443662654 \h </w:instrText>
      </w:r>
      <w:r w:rsidR="00B53E51">
        <w:instrText xml:space="preserve"> \* MERGEFORMAT </w:instrText>
      </w:r>
      <w:r w:rsidR="00603DE0" w:rsidRPr="00866D96">
        <w:fldChar w:fldCharType="separate"/>
      </w:r>
      <w:r w:rsidR="00866D96" w:rsidRPr="006122EE">
        <w:t xml:space="preserve">Table </w:t>
      </w:r>
      <w:r w:rsidR="00866D96">
        <w:rPr>
          <w:noProof/>
        </w:rPr>
        <w:t>11</w:t>
      </w:r>
      <w:r w:rsidR="00603DE0" w:rsidRPr="00866D96">
        <w:fldChar w:fldCharType="end"/>
      </w:r>
      <w:r w:rsidRPr="00866D96">
        <w:t xml:space="preserve"> below which indicates that </w:t>
      </w:r>
      <w:r w:rsidR="006B7985" w:rsidRPr="00866D96">
        <w:t>8</w:t>
      </w:r>
      <w:r w:rsidRPr="00866D96">
        <w:t>7.7% of households use firewood for cooking in Malawi.</w:t>
      </w:r>
    </w:p>
    <w:p w14:paraId="5CAE7034" w14:textId="77777777" w:rsidR="00B509DD" w:rsidRPr="00866D96" w:rsidRDefault="00B509DD" w:rsidP="00B53E51">
      <w:pPr>
        <w:spacing w:line="276" w:lineRule="auto"/>
      </w:pPr>
      <w:r w:rsidRPr="00866D96">
        <w:t xml:space="preserve">Biomass is however the </w:t>
      </w:r>
      <w:r w:rsidR="00603DE0" w:rsidRPr="00866D96">
        <w:t>dominant fuel</w:t>
      </w:r>
      <w:r w:rsidRPr="00866D96">
        <w:t xml:space="preserve"> for cooking in both urban and rural areas. </w:t>
      </w:r>
      <w:r w:rsidRPr="00866D96">
        <w:fldChar w:fldCharType="begin"/>
      </w:r>
      <w:r w:rsidRPr="00866D96">
        <w:instrText xml:space="preserve"> REF _Ref443662654 \h </w:instrText>
      </w:r>
      <w:r w:rsidR="00B53E51">
        <w:instrText xml:space="preserve"> \* MERGEFORMAT </w:instrText>
      </w:r>
      <w:r w:rsidRPr="00866D96">
        <w:fldChar w:fldCharType="separate"/>
      </w:r>
      <w:r w:rsidR="00866D96" w:rsidRPr="006122EE">
        <w:t xml:space="preserve">Table </w:t>
      </w:r>
      <w:r w:rsidR="00866D96">
        <w:rPr>
          <w:noProof/>
        </w:rPr>
        <w:t>11</w:t>
      </w:r>
      <w:r w:rsidRPr="00866D96">
        <w:fldChar w:fldCharType="end"/>
      </w:r>
      <w:r w:rsidRPr="00866D96">
        <w:t xml:space="preserve"> below shows the fuel use distribution based on</w:t>
      </w:r>
      <w:r w:rsidR="006B7985" w:rsidRPr="00866D96">
        <w:t xml:space="preserve"> the</w:t>
      </w:r>
      <w:r w:rsidRPr="00866D96">
        <w:t xml:space="preserve"> Integrated Household Survey (IHS) 3 that was conducted by NSO (2011).</w:t>
      </w:r>
    </w:p>
    <w:p w14:paraId="2B135255" w14:textId="77777777" w:rsidR="00B509DD" w:rsidRPr="006122EE" w:rsidRDefault="00B509DD" w:rsidP="00B509DD">
      <w:pPr>
        <w:pStyle w:val="Caption"/>
      </w:pPr>
      <w:bookmarkStart w:id="123" w:name="_Ref443662654"/>
      <w:bookmarkStart w:id="124" w:name="_Ref443662642"/>
      <w:bookmarkStart w:id="125" w:name="_Toc481614996"/>
      <w:r w:rsidRPr="006122EE">
        <w:t xml:space="preserve">Table </w:t>
      </w:r>
      <w:r w:rsidR="00DC7D8C">
        <w:fldChar w:fldCharType="begin"/>
      </w:r>
      <w:r w:rsidR="00DC7D8C">
        <w:instrText xml:space="preserve"> SEQ Table \* ARABIC </w:instrText>
      </w:r>
      <w:r w:rsidR="00DC7D8C">
        <w:fldChar w:fldCharType="separate"/>
      </w:r>
      <w:r w:rsidR="00866D96">
        <w:rPr>
          <w:noProof/>
        </w:rPr>
        <w:t>11</w:t>
      </w:r>
      <w:r w:rsidR="00DC7D8C">
        <w:rPr>
          <w:noProof/>
        </w:rPr>
        <w:fldChar w:fldCharType="end"/>
      </w:r>
      <w:bookmarkEnd w:id="123"/>
      <w:r w:rsidRPr="006122EE">
        <w:t>: Fuel use distribution</w:t>
      </w:r>
      <w:bookmarkEnd w:id="124"/>
      <w:bookmarkEnd w:id="125"/>
    </w:p>
    <w:tbl>
      <w:tblPr>
        <w:tblStyle w:val="GridTable4-Accent31"/>
        <w:tblW w:w="0" w:type="auto"/>
        <w:tblLook w:val="04A0" w:firstRow="1" w:lastRow="0" w:firstColumn="1" w:lastColumn="0" w:noHBand="0" w:noVBand="1"/>
      </w:tblPr>
      <w:tblGrid>
        <w:gridCol w:w="1336"/>
        <w:gridCol w:w="1324"/>
        <w:gridCol w:w="1353"/>
        <w:gridCol w:w="1358"/>
        <w:gridCol w:w="1350"/>
        <w:gridCol w:w="1348"/>
        <w:gridCol w:w="1325"/>
      </w:tblGrid>
      <w:tr w:rsidR="00B509DD" w:rsidRPr="006122EE" w14:paraId="579B4ABF"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1F4A5FBF" w14:textId="77777777" w:rsidR="00B509DD" w:rsidRPr="00866D96" w:rsidRDefault="00B509DD" w:rsidP="00B509DD"/>
        </w:tc>
        <w:tc>
          <w:tcPr>
            <w:tcW w:w="1374" w:type="dxa"/>
          </w:tcPr>
          <w:p w14:paraId="0347E633"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 using solid fuel</w:t>
            </w:r>
          </w:p>
        </w:tc>
        <w:tc>
          <w:tcPr>
            <w:tcW w:w="1374" w:type="dxa"/>
          </w:tcPr>
          <w:p w14:paraId="7856F4C3"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Firewood</w:t>
            </w:r>
          </w:p>
        </w:tc>
        <w:tc>
          <w:tcPr>
            <w:tcW w:w="1374" w:type="dxa"/>
          </w:tcPr>
          <w:p w14:paraId="3AF8CC90"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Electricity</w:t>
            </w:r>
          </w:p>
        </w:tc>
        <w:tc>
          <w:tcPr>
            <w:tcW w:w="1374" w:type="dxa"/>
          </w:tcPr>
          <w:p w14:paraId="75CC741F"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Charcoal</w:t>
            </w:r>
          </w:p>
        </w:tc>
        <w:tc>
          <w:tcPr>
            <w:tcW w:w="1375" w:type="dxa"/>
          </w:tcPr>
          <w:p w14:paraId="3F8FB1DD"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Crop residues</w:t>
            </w:r>
          </w:p>
        </w:tc>
        <w:tc>
          <w:tcPr>
            <w:tcW w:w="1375" w:type="dxa"/>
          </w:tcPr>
          <w:p w14:paraId="06A734A5" w14:textId="77777777" w:rsidR="00B509DD" w:rsidRPr="00866D96" w:rsidRDefault="00B509DD" w:rsidP="00B509DD">
            <w:pPr>
              <w:jc w:val="center"/>
              <w:cnfStyle w:val="100000000000" w:firstRow="1" w:lastRow="0" w:firstColumn="0" w:lastColumn="0" w:oddVBand="0" w:evenVBand="0" w:oddHBand="0" w:evenHBand="0" w:firstRowFirstColumn="0" w:firstRowLastColumn="0" w:lastRowFirstColumn="0" w:lastRowLastColumn="0"/>
            </w:pPr>
            <w:r w:rsidRPr="00866D96">
              <w:t>Other</w:t>
            </w:r>
          </w:p>
        </w:tc>
      </w:tr>
      <w:tr w:rsidR="00B509DD" w:rsidRPr="006122EE" w14:paraId="5E525CB5"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7B8F730D" w14:textId="77777777" w:rsidR="00B509DD" w:rsidRPr="00866D96" w:rsidRDefault="00B509DD" w:rsidP="00B509DD">
            <w:r w:rsidRPr="00866D96">
              <w:t>Malawi</w:t>
            </w:r>
          </w:p>
        </w:tc>
        <w:tc>
          <w:tcPr>
            <w:tcW w:w="1374" w:type="dxa"/>
          </w:tcPr>
          <w:p w14:paraId="493DA89E"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97.4</w:t>
            </w:r>
          </w:p>
        </w:tc>
        <w:tc>
          <w:tcPr>
            <w:tcW w:w="1374" w:type="dxa"/>
          </w:tcPr>
          <w:p w14:paraId="5D7A88A4"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87.7</w:t>
            </w:r>
          </w:p>
        </w:tc>
        <w:tc>
          <w:tcPr>
            <w:tcW w:w="1374" w:type="dxa"/>
          </w:tcPr>
          <w:p w14:paraId="40D8F437"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2.5</w:t>
            </w:r>
          </w:p>
        </w:tc>
        <w:tc>
          <w:tcPr>
            <w:tcW w:w="1374" w:type="dxa"/>
          </w:tcPr>
          <w:p w14:paraId="5E1DA663"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8.9</w:t>
            </w:r>
          </w:p>
        </w:tc>
        <w:tc>
          <w:tcPr>
            <w:tcW w:w="1375" w:type="dxa"/>
          </w:tcPr>
          <w:p w14:paraId="32851DF3"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0.8</w:t>
            </w:r>
          </w:p>
        </w:tc>
        <w:tc>
          <w:tcPr>
            <w:tcW w:w="1375" w:type="dxa"/>
          </w:tcPr>
          <w:p w14:paraId="37DAC207"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0.2</w:t>
            </w:r>
          </w:p>
        </w:tc>
      </w:tr>
      <w:tr w:rsidR="00B509DD" w:rsidRPr="006122EE" w14:paraId="6FA9A76C" w14:textId="77777777" w:rsidTr="00B509DD">
        <w:tc>
          <w:tcPr>
            <w:cnfStyle w:val="001000000000" w:firstRow="0" w:lastRow="0" w:firstColumn="1" w:lastColumn="0" w:oddVBand="0" w:evenVBand="0" w:oddHBand="0" w:evenHBand="0" w:firstRowFirstColumn="0" w:firstRowLastColumn="0" w:lastRowFirstColumn="0" w:lastRowLastColumn="0"/>
            <w:tcW w:w="1374" w:type="dxa"/>
          </w:tcPr>
          <w:p w14:paraId="18BB879D" w14:textId="77777777" w:rsidR="00B509DD" w:rsidRPr="00866D96" w:rsidRDefault="00B509DD" w:rsidP="00B509DD">
            <w:r w:rsidRPr="00866D96">
              <w:t>Urban</w:t>
            </w:r>
          </w:p>
        </w:tc>
        <w:tc>
          <w:tcPr>
            <w:tcW w:w="1374" w:type="dxa"/>
          </w:tcPr>
          <w:p w14:paraId="6D4E4F2D"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87</w:t>
            </w:r>
          </w:p>
        </w:tc>
        <w:tc>
          <w:tcPr>
            <w:tcW w:w="1374" w:type="dxa"/>
          </w:tcPr>
          <w:p w14:paraId="70405393"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41.9</w:t>
            </w:r>
          </w:p>
        </w:tc>
        <w:tc>
          <w:tcPr>
            <w:tcW w:w="1374" w:type="dxa"/>
          </w:tcPr>
          <w:p w14:paraId="6ED333B2"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12.6</w:t>
            </w:r>
          </w:p>
        </w:tc>
        <w:tc>
          <w:tcPr>
            <w:tcW w:w="1374" w:type="dxa"/>
          </w:tcPr>
          <w:p w14:paraId="37733943"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44.6</w:t>
            </w:r>
          </w:p>
        </w:tc>
        <w:tc>
          <w:tcPr>
            <w:tcW w:w="1375" w:type="dxa"/>
          </w:tcPr>
          <w:p w14:paraId="5A689415"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0.5</w:t>
            </w:r>
          </w:p>
        </w:tc>
        <w:tc>
          <w:tcPr>
            <w:tcW w:w="1375" w:type="dxa"/>
          </w:tcPr>
          <w:p w14:paraId="7905D42C"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0.4</w:t>
            </w:r>
          </w:p>
        </w:tc>
      </w:tr>
      <w:tr w:rsidR="00B509DD" w:rsidRPr="006122EE" w14:paraId="494E6525"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A88DBC9" w14:textId="77777777" w:rsidR="00B509DD" w:rsidRPr="00866D96" w:rsidRDefault="00B509DD" w:rsidP="00B509DD">
            <w:r w:rsidRPr="00866D96">
              <w:t>Rural</w:t>
            </w:r>
          </w:p>
        </w:tc>
        <w:tc>
          <w:tcPr>
            <w:tcW w:w="1374" w:type="dxa"/>
          </w:tcPr>
          <w:p w14:paraId="4F648A1B"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99.3</w:t>
            </w:r>
          </w:p>
        </w:tc>
        <w:tc>
          <w:tcPr>
            <w:tcW w:w="1374" w:type="dxa"/>
          </w:tcPr>
          <w:p w14:paraId="5F1310B6"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96.2</w:t>
            </w:r>
          </w:p>
        </w:tc>
        <w:tc>
          <w:tcPr>
            <w:tcW w:w="1374" w:type="dxa"/>
          </w:tcPr>
          <w:p w14:paraId="79750D53"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0.6</w:t>
            </w:r>
          </w:p>
        </w:tc>
        <w:tc>
          <w:tcPr>
            <w:tcW w:w="1374" w:type="dxa"/>
          </w:tcPr>
          <w:p w14:paraId="1A8D28FC"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2.3</w:t>
            </w:r>
          </w:p>
        </w:tc>
        <w:tc>
          <w:tcPr>
            <w:tcW w:w="1375" w:type="dxa"/>
          </w:tcPr>
          <w:p w14:paraId="3469FA87"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0.9</w:t>
            </w:r>
          </w:p>
        </w:tc>
        <w:tc>
          <w:tcPr>
            <w:tcW w:w="1375" w:type="dxa"/>
          </w:tcPr>
          <w:p w14:paraId="60BCE29C"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0.1</w:t>
            </w:r>
          </w:p>
        </w:tc>
      </w:tr>
      <w:tr w:rsidR="00B509DD" w:rsidRPr="006122EE" w14:paraId="0BF868AC" w14:textId="77777777" w:rsidTr="00B509DD">
        <w:tc>
          <w:tcPr>
            <w:cnfStyle w:val="001000000000" w:firstRow="0" w:lastRow="0" w:firstColumn="1" w:lastColumn="0" w:oddVBand="0" w:evenVBand="0" w:oddHBand="0" w:evenHBand="0" w:firstRowFirstColumn="0" w:firstRowLastColumn="0" w:lastRowFirstColumn="0" w:lastRowLastColumn="0"/>
            <w:tcW w:w="1374" w:type="dxa"/>
          </w:tcPr>
          <w:p w14:paraId="5F8B1A8D" w14:textId="77777777" w:rsidR="00B509DD" w:rsidRPr="00866D96" w:rsidRDefault="00B509DD" w:rsidP="00B509DD">
            <w:r w:rsidRPr="00866D96">
              <w:t>N. Region</w:t>
            </w:r>
          </w:p>
        </w:tc>
        <w:tc>
          <w:tcPr>
            <w:tcW w:w="1374" w:type="dxa"/>
          </w:tcPr>
          <w:p w14:paraId="76867274"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98.9</w:t>
            </w:r>
          </w:p>
        </w:tc>
        <w:tc>
          <w:tcPr>
            <w:tcW w:w="1374" w:type="dxa"/>
          </w:tcPr>
          <w:p w14:paraId="1EE1C72D"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95.3</w:t>
            </w:r>
          </w:p>
        </w:tc>
        <w:tc>
          <w:tcPr>
            <w:tcW w:w="1374" w:type="dxa"/>
          </w:tcPr>
          <w:p w14:paraId="56A2C6B6"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1.1</w:t>
            </w:r>
          </w:p>
        </w:tc>
        <w:tc>
          <w:tcPr>
            <w:tcW w:w="1374" w:type="dxa"/>
          </w:tcPr>
          <w:p w14:paraId="3DAE2B41"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3.5</w:t>
            </w:r>
          </w:p>
        </w:tc>
        <w:tc>
          <w:tcPr>
            <w:tcW w:w="1375" w:type="dxa"/>
          </w:tcPr>
          <w:p w14:paraId="5DBE2F1C"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0.1</w:t>
            </w:r>
          </w:p>
        </w:tc>
        <w:tc>
          <w:tcPr>
            <w:tcW w:w="1375" w:type="dxa"/>
          </w:tcPr>
          <w:p w14:paraId="64221E7C"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0.1</w:t>
            </w:r>
          </w:p>
        </w:tc>
      </w:tr>
      <w:tr w:rsidR="00B509DD" w:rsidRPr="006122EE" w14:paraId="791C7D97"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53D437FE" w14:textId="77777777" w:rsidR="00B509DD" w:rsidRPr="00866D96" w:rsidRDefault="00B509DD" w:rsidP="00B509DD">
            <w:r w:rsidRPr="00866D96">
              <w:t>C. Region</w:t>
            </w:r>
          </w:p>
        </w:tc>
        <w:tc>
          <w:tcPr>
            <w:tcW w:w="1374" w:type="dxa"/>
          </w:tcPr>
          <w:p w14:paraId="0F74FD3E"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97.8</w:t>
            </w:r>
          </w:p>
        </w:tc>
        <w:tc>
          <w:tcPr>
            <w:tcW w:w="1374" w:type="dxa"/>
          </w:tcPr>
          <w:p w14:paraId="1623F191"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89.9</w:t>
            </w:r>
          </w:p>
        </w:tc>
        <w:tc>
          <w:tcPr>
            <w:tcW w:w="1374" w:type="dxa"/>
          </w:tcPr>
          <w:p w14:paraId="7BF70A6F"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2.1</w:t>
            </w:r>
          </w:p>
        </w:tc>
        <w:tc>
          <w:tcPr>
            <w:tcW w:w="1374" w:type="dxa"/>
          </w:tcPr>
          <w:p w14:paraId="4F583E75"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7.6</w:t>
            </w:r>
          </w:p>
        </w:tc>
        <w:tc>
          <w:tcPr>
            <w:tcW w:w="1375" w:type="dxa"/>
          </w:tcPr>
          <w:p w14:paraId="0760EB58"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0.3</w:t>
            </w:r>
          </w:p>
        </w:tc>
        <w:tc>
          <w:tcPr>
            <w:tcW w:w="1375" w:type="dxa"/>
          </w:tcPr>
          <w:p w14:paraId="2C314478" w14:textId="77777777" w:rsidR="00B509DD" w:rsidRPr="00866D96" w:rsidRDefault="00B509DD" w:rsidP="00B509DD">
            <w:pPr>
              <w:jc w:val="center"/>
              <w:cnfStyle w:val="000000100000" w:firstRow="0" w:lastRow="0" w:firstColumn="0" w:lastColumn="0" w:oddVBand="0" w:evenVBand="0" w:oddHBand="1" w:evenHBand="0" w:firstRowFirstColumn="0" w:firstRowLastColumn="0" w:lastRowFirstColumn="0" w:lastRowLastColumn="0"/>
            </w:pPr>
            <w:r w:rsidRPr="00866D96">
              <w:t>0.1</w:t>
            </w:r>
          </w:p>
        </w:tc>
      </w:tr>
      <w:tr w:rsidR="00B509DD" w:rsidRPr="006122EE" w14:paraId="5F805761" w14:textId="77777777" w:rsidTr="00B509DD">
        <w:tc>
          <w:tcPr>
            <w:cnfStyle w:val="001000000000" w:firstRow="0" w:lastRow="0" w:firstColumn="1" w:lastColumn="0" w:oddVBand="0" w:evenVBand="0" w:oddHBand="0" w:evenHBand="0" w:firstRowFirstColumn="0" w:firstRowLastColumn="0" w:lastRowFirstColumn="0" w:lastRowLastColumn="0"/>
            <w:tcW w:w="1374" w:type="dxa"/>
          </w:tcPr>
          <w:p w14:paraId="550B0D6E" w14:textId="77777777" w:rsidR="00B509DD" w:rsidRPr="00866D96" w:rsidRDefault="00B509DD" w:rsidP="00B509DD">
            <w:r w:rsidRPr="00866D96">
              <w:t>S. Region</w:t>
            </w:r>
          </w:p>
        </w:tc>
        <w:tc>
          <w:tcPr>
            <w:tcW w:w="1374" w:type="dxa"/>
          </w:tcPr>
          <w:p w14:paraId="240F0D4E"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96.7</w:t>
            </w:r>
          </w:p>
        </w:tc>
        <w:tc>
          <w:tcPr>
            <w:tcW w:w="1374" w:type="dxa"/>
          </w:tcPr>
          <w:p w14:paraId="707E22BA"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83.8</w:t>
            </w:r>
          </w:p>
        </w:tc>
        <w:tc>
          <w:tcPr>
            <w:tcW w:w="1374" w:type="dxa"/>
          </w:tcPr>
          <w:p w14:paraId="32073F05"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3.1</w:t>
            </w:r>
          </w:p>
        </w:tc>
        <w:tc>
          <w:tcPr>
            <w:tcW w:w="1374" w:type="dxa"/>
          </w:tcPr>
          <w:p w14:paraId="5B09699F"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11.5</w:t>
            </w:r>
          </w:p>
        </w:tc>
        <w:tc>
          <w:tcPr>
            <w:tcW w:w="1375" w:type="dxa"/>
          </w:tcPr>
          <w:p w14:paraId="1325EB8E"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1.5</w:t>
            </w:r>
          </w:p>
        </w:tc>
        <w:tc>
          <w:tcPr>
            <w:tcW w:w="1375" w:type="dxa"/>
          </w:tcPr>
          <w:p w14:paraId="30CA648E" w14:textId="77777777" w:rsidR="00B509DD" w:rsidRPr="00866D96" w:rsidRDefault="00B509DD" w:rsidP="00B509DD">
            <w:pPr>
              <w:jc w:val="center"/>
              <w:cnfStyle w:val="000000000000" w:firstRow="0" w:lastRow="0" w:firstColumn="0" w:lastColumn="0" w:oddVBand="0" w:evenVBand="0" w:oddHBand="0" w:evenHBand="0" w:firstRowFirstColumn="0" w:firstRowLastColumn="0" w:lastRowFirstColumn="0" w:lastRowLastColumn="0"/>
            </w:pPr>
            <w:r w:rsidRPr="00866D96">
              <w:t>0.2</w:t>
            </w:r>
          </w:p>
        </w:tc>
      </w:tr>
    </w:tbl>
    <w:p w14:paraId="59A4FC21" w14:textId="77777777" w:rsidR="00B509DD" w:rsidRPr="006122EE" w:rsidRDefault="00B509DD" w:rsidP="00603DE0">
      <w:r w:rsidRPr="006122EE">
        <w:t>During the stakeholders meeting</w:t>
      </w:r>
      <w:r w:rsidR="00517327" w:rsidRPr="006122EE">
        <w:t>s,</w:t>
      </w:r>
      <w:r w:rsidRPr="006122EE">
        <w:t xml:space="preserve"> the current </w:t>
      </w:r>
      <w:r w:rsidR="00517327" w:rsidRPr="006122EE">
        <w:t xml:space="preserve">biomass </w:t>
      </w:r>
      <w:r w:rsidRPr="006122EE">
        <w:t xml:space="preserve">situation was summarised </w:t>
      </w:r>
      <w:r w:rsidR="00517327" w:rsidRPr="006122EE">
        <w:t>by stakeholders as consisting of:</w:t>
      </w:r>
    </w:p>
    <w:p w14:paraId="29695A4D" w14:textId="77777777" w:rsidR="00B509DD" w:rsidRPr="00866D96" w:rsidRDefault="00517327" w:rsidP="00B12628">
      <w:pPr>
        <w:pStyle w:val="DBulletlevel1"/>
        <w:rPr>
          <w:noProof w:val="0"/>
        </w:rPr>
      </w:pPr>
      <w:r w:rsidRPr="00866D96">
        <w:rPr>
          <w:noProof w:val="0"/>
        </w:rPr>
        <w:t>A country-wide o</w:t>
      </w:r>
      <w:r w:rsidR="00B509DD" w:rsidRPr="00866D96">
        <w:rPr>
          <w:noProof w:val="0"/>
        </w:rPr>
        <w:t>verdependence on biomass</w:t>
      </w:r>
      <w:r w:rsidR="004E0D38" w:rsidRPr="00866D96">
        <w:rPr>
          <w:noProof w:val="0"/>
        </w:rPr>
        <w:t>.</w:t>
      </w:r>
    </w:p>
    <w:p w14:paraId="49BA0D6B" w14:textId="77777777" w:rsidR="00B509DD" w:rsidRPr="00866D96" w:rsidRDefault="00B509DD" w:rsidP="00B12628">
      <w:pPr>
        <w:pStyle w:val="DBulletlevel1"/>
        <w:rPr>
          <w:noProof w:val="0"/>
        </w:rPr>
      </w:pPr>
      <w:r w:rsidRPr="00866D96">
        <w:rPr>
          <w:noProof w:val="0"/>
        </w:rPr>
        <w:t>Limited use of</w:t>
      </w:r>
      <w:r w:rsidR="00517327" w:rsidRPr="00866D96">
        <w:rPr>
          <w:noProof w:val="0"/>
        </w:rPr>
        <w:t>, and access to,</w:t>
      </w:r>
      <w:r w:rsidRPr="00866D96">
        <w:rPr>
          <w:noProof w:val="0"/>
        </w:rPr>
        <w:t xml:space="preserve"> efficient cook stoves</w:t>
      </w:r>
      <w:r w:rsidR="004E0D38" w:rsidRPr="00866D96">
        <w:rPr>
          <w:noProof w:val="0"/>
        </w:rPr>
        <w:t>.</w:t>
      </w:r>
    </w:p>
    <w:p w14:paraId="01A1ACB9" w14:textId="77777777" w:rsidR="00B509DD" w:rsidRPr="00866D96" w:rsidRDefault="00B509DD" w:rsidP="00B12628">
      <w:pPr>
        <w:pStyle w:val="DBulletlevel1"/>
        <w:rPr>
          <w:noProof w:val="0"/>
        </w:rPr>
      </w:pPr>
      <w:r w:rsidRPr="00866D96">
        <w:rPr>
          <w:noProof w:val="0"/>
        </w:rPr>
        <w:t>Limited access to biomass energy sources</w:t>
      </w:r>
      <w:r w:rsidR="004E0D38" w:rsidRPr="00866D96">
        <w:rPr>
          <w:noProof w:val="0"/>
        </w:rPr>
        <w:t>.</w:t>
      </w:r>
    </w:p>
    <w:p w14:paraId="326BE96F" w14:textId="77777777" w:rsidR="00B509DD" w:rsidRPr="00866D96" w:rsidRDefault="00517327" w:rsidP="00B12628">
      <w:pPr>
        <w:pStyle w:val="DBulletlevel1"/>
        <w:rPr>
          <w:noProof w:val="0"/>
        </w:rPr>
      </w:pPr>
      <w:r w:rsidRPr="00866D96">
        <w:rPr>
          <w:noProof w:val="0"/>
        </w:rPr>
        <w:t>Widespread</w:t>
      </w:r>
      <w:r w:rsidR="00B509DD" w:rsidRPr="00866D96">
        <w:rPr>
          <w:noProof w:val="0"/>
        </w:rPr>
        <w:t xml:space="preserve"> unsustainable charcoal production</w:t>
      </w:r>
      <w:r w:rsidR="004E0D38" w:rsidRPr="00866D96">
        <w:rPr>
          <w:noProof w:val="0"/>
        </w:rPr>
        <w:t>.</w:t>
      </w:r>
    </w:p>
    <w:p w14:paraId="70E711F4" w14:textId="77777777" w:rsidR="00B509DD" w:rsidRPr="00866D96" w:rsidRDefault="00B509DD" w:rsidP="00B12628">
      <w:pPr>
        <w:pStyle w:val="DBulletlevel1"/>
        <w:rPr>
          <w:noProof w:val="0"/>
        </w:rPr>
      </w:pPr>
      <w:r w:rsidRPr="00866D96">
        <w:rPr>
          <w:noProof w:val="0"/>
        </w:rPr>
        <w:t>Tea industry still maintaining the 10% trees cover but tobacco industry still a problem</w:t>
      </w:r>
      <w:r w:rsidR="004E0D38" w:rsidRPr="00866D96">
        <w:rPr>
          <w:noProof w:val="0"/>
        </w:rPr>
        <w:t>.</w:t>
      </w:r>
    </w:p>
    <w:p w14:paraId="6BA89FAF" w14:textId="77777777" w:rsidR="00B509DD" w:rsidRPr="00866D96" w:rsidRDefault="00B509DD" w:rsidP="00B12628">
      <w:pPr>
        <w:pStyle w:val="DBulletlevel1"/>
        <w:rPr>
          <w:noProof w:val="0"/>
        </w:rPr>
      </w:pPr>
      <w:r w:rsidRPr="00866D96">
        <w:rPr>
          <w:noProof w:val="0"/>
        </w:rPr>
        <w:t>Institutions with high number of people still using firewood for cooking</w:t>
      </w:r>
      <w:r w:rsidR="004E0D38" w:rsidRPr="00866D96">
        <w:rPr>
          <w:noProof w:val="0"/>
        </w:rPr>
        <w:t>.</w:t>
      </w:r>
    </w:p>
    <w:p w14:paraId="3F02DD4F" w14:textId="77777777" w:rsidR="00B509DD" w:rsidRPr="00866D96" w:rsidRDefault="00517327" w:rsidP="00B12628">
      <w:pPr>
        <w:pStyle w:val="DBulletlevel1"/>
        <w:rPr>
          <w:noProof w:val="0"/>
        </w:rPr>
      </w:pPr>
      <w:r w:rsidRPr="00866D96">
        <w:rPr>
          <w:noProof w:val="0"/>
        </w:rPr>
        <w:t>Limited access to firewood</w:t>
      </w:r>
      <w:r w:rsidR="00B509DD" w:rsidRPr="00866D96">
        <w:rPr>
          <w:noProof w:val="0"/>
        </w:rPr>
        <w:t xml:space="preserve"> alternatives Some institutions using electric pots</w:t>
      </w:r>
      <w:r w:rsidR="004E0D38" w:rsidRPr="00866D96">
        <w:rPr>
          <w:noProof w:val="0"/>
        </w:rPr>
        <w:t>.</w:t>
      </w:r>
    </w:p>
    <w:p w14:paraId="6BF0E65B" w14:textId="77777777" w:rsidR="00B509DD" w:rsidRPr="006122EE" w:rsidRDefault="00B509DD" w:rsidP="00866D96">
      <w:pPr>
        <w:pStyle w:val="Style1"/>
      </w:pPr>
      <w:r w:rsidRPr="006122EE">
        <w:t xml:space="preserve">Biomass </w:t>
      </w:r>
    </w:p>
    <w:p w14:paraId="13C215EA" w14:textId="77777777" w:rsidR="00B509DD" w:rsidRPr="00866D96" w:rsidRDefault="00B509DD" w:rsidP="00B53E51">
      <w:pPr>
        <w:spacing w:line="276" w:lineRule="auto"/>
      </w:pPr>
      <w:r w:rsidRPr="00866D96">
        <w:t>Rural and urban cooking fuels include firewood, charcoal and agricultural wastes</w:t>
      </w:r>
      <w:r w:rsidR="004E0D38" w:rsidRPr="00866D96">
        <w:t xml:space="preserve">. </w:t>
      </w:r>
      <w:r w:rsidRPr="00866D96">
        <w:t xml:space="preserve">Charcoal is mostly used in urban areas but it originates in rural areas, including protected government forests and community forests. The nation’s overall wood consumption exceeds sustainable supply by about 2.37 </w:t>
      </w:r>
      <w:r w:rsidR="000976B4" w:rsidRPr="00866D96">
        <w:t xml:space="preserve">million </w:t>
      </w:r>
      <w:r w:rsidRPr="00866D96">
        <w:t xml:space="preserve">cubic metres. The Malawi Energy Policy estimates that 48% of the biomass used comes from sustainable supply, 47% from natural woodlands (unsustainable) and 5% comes from wastes from agriculture and industrial sectors. The biomass consumption by the different energy sectors is as shown in the Figure below:  </w:t>
      </w:r>
    </w:p>
    <w:p w14:paraId="17CF785E" w14:textId="77777777" w:rsidR="00B509DD" w:rsidRPr="00866D96" w:rsidRDefault="00B509DD" w:rsidP="00B509DD"/>
    <w:p w14:paraId="0D497722" w14:textId="77777777" w:rsidR="0089762C" w:rsidRPr="006122EE" w:rsidRDefault="00B509DD" w:rsidP="007F020F">
      <w:pPr>
        <w:keepNext/>
        <w:ind w:left="1" w:firstLine="1"/>
        <w:jc w:val="center"/>
      </w:pPr>
      <w:r w:rsidRPr="00866D96">
        <w:rPr>
          <w:noProof/>
          <w:lang w:val="en-US" w:eastAsia="en-US"/>
        </w:rPr>
        <w:drawing>
          <wp:inline distT="0" distB="0" distL="0" distR="0" wp14:anchorId="169DB68F" wp14:editId="3B7141F9">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6C03AE" w14:textId="77777777" w:rsidR="007F020F" w:rsidRPr="00866D96" w:rsidRDefault="0089762C" w:rsidP="006122EE">
      <w:pPr>
        <w:pStyle w:val="Caption"/>
      </w:pPr>
      <w:bookmarkStart w:id="126" w:name="_Toc481614970"/>
      <w:r w:rsidRPr="006122EE">
        <w:rPr>
          <w:bCs w:val="0"/>
        </w:rPr>
        <w:t xml:space="preserve">Figure </w:t>
      </w:r>
      <w:r w:rsidR="00666BF3" w:rsidRPr="006122EE">
        <w:rPr>
          <w:bCs w:val="0"/>
        </w:rPr>
        <w:fldChar w:fldCharType="begin"/>
      </w:r>
      <w:r w:rsidR="00666BF3" w:rsidRPr="006122EE">
        <w:rPr>
          <w:bCs w:val="0"/>
        </w:rPr>
        <w:instrText xml:space="preserve"> SEQ Figure \* ARABIC </w:instrText>
      </w:r>
      <w:r w:rsidR="00666BF3" w:rsidRPr="006122EE">
        <w:rPr>
          <w:bCs w:val="0"/>
        </w:rPr>
        <w:fldChar w:fldCharType="separate"/>
      </w:r>
      <w:r w:rsidR="00866D96">
        <w:rPr>
          <w:bCs w:val="0"/>
          <w:noProof/>
        </w:rPr>
        <w:t>6</w:t>
      </w:r>
      <w:r w:rsidR="00666BF3" w:rsidRPr="006122EE">
        <w:rPr>
          <w:bCs w:val="0"/>
        </w:rPr>
        <w:fldChar w:fldCharType="end"/>
      </w:r>
      <w:r w:rsidRPr="00866D96">
        <w:t>: Biomass Consumption in Malawi</w:t>
      </w:r>
      <w:r w:rsidR="004E0D38" w:rsidRPr="00866D96">
        <w:rPr>
          <w:rStyle w:val="FootnoteReference"/>
        </w:rPr>
        <w:footnoteReference w:id="23"/>
      </w:r>
      <w:bookmarkEnd w:id="126"/>
    </w:p>
    <w:p w14:paraId="08D60A1F" w14:textId="77777777" w:rsidR="00B509DD" w:rsidRPr="00866D96" w:rsidRDefault="00B509DD" w:rsidP="00B53E51">
      <w:pPr>
        <w:spacing w:line="276" w:lineRule="auto"/>
      </w:pPr>
      <w:r w:rsidRPr="00866D96">
        <w:t>There</w:t>
      </w:r>
      <w:r w:rsidR="000976B4" w:rsidRPr="00866D96">
        <w:t xml:space="preserve"> have been a number of program</w:t>
      </w:r>
      <w:r w:rsidRPr="00866D96">
        <w:t xml:space="preserve">s to reduce the pressure on forests </w:t>
      </w:r>
      <w:r w:rsidR="000976B4" w:rsidRPr="00866D96">
        <w:t>through the promotion of</w:t>
      </w:r>
      <w:r w:rsidRPr="00866D96">
        <w:t xml:space="preserve"> improved biomass stoves that </w:t>
      </w:r>
      <w:r w:rsidR="000976B4" w:rsidRPr="00866D96">
        <w:t>generate fewer emission and are</w:t>
      </w:r>
      <w:r w:rsidRPr="00866D96">
        <w:t xml:space="preserve"> more energy-efficient than traditional cook stoves</w:t>
      </w:r>
      <w:r w:rsidR="004E0D38" w:rsidRPr="00866D96">
        <w:t xml:space="preserve">. </w:t>
      </w:r>
      <w:r w:rsidRPr="00866D96">
        <w:t xml:space="preserve">Probably the largest </w:t>
      </w:r>
      <w:r w:rsidR="00FD1A12" w:rsidRPr="00866D96">
        <w:t>program</w:t>
      </w:r>
      <w:r w:rsidR="00603DE0" w:rsidRPr="00866D96">
        <w:t xml:space="preserve"> was</w:t>
      </w:r>
      <w:r w:rsidRPr="00866D96">
        <w:t xml:space="preserve"> the GIZ-funded Programme on </w:t>
      </w:r>
      <w:r w:rsidR="00FD1A12" w:rsidRPr="00866D96">
        <w:t xml:space="preserve">Biomass Conservation (ProBEC). </w:t>
      </w:r>
      <w:r w:rsidRPr="00866D96">
        <w:t>The program started in Malawi and expanded to Tanzania, Zambia, Zimbabwe and Mozambique, building community capacity to build improved stoves</w:t>
      </w:r>
      <w:r w:rsidR="004E0D38" w:rsidRPr="00866D96">
        <w:t xml:space="preserve">. </w:t>
      </w:r>
      <w:r w:rsidRPr="00866D96">
        <w:t>It played a big part in the popularization of the improved biomass stoves in the country and the region</w:t>
      </w:r>
      <w:r w:rsidR="004E0D38" w:rsidRPr="00866D96">
        <w:t xml:space="preserve">. </w:t>
      </w:r>
      <w:r w:rsidRPr="00866D96">
        <w:t>Another large program was the EU-funded Program on Sustainable Energy in Balaka managed by Concern Universal</w:t>
      </w:r>
      <w:r w:rsidR="004E0D38" w:rsidRPr="00866D96">
        <w:t xml:space="preserve">. </w:t>
      </w:r>
      <w:r w:rsidRPr="00866D96">
        <w:t>There have been many other smaller improv</w:t>
      </w:r>
      <w:r w:rsidR="00FD1A12" w:rsidRPr="00866D96">
        <w:t>ed stove dissemination program</w:t>
      </w:r>
      <w:r w:rsidRPr="00866D96">
        <w:t>s by Total Land Care, Pride Africa, USAID, among others</w:t>
      </w:r>
      <w:r w:rsidR="004E0D38" w:rsidRPr="00866D96">
        <w:t xml:space="preserve">. </w:t>
      </w:r>
      <w:r w:rsidRPr="00866D96">
        <w:t xml:space="preserve">Currently, there is a </w:t>
      </w:r>
      <w:r w:rsidR="00FD1A12" w:rsidRPr="00866D96">
        <w:t>Cook Stoves Road Map Program</w:t>
      </w:r>
      <w:r w:rsidRPr="00866D96">
        <w:t xml:space="preserve"> whose objective is to accelerate the uptake of clean and efficient stoves to 2 million households by 2020. It is estimated that there are more than 500,000 clean and efficient cook stoves being used in Malawi if we consider the number of electrified households in Malawi which were 308, 278 in June, 2015.This is so because </w:t>
      </w:r>
      <w:r w:rsidR="00F84911" w:rsidRPr="00866D96">
        <w:t>most</w:t>
      </w:r>
      <w:r w:rsidRPr="00866D96">
        <w:t xml:space="preserve"> electrified household</w:t>
      </w:r>
      <w:r w:rsidR="00F84911" w:rsidRPr="00866D96">
        <w:t>s use</w:t>
      </w:r>
      <w:r w:rsidRPr="00866D96">
        <w:t xml:space="preserve"> clean</w:t>
      </w:r>
      <w:r w:rsidR="00F84911" w:rsidRPr="00866D96">
        <w:t>,</w:t>
      </w:r>
      <w:r w:rsidRPr="00866D96">
        <w:t xml:space="preserve"> efficient cook stove</w:t>
      </w:r>
      <w:r w:rsidR="00F84911" w:rsidRPr="00866D96">
        <w:t>s</w:t>
      </w:r>
      <w:r w:rsidRPr="00866D96">
        <w:t xml:space="preserve"> </w:t>
      </w:r>
      <w:r w:rsidR="003B4313" w:rsidRPr="00866D96">
        <w:t xml:space="preserve">in addition to their </w:t>
      </w:r>
      <w:r w:rsidRPr="00866D96">
        <w:t xml:space="preserve">electric cookers, hot plates and LPG gas cookers. </w:t>
      </w:r>
      <w:r w:rsidR="00F84911" w:rsidRPr="00866D96">
        <w:t>However, many electrified households use charcoal as well.</w:t>
      </w:r>
    </w:p>
    <w:p w14:paraId="164F0DEC" w14:textId="77777777" w:rsidR="00B22AC9" w:rsidRPr="00866D96" w:rsidRDefault="00B22AC9" w:rsidP="00B53E51">
      <w:pPr>
        <w:spacing w:line="276" w:lineRule="auto"/>
      </w:pPr>
      <w:r w:rsidRPr="00866D96">
        <w:t xml:space="preserve">After the ProBEC programme the </w:t>
      </w:r>
      <w:r w:rsidR="00983ED1" w:rsidRPr="00866D96">
        <w:t>g</w:t>
      </w:r>
      <w:r w:rsidRPr="00866D96">
        <w:t>overnment of Malawi through Department of Energy instituted the preparation of the Biomass Energy Strategy (BEST) in 2009. The BEST objective was to develop a rational and implementable approach to the management of Malawi’s biomass energy sector through a combination of measures designed to improve the sustainability of biomass energy supply, raise end user efficiencies and promote appropriate alternatives. The strategy addresses thermal application of energy and primary cooking. It covers domestic, institutional and industrial applications of biomass and includes both commercial and non-commercial users of fuel</w:t>
      </w:r>
      <w:r w:rsidRPr="00866D96">
        <w:rPr>
          <w:rStyle w:val="FootnoteReference"/>
        </w:rPr>
        <w:footnoteReference w:id="24"/>
      </w:r>
      <w:r w:rsidR="004E0D38" w:rsidRPr="00866D96">
        <w:t xml:space="preserve">. </w:t>
      </w:r>
      <w:r w:rsidRPr="00866D96">
        <w:t>The BEST analyses the supply and demand side of biomass in Malawi with a view to come up with challenges and solutions to the challenges. The major challenge highlighted by the BEST is that most parts of the country especially Central and Southern Regions has the demand for biomass more than the supply such that biomass is being used un sustainably in these two regions. The BEST also highlights the fact that biomass is the most important fuel in terms of quantity and it accounts for 88.5% of final energy demand and 92% of household demand. In order to ensure that biomass is exploited in a sustainable manner the BEST puts forward the following recommendations</w:t>
      </w:r>
      <w:r w:rsidR="004E0D38" w:rsidRPr="00866D96">
        <w:t>:</w:t>
      </w:r>
    </w:p>
    <w:p w14:paraId="71D5D539" w14:textId="77777777" w:rsidR="00B22AC9" w:rsidRPr="00866D96" w:rsidRDefault="00B22AC9" w:rsidP="00B53E51">
      <w:pPr>
        <w:pStyle w:val="DBulletlevel1"/>
        <w:spacing w:line="276" w:lineRule="auto"/>
        <w:rPr>
          <w:noProof w:val="0"/>
        </w:rPr>
      </w:pPr>
      <w:r w:rsidRPr="00866D96">
        <w:rPr>
          <w:noProof w:val="0"/>
        </w:rPr>
        <w:t>Biomass that is at community level should be exploited in such a way that the community closer to the biomass should benefit</w:t>
      </w:r>
      <w:r w:rsidR="004E0D38" w:rsidRPr="00866D96">
        <w:rPr>
          <w:noProof w:val="0"/>
        </w:rPr>
        <w:t>.</w:t>
      </w:r>
    </w:p>
    <w:p w14:paraId="3361D847" w14:textId="77777777" w:rsidR="00B22AC9" w:rsidRPr="00866D96" w:rsidRDefault="00B22AC9" w:rsidP="00B53E51">
      <w:pPr>
        <w:pStyle w:val="DBulletlevel1"/>
        <w:spacing w:line="276" w:lineRule="auto"/>
        <w:rPr>
          <w:noProof w:val="0"/>
        </w:rPr>
      </w:pPr>
      <w:r w:rsidRPr="00866D96">
        <w:rPr>
          <w:noProof w:val="0"/>
        </w:rPr>
        <w:t>The pricing of biomass should be economical</w:t>
      </w:r>
      <w:r w:rsidR="004E0D38" w:rsidRPr="00866D96">
        <w:rPr>
          <w:noProof w:val="0"/>
        </w:rPr>
        <w:t>.</w:t>
      </w:r>
    </w:p>
    <w:p w14:paraId="4BB2FD46" w14:textId="77777777" w:rsidR="00B22AC9" w:rsidRPr="00866D96" w:rsidRDefault="00B22AC9" w:rsidP="00B53E51">
      <w:pPr>
        <w:pStyle w:val="DBulletlevel1"/>
        <w:spacing w:line="276" w:lineRule="auto"/>
        <w:rPr>
          <w:noProof w:val="0"/>
        </w:rPr>
      </w:pPr>
      <w:r w:rsidRPr="00866D96">
        <w:rPr>
          <w:noProof w:val="0"/>
        </w:rPr>
        <w:t>The regulation of the biomass sector should not only involve punitive measures but should also bring forward incentives for the operators in the biomass sector</w:t>
      </w:r>
      <w:r w:rsidR="004E0D38" w:rsidRPr="00866D96">
        <w:rPr>
          <w:noProof w:val="0"/>
        </w:rPr>
        <w:t>.</w:t>
      </w:r>
    </w:p>
    <w:p w14:paraId="2CAB4C55" w14:textId="77777777" w:rsidR="00B22AC9" w:rsidRPr="00866D96" w:rsidRDefault="00B22AC9" w:rsidP="00B53E51">
      <w:pPr>
        <w:pStyle w:val="DBulletlevel1"/>
        <w:spacing w:line="276" w:lineRule="auto"/>
        <w:rPr>
          <w:noProof w:val="0"/>
        </w:rPr>
      </w:pPr>
      <w:r w:rsidRPr="00866D96">
        <w:rPr>
          <w:noProof w:val="0"/>
        </w:rPr>
        <w:t>The private sector should be encouraged to be involved in the biomass sector through organized markets backed up by effective regulation</w:t>
      </w:r>
      <w:r w:rsidR="004E0D38" w:rsidRPr="00866D96">
        <w:rPr>
          <w:noProof w:val="0"/>
        </w:rPr>
        <w:t>.</w:t>
      </w:r>
    </w:p>
    <w:p w14:paraId="429C33EB" w14:textId="77777777" w:rsidR="00B22AC9" w:rsidRPr="00866D96" w:rsidRDefault="00B22AC9" w:rsidP="00B53E51">
      <w:pPr>
        <w:pStyle w:val="DBulletlevel1"/>
        <w:spacing w:line="276" w:lineRule="auto"/>
        <w:rPr>
          <w:noProof w:val="0"/>
        </w:rPr>
      </w:pPr>
      <w:r w:rsidRPr="00866D96">
        <w:rPr>
          <w:noProof w:val="0"/>
        </w:rPr>
        <w:t>Institutional mechanisms should be put in place such that the biomass sector becomes a formal sector rather than the informal sector in which it is currently operating</w:t>
      </w:r>
      <w:r w:rsidR="004E0D38" w:rsidRPr="00866D96">
        <w:rPr>
          <w:noProof w:val="0"/>
        </w:rPr>
        <w:t>.</w:t>
      </w:r>
    </w:p>
    <w:p w14:paraId="7D808C71" w14:textId="77777777" w:rsidR="00B22AC9" w:rsidRPr="00866D96" w:rsidRDefault="00B22AC9" w:rsidP="00B53E51">
      <w:pPr>
        <w:pStyle w:val="DBulletlevel1"/>
        <w:spacing w:line="276" w:lineRule="auto"/>
        <w:rPr>
          <w:noProof w:val="0"/>
        </w:rPr>
      </w:pPr>
      <w:r w:rsidRPr="00866D96">
        <w:rPr>
          <w:noProof w:val="0"/>
        </w:rPr>
        <w:t xml:space="preserve">The </w:t>
      </w:r>
      <w:r w:rsidR="00983ED1" w:rsidRPr="00866D96">
        <w:rPr>
          <w:noProof w:val="0"/>
        </w:rPr>
        <w:t>g</w:t>
      </w:r>
      <w:r w:rsidRPr="00866D96">
        <w:rPr>
          <w:noProof w:val="0"/>
        </w:rPr>
        <w:t>overnment and NGOS should play their rightful role of policy and advocacy respectively</w:t>
      </w:r>
      <w:r w:rsidR="004E0D38" w:rsidRPr="00866D96">
        <w:rPr>
          <w:noProof w:val="0"/>
        </w:rPr>
        <w:t>.</w:t>
      </w:r>
    </w:p>
    <w:p w14:paraId="4798D598" w14:textId="77777777" w:rsidR="00B22AC9" w:rsidRPr="00866D96" w:rsidRDefault="00B22AC9" w:rsidP="00B53E51">
      <w:pPr>
        <w:spacing w:line="276" w:lineRule="auto"/>
      </w:pPr>
      <w:r w:rsidRPr="00866D96">
        <w:t>Currently, there is a Cook Stoves Road Map Program whose objective is to accelerate the uptake of clean and efficient stoves to 2 million households by 2020. The program period is January 2015 to December 2017. The partners in the program include the National Cook Stoves Taskforce, Department of Energy, Department of Forestry, Private Sector, Civil society organizations and Development partners</w:t>
      </w:r>
      <w:r w:rsidR="004E0D38" w:rsidRPr="00866D96">
        <w:t xml:space="preserve">. </w:t>
      </w:r>
      <w:r w:rsidRPr="00866D96">
        <w:t>The program will catalyse sustained uptake of clean and efficient stoves in Malawi in order to save energy and reduce smoke emissions for improved cooking environment in Malawi households. Specifically the expected outputs of the programme include the following</w:t>
      </w:r>
      <w:r w:rsidRPr="00866D96">
        <w:rPr>
          <w:rStyle w:val="FootnoteReference"/>
        </w:rPr>
        <w:footnoteReference w:id="25"/>
      </w:r>
      <w:r w:rsidRPr="00866D96">
        <w:t>:</w:t>
      </w:r>
    </w:p>
    <w:p w14:paraId="4D46FC83" w14:textId="77777777" w:rsidR="00B22AC9" w:rsidRPr="00866D96" w:rsidRDefault="00B22AC9" w:rsidP="00B53E51">
      <w:pPr>
        <w:pStyle w:val="DBulletlevel1"/>
        <w:spacing w:line="276" w:lineRule="auto"/>
        <w:rPr>
          <w:noProof w:val="0"/>
        </w:rPr>
      </w:pPr>
      <w:r w:rsidRPr="00866D96">
        <w:rPr>
          <w:noProof w:val="0"/>
        </w:rPr>
        <w:t>National Cook Stoves Taskforce strengthened and functional</w:t>
      </w:r>
      <w:r w:rsidR="004E0D38" w:rsidRPr="00866D96">
        <w:rPr>
          <w:noProof w:val="0"/>
        </w:rPr>
        <w:t>.</w:t>
      </w:r>
    </w:p>
    <w:p w14:paraId="375214B1" w14:textId="77777777" w:rsidR="00B22AC9" w:rsidRPr="00866D96" w:rsidRDefault="00B22AC9" w:rsidP="00B53E51">
      <w:pPr>
        <w:pStyle w:val="DBulletlevel1"/>
        <w:spacing w:line="276" w:lineRule="auto"/>
        <w:rPr>
          <w:noProof w:val="0"/>
        </w:rPr>
      </w:pPr>
      <w:r w:rsidRPr="00866D96">
        <w:rPr>
          <w:noProof w:val="0"/>
        </w:rPr>
        <w:t>Cook stoves standards and testing mechanisms put in place</w:t>
      </w:r>
      <w:r w:rsidR="004E0D38" w:rsidRPr="00866D96">
        <w:rPr>
          <w:noProof w:val="0"/>
        </w:rPr>
        <w:t>.</w:t>
      </w:r>
    </w:p>
    <w:p w14:paraId="62F0A1BE" w14:textId="77777777" w:rsidR="00B22AC9" w:rsidRPr="00866D96" w:rsidRDefault="00B22AC9" w:rsidP="00B53E51">
      <w:pPr>
        <w:pStyle w:val="DBulletlevel1"/>
        <w:spacing w:line="276" w:lineRule="auto"/>
        <w:rPr>
          <w:noProof w:val="0"/>
        </w:rPr>
      </w:pPr>
      <w:r w:rsidRPr="00866D96">
        <w:rPr>
          <w:noProof w:val="0"/>
        </w:rPr>
        <w:t>Relevant policy and regulatory frameworks revised and harmonized in tandem with current alternative energy situation</w:t>
      </w:r>
      <w:r w:rsidR="004E0D38" w:rsidRPr="00866D96">
        <w:rPr>
          <w:noProof w:val="0"/>
        </w:rPr>
        <w:t>.</w:t>
      </w:r>
    </w:p>
    <w:p w14:paraId="4479CEE3" w14:textId="77777777" w:rsidR="00B22AC9" w:rsidRPr="00866D96" w:rsidRDefault="00B22AC9" w:rsidP="00B53E51">
      <w:pPr>
        <w:pStyle w:val="DBulletlevel1"/>
        <w:spacing w:line="276" w:lineRule="auto"/>
        <w:rPr>
          <w:noProof w:val="0"/>
        </w:rPr>
      </w:pPr>
      <w:r w:rsidRPr="00866D96">
        <w:rPr>
          <w:noProof w:val="0"/>
        </w:rPr>
        <w:t>Cook stoves technologies promoted on basis of evidence from consistent testing results</w:t>
      </w:r>
      <w:r w:rsidR="004E0D38" w:rsidRPr="00866D96">
        <w:rPr>
          <w:noProof w:val="0"/>
        </w:rPr>
        <w:t>.</w:t>
      </w:r>
    </w:p>
    <w:p w14:paraId="1002C4A4" w14:textId="77777777" w:rsidR="00B22AC9" w:rsidRPr="00866D96" w:rsidRDefault="00B22AC9" w:rsidP="00B53E51">
      <w:pPr>
        <w:pStyle w:val="DBulletlevel1"/>
        <w:spacing w:line="276" w:lineRule="auto"/>
        <w:rPr>
          <w:noProof w:val="0"/>
        </w:rPr>
      </w:pPr>
      <w:r w:rsidRPr="00866D96">
        <w:rPr>
          <w:noProof w:val="0"/>
        </w:rPr>
        <w:t>National capacity of cook stoves players strengthened</w:t>
      </w:r>
      <w:r w:rsidR="004E0D38" w:rsidRPr="00866D96">
        <w:rPr>
          <w:noProof w:val="0"/>
        </w:rPr>
        <w:t>.</w:t>
      </w:r>
    </w:p>
    <w:p w14:paraId="553E89D0" w14:textId="77777777" w:rsidR="00B22AC9" w:rsidRPr="00866D96" w:rsidRDefault="00B22AC9" w:rsidP="00B53E51">
      <w:pPr>
        <w:pStyle w:val="DBulletlevel1"/>
        <w:spacing w:line="276" w:lineRule="auto"/>
        <w:rPr>
          <w:noProof w:val="0"/>
        </w:rPr>
      </w:pPr>
      <w:r w:rsidRPr="00866D96">
        <w:rPr>
          <w:noProof w:val="0"/>
        </w:rPr>
        <w:t>Delivery models and financing mechanisms for catalysing mass uptake of cook stoves in place</w:t>
      </w:r>
      <w:r w:rsidR="004E0D38" w:rsidRPr="00866D96">
        <w:rPr>
          <w:noProof w:val="0"/>
        </w:rPr>
        <w:t>.</w:t>
      </w:r>
    </w:p>
    <w:p w14:paraId="5B39E047" w14:textId="77777777" w:rsidR="00B22AC9" w:rsidRPr="00866D96" w:rsidRDefault="00B22AC9" w:rsidP="00B53E51">
      <w:pPr>
        <w:spacing w:line="276" w:lineRule="auto"/>
      </w:pPr>
      <w:r w:rsidRPr="00866D96">
        <w:t>The Cook Stove Road Map recognizes that the rolling out of the road map to achieve the set target is achievable by promotion of different types of cook stoves to suit the different market segments. It is said in the road map that no single type of stove can be promoted to achieve the set target. It is therefore imperative that all institutions involved in the promotion of efficient cook stoves should be encouraged to produce more of their type of stove. The capacity of local manufacturers of stoves should be enhanced such that efficient stoves that were earlier imported should be locally produced. The Department of Energy and NGOS should lobby with the Ministry of Finance to reduce taxes on materials for production of efficient cook stoves.</w:t>
      </w:r>
    </w:p>
    <w:p w14:paraId="565DFD53" w14:textId="77777777" w:rsidR="00B22AC9" w:rsidRPr="00866D96" w:rsidRDefault="00B22AC9" w:rsidP="00B53E51">
      <w:pPr>
        <w:spacing w:line="276" w:lineRule="auto"/>
      </w:pPr>
      <w:r w:rsidRPr="00866D96">
        <w:t xml:space="preserve">It is estimated that there are more than 500,000 clean and efficient cook stoves being used in Malawi if we consider the number of electrified households in Malawi which were 308, 278 in June, 2015.This is so because most electrified households use clean, efficient cook stoves besides electric cookers, hot plates and LPG </w:t>
      </w:r>
      <w:r w:rsidR="0060579C">
        <w:t>stoves</w:t>
      </w:r>
      <w:r w:rsidRPr="00866D96">
        <w:t>. However, many electrified households use charcoal as well.</w:t>
      </w:r>
    </w:p>
    <w:p w14:paraId="6ECC4AD1" w14:textId="77777777" w:rsidR="00603DE0" w:rsidRPr="006122EE" w:rsidRDefault="00B509DD" w:rsidP="00B53E51">
      <w:pPr>
        <w:pStyle w:val="Style1"/>
        <w:spacing w:line="276" w:lineRule="auto"/>
      </w:pPr>
      <w:bookmarkStart w:id="127" w:name="_Toc441863711"/>
      <w:r w:rsidRPr="006122EE">
        <w:t>Existing plans and projections to 2030</w:t>
      </w:r>
      <w:bookmarkEnd w:id="127"/>
    </w:p>
    <w:p w14:paraId="2E5F22D2" w14:textId="77777777" w:rsidR="009600A1" w:rsidRPr="00866D96" w:rsidRDefault="00B509DD" w:rsidP="00B53E51">
      <w:pPr>
        <w:spacing w:line="276" w:lineRule="auto"/>
      </w:pPr>
      <w:r w:rsidRPr="00866D96">
        <w:t>Biomass will remain a dominant form of energy for Malawi for many years, but its contribution will significantly decrease in the energy mix from over 90% in 2000 to below 50% by 2030</w:t>
      </w:r>
      <w:r w:rsidR="00F84911" w:rsidRPr="00866D96">
        <w:t xml:space="preserve"> as a result of major efforts to supply </w:t>
      </w:r>
      <w:r w:rsidR="00162DFB">
        <w:t xml:space="preserve">alternatives in the form of </w:t>
      </w:r>
      <w:r w:rsidR="00F84911" w:rsidRPr="00866D96">
        <w:t>electricity, LPG and biogas</w:t>
      </w:r>
      <w:r w:rsidR="004E0D38" w:rsidRPr="00866D96">
        <w:t xml:space="preserve">. </w:t>
      </w:r>
      <w:r w:rsidRPr="00866D96">
        <w:t xml:space="preserve">In addition, there will be more Malawians using energy-efficient biomass </w:t>
      </w:r>
      <w:r w:rsidR="00162DFB">
        <w:t>as</w:t>
      </w:r>
      <w:r w:rsidR="004B7243" w:rsidRPr="00866D96">
        <w:t xml:space="preserve"> the Cook Stoves Road M</w:t>
      </w:r>
      <w:r w:rsidRPr="00866D96">
        <w:t xml:space="preserve">ap </w:t>
      </w:r>
      <w:r w:rsidR="00162DFB">
        <w:t xml:space="preserve">is implemented. The Road Map’s </w:t>
      </w:r>
      <w:r w:rsidRPr="00866D96">
        <w:t xml:space="preserve">objective is to increase the uptake number of </w:t>
      </w:r>
      <w:r w:rsidR="00162DFB">
        <w:t xml:space="preserve">efficient </w:t>
      </w:r>
      <w:r w:rsidRPr="00866D96">
        <w:t xml:space="preserve">cook stoves to 2 million by 2020. </w:t>
      </w:r>
      <w:r w:rsidR="009600A1" w:rsidRPr="00866D96">
        <w:t xml:space="preserve">By 2030, there will be 5 million efficient stoves disseminated in the country which will translate into 100% access to efficient cook stoves. </w:t>
      </w:r>
    </w:p>
    <w:p w14:paraId="12C7A58A" w14:textId="77777777" w:rsidR="00B509DD" w:rsidRPr="00866D96" w:rsidRDefault="00B509DD" w:rsidP="00B53E51">
      <w:pPr>
        <w:spacing w:line="276" w:lineRule="auto"/>
      </w:pPr>
      <w:r w:rsidRPr="00866D96">
        <w:t xml:space="preserve"> MAREP will continue extending the grid to rural trading centres and in turn this could influence fuel switching i.e. away from biomass towards electricity for cooking provided the grid extension is backed by adequate investment </w:t>
      </w:r>
      <w:r w:rsidR="00505598" w:rsidRPr="00866D96">
        <w:t>in new</w:t>
      </w:r>
      <w:r w:rsidRPr="00866D96">
        <w:t xml:space="preserve"> electricity generation. ESCOM has launched the Accelerated Access to Electricity Project which would also add on the number of consumers using electricity for cooking by way of fuel switching. </w:t>
      </w:r>
      <w:r w:rsidR="009600A1" w:rsidRPr="00866D96">
        <w:t>Currently 2.5% of households use electricity for cooking (HIS by NSO</w:t>
      </w:r>
      <w:r w:rsidR="00540810" w:rsidRPr="006122EE">
        <w:t>, 2011</w:t>
      </w:r>
      <w:r w:rsidR="009600A1" w:rsidRPr="00866D96">
        <w:t>). This represents 85,000 households. By 2030 there will be 135,000.00 households using electricity for cooking under BAU scenario. Under BAU the electricity access will be at 22%. However if we put a target of 10% of electrified households at 30% electricity access using electricity for cooking, there will be 540,000 households using electricity for cooking by 2030.</w:t>
      </w:r>
      <w:r w:rsidR="006D07F0" w:rsidRPr="00866D96">
        <w:t xml:space="preserve">  </w:t>
      </w:r>
      <w:r w:rsidR="00935FDE" w:rsidRPr="00866D96">
        <w:t xml:space="preserve"> </w:t>
      </w:r>
    </w:p>
    <w:p w14:paraId="10264B0B" w14:textId="77777777" w:rsidR="007F020F" w:rsidRPr="00866D96" w:rsidRDefault="007F020F" w:rsidP="007F020F">
      <w:r w:rsidRPr="00866D96">
        <w:t xml:space="preserve">There </w:t>
      </w:r>
      <w:r w:rsidR="00FD1A12" w:rsidRPr="00866D96">
        <w:t>is no data on the amount of LPG</w:t>
      </w:r>
      <w:r w:rsidRPr="00866D96">
        <w:t xml:space="preserve"> and biogas use for cooking. Nor is there </w:t>
      </w:r>
      <w:r w:rsidR="00162DFB">
        <w:t xml:space="preserve">good </w:t>
      </w:r>
      <w:r w:rsidRPr="00866D96">
        <w:t xml:space="preserve">data on the number of </w:t>
      </w:r>
      <w:r w:rsidR="00FD1A12" w:rsidRPr="00866D96">
        <w:t>LPG or biogas users. We know LPG</w:t>
      </w:r>
      <w:r w:rsidRPr="00866D96">
        <w:t xml:space="preserve"> is used mainly by more affluent consumers and restaurants, but this information is anecdotal</w:t>
      </w:r>
      <w:r w:rsidR="009600A1" w:rsidRPr="00866D96">
        <w:t xml:space="preserve">. However we can estimate that 0.2% </w:t>
      </w:r>
      <w:r w:rsidR="0060579C">
        <w:t xml:space="preserve">of households </w:t>
      </w:r>
      <w:r w:rsidR="009600A1" w:rsidRPr="00866D96">
        <w:t>use LPG for cooking if we use the data provided by NSO</w:t>
      </w:r>
      <w:r w:rsidR="004E0D38" w:rsidRPr="00866D96">
        <w:t xml:space="preserve"> </w:t>
      </w:r>
      <w:r w:rsidR="0060579C">
        <w:t>(</w:t>
      </w:r>
      <w:r w:rsidR="004E0D38" w:rsidRPr="00866D96">
        <w:t>2011</w:t>
      </w:r>
      <w:r w:rsidR="0060579C">
        <w:t>)</w:t>
      </w:r>
      <w:r w:rsidR="009600A1" w:rsidRPr="00866D96">
        <w:t>. This translates int</w:t>
      </w:r>
      <w:r w:rsidR="00FD1A12" w:rsidRPr="00866D96">
        <w:t xml:space="preserve">o </w:t>
      </w:r>
      <w:r w:rsidR="0060579C">
        <w:t xml:space="preserve">roughly </w:t>
      </w:r>
      <w:r w:rsidR="00FD1A12" w:rsidRPr="00866D96">
        <w:t xml:space="preserve">6,800 households </w:t>
      </w:r>
      <w:r w:rsidR="0060579C">
        <w:t>that use</w:t>
      </w:r>
      <w:r w:rsidR="00FD1A12" w:rsidRPr="00866D96">
        <w:t xml:space="preserve"> LPG</w:t>
      </w:r>
      <w:r w:rsidR="009600A1" w:rsidRPr="00866D96">
        <w:t xml:space="preserve">. </w:t>
      </w:r>
      <w:r w:rsidR="0060579C">
        <w:t>With regard to</w:t>
      </w:r>
      <w:r w:rsidR="009600A1" w:rsidRPr="00866D96">
        <w:t xml:space="preserve"> biogas plants</w:t>
      </w:r>
      <w:r w:rsidR="0060579C">
        <w:t>,</w:t>
      </w:r>
      <w:r w:rsidR="009600A1" w:rsidRPr="00866D96">
        <w:t xml:space="preserve"> </w:t>
      </w:r>
      <w:r w:rsidR="0060579C">
        <w:t xml:space="preserve">very few are in operation and </w:t>
      </w:r>
      <w:r w:rsidR="009600A1" w:rsidRPr="00866D96">
        <w:t xml:space="preserve">the </w:t>
      </w:r>
      <w:r w:rsidR="0060579C">
        <w:t xml:space="preserve">SE4ALL </w:t>
      </w:r>
      <w:r w:rsidR="009600A1" w:rsidRPr="00866D96">
        <w:t xml:space="preserve">stakeholders agreed to </w:t>
      </w:r>
      <w:r w:rsidR="0060579C">
        <w:t>an estimate</w:t>
      </w:r>
      <w:r w:rsidR="009600A1" w:rsidRPr="00866D96">
        <w:t xml:space="preserve"> of 50 </w:t>
      </w:r>
      <w:r w:rsidR="0060579C">
        <w:t xml:space="preserve">households using biogas plants as a </w:t>
      </w:r>
      <w:r w:rsidR="009600A1" w:rsidRPr="00866D96">
        <w:t xml:space="preserve">baseline </w:t>
      </w:r>
      <w:r w:rsidR="0060579C">
        <w:t>figure,</w:t>
      </w:r>
      <w:r w:rsidR="009600A1" w:rsidRPr="00866D96">
        <w:t xml:space="preserve"> while the target </w:t>
      </w:r>
      <w:r w:rsidR="0060579C">
        <w:t>of</w:t>
      </w:r>
      <w:r w:rsidR="009600A1" w:rsidRPr="00866D96">
        <w:t xml:space="preserve"> 2,</w:t>
      </w:r>
      <w:r w:rsidR="0060579C">
        <w:t>000 in 2030 was thought to be ambitious but reasonable if government-supported technical assistance and financial incentives are put in place</w:t>
      </w:r>
      <w:r w:rsidR="004E0D38" w:rsidRPr="00866D96">
        <w:t>.</w:t>
      </w:r>
    </w:p>
    <w:p w14:paraId="2819A968" w14:textId="77777777" w:rsidR="00B53E51" w:rsidRDefault="007F020F">
      <w:r w:rsidRPr="00866D96">
        <w:t xml:space="preserve">The </w:t>
      </w:r>
      <w:r w:rsidR="00983ED1" w:rsidRPr="00866D96">
        <w:t>g</w:t>
      </w:r>
      <w:r w:rsidRPr="00866D96">
        <w:t>overnment</w:t>
      </w:r>
      <w:r w:rsidR="00983ED1" w:rsidRPr="00866D96">
        <w:t>’s</w:t>
      </w:r>
      <w:r w:rsidRPr="00866D96">
        <w:t xml:space="preserve"> </w:t>
      </w:r>
      <w:r w:rsidR="00983ED1" w:rsidRPr="00866D96">
        <w:t>p</w:t>
      </w:r>
      <w:r w:rsidRPr="00866D96">
        <w:t xml:space="preserve">olicy </w:t>
      </w:r>
      <w:r w:rsidR="00983ED1" w:rsidRPr="00866D96">
        <w:t>calls for</w:t>
      </w:r>
      <w:r w:rsidRPr="00866D96">
        <w:t xml:space="preserve"> Malawi </w:t>
      </w:r>
      <w:r w:rsidR="00983ED1" w:rsidRPr="00866D96">
        <w:t>to</w:t>
      </w:r>
      <w:r w:rsidRPr="00866D96">
        <w:t xml:space="preserve"> switch from a biomass-based energy economy to a modern energy economy. This entails a high level of investment in alternatives to biomass, such as LPG, biogas and electric cook</w:t>
      </w:r>
      <w:r w:rsidR="004E04E3" w:rsidRPr="00866D96">
        <w:t>er</w:t>
      </w:r>
      <w:r w:rsidRPr="00866D96">
        <w:t>s</w:t>
      </w:r>
      <w:r w:rsidR="00983ED1" w:rsidRPr="00866D96">
        <w:t>,</w:t>
      </w:r>
      <w:r w:rsidRPr="00866D96">
        <w:t xml:space="preserve"> as well as the use of </w:t>
      </w:r>
      <w:r w:rsidR="00983ED1" w:rsidRPr="00866D96">
        <w:t>more energy-</w:t>
      </w:r>
      <w:r w:rsidRPr="00866D96">
        <w:t>efficient charcoal- and firewood-burning stoves. The Government of Malawi, through various stakeholders (mainly NGOS), is encouraging the usage of clean and efficient cooking stoves</w:t>
      </w:r>
      <w:r w:rsidR="004E0D38" w:rsidRPr="00866D96">
        <w:t xml:space="preserve">. </w:t>
      </w:r>
    </w:p>
    <w:p w14:paraId="7B84CE66" w14:textId="77777777" w:rsidR="0051349C" w:rsidRDefault="00A962FD" w:rsidP="00866D96">
      <w:pPr>
        <w:pStyle w:val="BTitle3"/>
        <w:rPr>
          <w:noProof w:val="0"/>
          <w:lang w:val="en-GB"/>
        </w:rPr>
      </w:pPr>
      <w:bookmarkStart w:id="128" w:name="_Toc481614896"/>
      <w:r w:rsidRPr="00866D96">
        <w:rPr>
          <w:noProof w:val="0"/>
          <w:lang w:val="en-GB"/>
        </w:rPr>
        <w:t>What is the target for 2030?</w:t>
      </w:r>
      <w:bookmarkEnd w:id="128"/>
      <w:r w:rsidRPr="00866D96">
        <w:rPr>
          <w:noProof w:val="0"/>
          <w:lang w:val="en-GB"/>
        </w:rPr>
        <w:t xml:space="preserve"> </w:t>
      </w:r>
      <w:bookmarkStart w:id="129" w:name="_Ref443662931"/>
    </w:p>
    <w:p w14:paraId="30EF142B" w14:textId="77777777" w:rsidR="00C25BE0" w:rsidRPr="00C25BE0" w:rsidRDefault="00C25BE0" w:rsidP="00C25BE0">
      <w:pPr>
        <w:rPr>
          <w:lang w:eastAsia="en-US"/>
        </w:rPr>
      </w:pPr>
      <w:r>
        <w:rPr>
          <w:lang w:eastAsia="en-US"/>
        </w:rPr>
        <w:t>The following targets were established as a result of consultations with stakeholders regarding the current state of affairs and what targets might be achievable given sufficient technical, financial and regulatory support.</w:t>
      </w:r>
      <w:r w:rsidR="007C6EEC">
        <w:rPr>
          <w:lang w:eastAsia="en-US"/>
        </w:rPr>
        <w:t xml:space="preserve"> As can be seen in the table below, efficient cook stoves have the highest target in terms of sheer numbers of units. The 2020 target of 2 million efficient cook stoves is the same as the National Energy Plan’s (NEP) target, although the 5 million target in 2030 is higher than the NEP target, which is 4 million by 2035.</w:t>
      </w:r>
      <w:r w:rsidR="00C94367">
        <w:rPr>
          <w:lang w:eastAsia="en-US"/>
        </w:rPr>
        <w:t xml:space="preserve"> Stakeholders in the SE4ALL Energy Access Working Group thought the 5 million target for 2030 was very ambitious but achievable if sufficient support was in place for cook stove enterprise development, training for entrepreneurs, and public awareness and marketing campaigns.</w:t>
      </w:r>
    </w:p>
    <w:p w14:paraId="5EE58BDD" w14:textId="77777777" w:rsidR="00B509DD" w:rsidRPr="006122EE" w:rsidRDefault="00B509DD" w:rsidP="00B509DD">
      <w:pPr>
        <w:pStyle w:val="Caption"/>
      </w:pPr>
      <w:bookmarkStart w:id="130" w:name="_Ref481600697"/>
      <w:bookmarkStart w:id="131" w:name="_Toc481614997"/>
      <w:r w:rsidRPr="006122EE">
        <w:t xml:space="preserve">Table </w:t>
      </w:r>
      <w:r w:rsidR="00DC7D8C">
        <w:fldChar w:fldCharType="begin"/>
      </w:r>
      <w:r w:rsidR="00DC7D8C">
        <w:instrText xml:space="preserve"> SEQ Table \* ARABIC </w:instrText>
      </w:r>
      <w:r w:rsidR="00DC7D8C">
        <w:fldChar w:fldCharType="separate"/>
      </w:r>
      <w:r w:rsidR="00866D96">
        <w:rPr>
          <w:noProof/>
        </w:rPr>
        <w:t>12</w:t>
      </w:r>
      <w:r w:rsidR="00DC7D8C">
        <w:rPr>
          <w:noProof/>
        </w:rPr>
        <w:fldChar w:fldCharType="end"/>
      </w:r>
      <w:bookmarkEnd w:id="129"/>
      <w:bookmarkEnd w:id="130"/>
      <w:r w:rsidR="00505598" w:rsidRPr="00866D96">
        <w:t>: Proposed targets for Energy Access through 2030</w:t>
      </w:r>
      <w:bookmarkEnd w:id="131"/>
    </w:p>
    <w:tbl>
      <w:tblPr>
        <w:tblStyle w:val="GridTable4-Accent31"/>
        <w:tblW w:w="0" w:type="auto"/>
        <w:jc w:val="center"/>
        <w:tblLook w:val="04A0" w:firstRow="1" w:lastRow="0" w:firstColumn="1" w:lastColumn="0" w:noHBand="0" w:noVBand="1"/>
      </w:tblPr>
      <w:tblGrid>
        <w:gridCol w:w="1408"/>
        <w:gridCol w:w="1238"/>
        <w:gridCol w:w="1059"/>
        <w:gridCol w:w="848"/>
        <w:gridCol w:w="1047"/>
        <w:gridCol w:w="1172"/>
        <w:gridCol w:w="83"/>
        <w:gridCol w:w="1191"/>
        <w:gridCol w:w="59"/>
        <w:gridCol w:w="1289"/>
      </w:tblGrid>
      <w:tr w:rsidR="00EB467A" w:rsidRPr="006122EE" w14:paraId="275D7A9F" w14:textId="77777777" w:rsidTr="00EB467A">
        <w:trPr>
          <w:cnfStyle w:val="100000000000" w:firstRow="1" w:lastRow="0" w:firstColumn="0" w:lastColumn="0" w:oddVBand="0" w:evenVBand="0" w:oddHBand="0"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455" w:type="dxa"/>
          </w:tcPr>
          <w:p w14:paraId="273379C0" w14:textId="77777777" w:rsidR="00EB467A" w:rsidRPr="00866D96" w:rsidRDefault="00EB467A" w:rsidP="00866D96">
            <w:pPr>
              <w:jc w:val="left"/>
            </w:pPr>
            <w:r w:rsidRPr="00866D96">
              <w:t xml:space="preserve">Type of energy technology </w:t>
            </w:r>
          </w:p>
        </w:tc>
        <w:tc>
          <w:tcPr>
            <w:tcW w:w="1238" w:type="dxa"/>
          </w:tcPr>
          <w:p w14:paraId="7CD273C4" w14:textId="77777777" w:rsidR="00EB467A" w:rsidRPr="00866D96" w:rsidRDefault="00EB467A" w:rsidP="00B509DD">
            <w:pPr>
              <w:cnfStyle w:val="100000000000" w:firstRow="1" w:lastRow="0" w:firstColumn="0" w:lastColumn="0" w:oddVBand="0" w:evenVBand="0" w:oddHBand="0" w:evenHBand="0" w:firstRowFirstColumn="0" w:firstRowLastColumn="0" w:lastRowFirstColumn="0" w:lastRowLastColumn="0"/>
            </w:pPr>
            <w:r>
              <w:t>Percent of total population with access, 2016</w:t>
            </w:r>
          </w:p>
        </w:tc>
        <w:tc>
          <w:tcPr>
            <w:tcW w:w="1067" w:type="dxa"/>
          </w:tcPr>
          <w:p w14:paraId="30B02F2C" w14:textId="77777777" w:rsidR="00EB467A" w:rsidRPr="00866D96" w:rsidRDefault="00EB467A" w:rsidP="00B509DD">
            <w:pPr>
              <w:cnfStyle w:val="100000000000" w:firstRow="1" w:lastRow="0" w:firstColumn="0" w:lastColumn="0" w:oddVBand="0" w:evenVBand="0" w:oddHBand="0" w:evenHBand="0" w:firstRowFirstColumn="0" w:firstRowLastColumn="0" w:lastRowFirstColumn="0" w:lastRowLastColumn="0"/>
            </w:pPr>
            <w:r w:rsidRPr="00866D96">
              <w:t>Baseline 2016</w:t>
            </w:r>
          </w:p>
        </w:tc>
        <w:tc>
          <w:tcPr>
            <w:tcW w:w="856" w:type="dxa"/>
          </w:tcPr>
          <w:p w14:paraId="720E8652" w14:textId="77777777" w:rsidR="00EB467A" w:rsidRPr="00866D96" w:rsidRDefault="00EB467A" w:rsidP="00B509DD">
            <w:pPr>
              <w:cnfStyle w:val="100000000000" w:firstRow="1" w:lastRow="0" w:firstColumn="0" w:lastColumn="0" w:oddVBand="0" w:evenVBand="0" w:oddHBand="0" w:evenHBand="0" w:firstRowFirstColumn="0" w:firstRowLastColumn="0" w:lastRowFirstColumn="0" w:lastRowLastColumn="0"/>
            </w:pPr>
            <w:r w:rsidRPr="00866D96">
              <w:t>Target 2020</w:t>
            </w:r>
          </w:p>
        </w:tc>
        <w:tc>
          <w:tcPr>
            <w:tcW w:w="1115" w:type="dxa"/>
          </w:tcPr>
          <w:p w14:paraId="3243E1BD" w14:textId="77777777" w:rsidR="00EB467A" w:rsidRPr="00866D96" w:rsidRDefault="00EB467A" w:rsidP="00B509DD">
            <w:pPr>
              <w:cnfStyle w:val="100000000000" w:firstRow="1" w:lastRow="0" w:firstColumn="0" w:lastColumn="0" w:oddVBand="0" w:evenVBand="0" w:oddHBand="0" w:evenHBand="0" w:firstRowFirstColumn="0" w:firstRowLastColumn="0" w:lastRowFirstColumn="0" w:lastRowLastColumn="0"/>
            </w:pPr>
            <w:r w:rsidRPr="00866D96">
              <w:t>Target 2025</w:t>
            </w:r>
          </w:p>
        </w:tc>
        <w:tc>
          <w:tcPr>
            <w:tcW w:w="1211" w:type="dxa"/>
          </w:tcPr>
          <w:p w14:paraId="7137E381" w14:textId="77777777" w:rsidR="00EB467A" w:rsidRPr="00866D96" w:rsidRDefault="00EB467A" w:rsidP="00B509DD">
            <w:pPr>
              <w:cnfStyle w:val="100000000000" w:firstRow="1" w:lastRow="0" w:firstColumn="0" w:lastColumn="0" w:oddVBand="0" w:evenVBand="0" w:oddHBand="0" w:evenHBand="0" w:firstRowFirstColumn="0" w:firstRowLastColumn="0" w:lastRowFirstColumn="0" w:lastRowLastColumn="0"/>
            </w:pPr>
            <w:r w:rsidRPr="00866D96">
              <w:t>Target 2030</w:t>
            </w:r>
          </w:p>
        </w:tc>
        <w:tc>
          <w:tcPr>
            <w:tcW w:w="1288" w:type="dxa"/>
            <w:gridSpan w:val="2"/>
          </w:tcPr>
          <w:p w14:paraId="081FAF86" w14:textId="77777777" w:rsidR="00EB467A" w:rsidRPr="00866D96" w:rsidRDefault="00EB467A" w:rsidP="00726AF3">
            <w:pPr>
              <w:jc w:val="left"/>
              <w:cnfStyle w:val="100000000000" w:firstRow="1" w:lastRow="0" w:firstColumn="0" w:lastColumn="0" w:oddVBand="0" w:evenVBand="0" w:oddHBand="0" w:evenHBand="0" w:firstRowFirstColumn="0" w:firstRowLastColumn="0" w:lastRowFirstColumn="0" w:lastRowLastColumn="0"/>
            </w:pPr>
            <w:r w:rsidRPr="00866D96">
              <w:t>Percent of rural population with access, 2030</w:t>
            </w:r>
          </w:p>
        </w:tc>
        <w:tc>
          <w:tcPr>
            <w:tcW w:w="1390" w:type="dxa"/>
            <w:gridSpan w:val="2"/>
          </w:tcPr>
          <w:p w14:paraId="429D4B45" w14:textId="77777777" w:rsidR="00EB467A" w:rsidRPr="00866D96" w:rsidRDefault="00EB467A" w:rsidP="00726AF3">
            <w:pPr>
              <w:jc w:val="left"/>
              <w:cnfStyle w:val="100000000000" w:firstRow="1" w:lastRow="0" w:firstColumn="0" w:lastColumn="0" w:oddVBand="0" w:evenVBand="0" w:oddHBand="0" w:evenHBand="0" w:firstRowFirstColumn="0" w:firstRowLastColumn="0" w:lastRowFirstColumn="0" w:lastRowLastColumn="0"/>
            </w:pPr>
            <w:r w:rsidRPr="00866D96">
              <w:t>Percent of total population with access, 2030</w:t>
            </w:r>
          </w:p>
        </w:tc>
      </w:tr>
      <w:tr w:rsidR="00EB467A" w:rsidRPr="006122EE" w14:paraId="4DEEF117" w14:textId="77777777" w:rsidTr="00EB467A">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55" w:type="dxa"/>
          </w:tcPr>
          <w:p w14:paraId="4835F676" w14:textId="77777777" w:rsidR="00EB467A" w:rsidRPr="00EB467A" w:rsidRDefault="00EB467A" w:rsidP="00B509DD">
            <w:pPr>
              <w:rPr>
                <w:sz w:val="18"/>
                <w:szCs w:val="18"/>
              </w:rPr>
            </w:pPr>
            <w:r w:rsidRPr="00EB467A">
              <w:rPr>
                <w:sz w:val="18"/>
                <w:szCs w:val="18"/>
              </w:rPr>
              <w:t>Electric Cookers</w:t>
            </w:r>
          </w:p>
        </w:tc>
        <w:tc>
          <w:tcPr>
            <w:tcW w:w="1238" w:type="dxa"/>
          </w:tcPr>
          <w:p w14:paraId="593CD865" w14:textId="77777777" w:rsidR="00EB467A" w:rsidRPr="00EB467A" w:rsidRDefault="00F766CE" w:rsidP="00EB467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&lt;1.0</w:t>
            </w:r>
          </w:p>
        </w:tc>
        <w:tc>
          <w:tcPr>
            <w:tcW w:w="1067" w:type="dxa"/>
          </w:tcPr>
          <w:p w14:paraId="0E467821" w14:textId="77777777" w:rsidR="00EB467A" w:rsidRPr="00EB467A" w:rsidRDefault="00EB467A" w:rsidP="002F71DA">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84</w:t>
            </w:r>
            <w:r>
              <w:rPr>
                <w:sz w:val="18"/>
                <w:szCs w:val="18"/>
              </w:rPr>
              <w:t>,</w:t>
            </w:r>
            <w:r w:rsidRPr="00EB467A">
              <w:rPr>
                <w:sz w:val="18"/>
                <w:szCs w:val="18"/>
              </w:rPr>
              <w:t>000</w:t>
            </w:r>
          </w:p>
        </w:tc>
        <w:tc>
          <w:tcPr>
            <w:tcW w:w="856" w:type="dxa"/>
          </w:tcPr>
          <w:p w14:paraId="407B50DF" w14:textId="77777777" w:rsidR="00EB467A" w:rsidRPr="00EB467A" w:rsidRDefault="00EB467A" w:rsidP="002E02D6">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94,000</w:t>
            </w:r>
          </w:p>
        </w:tc>
        <w:tc>
          <w:tcPr>
            <w:tcW w:w="1115" w:type="dxa"/>
          </w:tcPr>
          <w:p w14:paraId="55DA4E68" w14:textId="77777777" w:rsidR="00EB467A" w:rsidRPr="00EB467A" w:rsidRDefault="00EB467A" w:rsidP="004E04E3">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106,000</w:t>
            </w:r>
          </w:p>
        </w:tc>
        <w:tc>
          <w:tcPr>
            <w:tcW w:w="1294" w:type="dxa"/>
            <w:gridSpan w:val="2"/>
          </w:tcPr>
          <w:p w14:paraId="32FECBFE" w14:textId="77777777" w:rsidR="00EB467A" w:rsidRPr="00EB467A" w:rsidRDefault="00EB467A" w:rsidP="004E04E3">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135,000</w:t>
            </w:r>
            <w:r w:rsidRPr="00EB467A">
              <w:rPr>
                <w:rStyle w:val="FootnoteReference"/>
                <w:sz w:val="18"/>
                <w:szCs w:val="18"/>
              </w:rPr>
              <w:footnoteReference w:id="26"/>
            </w:r>
          </w:p>
        </w:tc>
        <w:tc>
          <w:tcPr>
            <w:tcW w:w="1271" w:type="dxa"/>
            <w:gridSpan w:val="2"/>
          </w:tcPr>
          <w:p w14:paraId="73E48B70" w14:textId="77777777" w:rsidR="00EB467A" w:rsidRPr="00EB467A" w:rsidRDefault="00EB467A" w:rsidP="004E04E3">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4.8</w:t>
            </w:r>
          </w:p>
        </w:tc>
        <w:tc>
          <w:tcPr>
            <w:tcW w:w="1324" w:type="dxa"/>
          </w:tcPr>
          <w:p w14:paraId="21C6426C" w14:textId="77777777" w:rsidR="00EB467A" w:rsidRPr="00EB467A" w:rsidRDefault="00EB467A" w:rsidP="004E04E3">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4.0</w:t>
            </w:r>
          </w:p>
        </w:tc>
      </w:tr>
      <w:tr w:rsidR="00EB467A" w:rsidRPr="006122EE" w14:paraId="39484239" w14:textId="77777777" w:rsidTr="00EB467A">
        <w:trPr>
          <w:trHeight w:val="480"/>
          <w:jc w:val="center"/>
        </w:trPr>
        <w:tc>
          <w:tcPr>
            <w:cnfStyle w:val="001000000000" w:firstRow="0" w:lastRow="0" w:firstColumn="1" w:lastColumn="0" w:oddVBand="0" w:evenVBand="0" w:oddHBand="0" w:evenHBand="0" w:firstRowFirstColumn="0" w:firstRowLastColumn="0" w:lastRowFirstColumn="0" w:lastRowLastColumn="0"/>
            <w:tcW w:w="1455" w:type="dxa"/>
          </w:tcPr>
          <w:p w14:paraId="62A3E09C" w14:textId="77777777" w:rsidR="00EB467A" w:rsidRPr="00EB467A" w:rsidRDefault="00EB467A" w:rsidP="00DB0A40">
            <w:pPr>
              <w:rPr>
                <w:sz w:val="18"/>
                <w:szCs w:val="18"/>
              </w:rPr>
            </w:pPr>
            <w:r w:rsidRPr="00EB467A">
              <w:rPr>
                <w:sz w:val="18"/>
                <w:szCs w:val="18"/>
              </w:rPr>
              <w:t>LPG stoves</w:t>
            </w:r>
          </w:p>
        </w:tc>
        <w:tc>
          <w:tcPr>
            <w:tcW w:w="1238" w:type="dxa"/>
          </w:tcPr>
          <w:p w14:paraId="43ECB808" w14:textId="77777777" w:rsidR="00EB467A" w:rsidRPr="00EB467A" w:rsidRDefault="00EB467A" w:rsidP="00EB467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&lt;1.0</w:t>
            </w:r>
          </w:p>
        </w:tc>
        <w:tc>
          <w:tcPr>
            <w:tcW w:w="1067" w:type="dxa"/>
          </w:tcPr>
          <w:p w14:paraId="6B5CF24E"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6,800.00</w:t>
            </w:r>
          </w:p>
        </w:tc>
        <w:tc>
          <w:tcPr>
            <w:tcW w:w="856" w:type="dxa"/>
          </w:tcPr>
          <w:p w14:paraId="67C88DA6"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15,000</w:t>
            </w:r>
          </w:p>
        </w:tc>
        <w:tc>
          <w:tcPr>
            <w:tcW w:w="1115" w:type="dxa"/>
          </w:tcPr>
          <w:p w14:paraId="13EF0820"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34,000</w:t>
            </w:r>
          </w:p>
        </w:tc>
        <w:tc>
          <w:tcPr>
            <w:tcW w:w="1294" w:type="dxa"/>
            <w:gridSpan w:val="2"/>
          </w:tcPr>
          <w:p w14:paraId="54177FE7"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54,000.00</w:t>
            </w:r>
            <w:r w:rsidRPr="00EB467A">
              <w:rPr>
                <w:rStyle w:val="FootnoteReference"/>
                <w:sz w:val="18"/>
                <w:szCs w:val="18"/>
              </w:rPr>
              <w:footnoteReference w:id="27"/>
            </w:r>
          </w:p>
        </w:tc>
        <w:tc>
          <w:tcPr>
            <w:tcW w:w="1271" w:type="dxa"/>
            <w:gridSpan w:val="2"/>
          </w:tcPr>
          <w:p w14:paraId="24929750"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2.0</w:t>
            </w:r>
          </w:p>
        </w:tc>
        <w:tc>
          <w:tcPr>
            <w:tcW w:w="1324" w:type="dxa"/>
          </w:tcPr>
          <w:p w14:paraId="26C39C19"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1.6</w:t>
            </w:r>
          </w:p>
        </w:tc>
      </w:tr>
      <w:tr w:rsidR="00EB467A" w:rsidRPr="006122EE" w14:paraId="378F5ACC" w14:textId="77777777" w:rsidTr="00EB467A">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455" w:type="dxa"/>
          </w:tcPr>
          <w:p w14:paraId="24216810" w14:textId="77777777" w:rsidR="00EB467A" w:rsidRPr="00EB467A" w:rsidRDefault="00EB467A" w:rsidP="005C0435">
            <w:pPr>
              <w:jc w:val="left"/>
              <w:rPr>
                <w:sz w:val="18"/>
                <w:szCs w:val="18"/>
              </w:rPr>
            </w:pPr>
            <w:r w:rsidRPr="00EB467A">
              <w:rPr>
                <w:sz w:val="18"/>
                <w:szCs w:val="18"/>
              </w:rPr>
              <w:t>Efficient cook stoves</w:t>
            </w:r>
          </w:p>
        </w:tc>
        <w:tc>
          <w:tcPr>
            <w:tcW w:w="1238" w:type="dxa"/>
          </w:tcPr>
          <w:p w14:paraId="30A2021C" w14:textId="77777777" w:rsidR="00EB467A" w:rsidRPr="00EB467A" w:rsidRDefault="00EB467A" w:rsidP="00EB467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067" w:type="dxa"/>
          </w:tcPr>
          <w:p w14:paraId="5237ACE9"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500,000</w:t>
            </w:r>
          </w:p>
        </w:tc>
        <w:tc>
          <w:tcPr>
            <w:tcW w:w="856" w:type="dxa"/>
          </w:tcPr>
          <w:p w14:paraId="3CF13E16" w14:textId="77777777" w:rsidR="00EB467A" w:rsidRPr="00EB467A" w:rsidRDefault="00EB467A" w:rsidP="004B0B4B">
            <w:pPr>
              <w:ind w:left="-70"/>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2 million</w:t>
            </w:r>
          </w:p>
        </w:tc>
        <w:tc>
          <w:tcPr>
            <w:tcW w:w="1115" w:type="dxa"/>
          </w:tcPr>
          <w:p w14:paraId="0DE7AADC"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3.5 million</w:t>
            </w:r>
          </w:p>
        </w:tc>
        <w:tc>
          <w:tcPr>
            <w:tcW w:w="1294" w:type="dxa"/>
            <w:gridSpan w:val="2"/>
          </w:tcPr>
          <w:p w14:paraId="0B927DBC" w14:textId="77777777" w:rsidR="00EB467A" w:rsidRPr="00EB467A" w:rsidRDefault="007C6EEC" w:rsidP="00B509D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EB467A" w:rsidRPr="00EB467A">
              <w:rPr>
                <w:sz w:val="18"/>
                <w:szCs w:val="18"/>
              </w:rPr>
              <w:t xml:space="preserve"> million</w:t>
            </w:r>
            <w:r w:rsidR="00EB467A" w:rsidRPr="00EB467A">
              <w:rPr>
                <w:rStyle w:val="FootnoteReference"/>
                <w:sz w:val="18"/>
                <w:szCs w:val="18"/>
              </w:rPr>
              <w:footnoteReference w:id="28"/>
            </w:r>
          </w:p>
        </w:tc>
        <w:tc>
          <w:tcPr>
            <w:tcW w:w="1271" w:type="dxa"/>
            <w:gridSpan w:val="2"/>
          </w:tcPr>
          <w:p w14:paraId="0DEE5789"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100</w:t>
            </w:r>
          </w:p>
        </w:tc>
        <w:tc>
          <w:tcPr>
            <w:tcW w:w="1324" w:type="dxa"/>
          </w:tcPr>
          <w:p w14:paraId="0BA0EC21"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100</w:t>
            </w:r>
          </w:p>
        </w:tc>
      </w:tr>
      <w:tr w:rsidR="00EB467A" w:rsidRPr="006122EE" w14:paraId="453ECDAC" w14:textId="77777777" w:rsidTr="00EB467A">
        <w:trPr>
          <w:trHeight w:val="575"/>
          <w:jc w:val="center"/>
        </w:trPr>
        <w:tc>
          <w:tcPr>
            <w:cnfStyle w:val="001000000000" w:firstRow="0" w:lastRow="0" w:firstColumn="1" w:lastColumn="0" w:oddVBand="0" w:evenVBand="0" w:oddHBand="0" w:evenHBand="0" w:firstRowFirstColumn="0" w:firstRowLastColumn="0" w:lastRowFirstColumn="0" w:lastRowLastColumn="0"/>
            <w:tcW w:w="1455" w:type="dxa"/>
          </w:tcPr>
          <w:p w14:paraId="119B0F6A" w14:textId="77777777" w:rsidR="00EB467A" w:rsidRPr="00EB467A" w:rsidRDefault="00EB467A" w:rsidP="00B509DD">
            <w:pPr>
              <w:rPr>
                <w:sz w:val="18"/>
                <w:szCs w:val="18"/>
              </w:rPr>
            </w:pPr>
            <w:r w:rsidRPr="00EB467A">
              <w:rPr>
                <w:sz w:val="18"/>
                <w:szCs w:val="18"/>
              </w:rPr>
              <w:t>Biogas</w:t>
            </w:r>
          </w:p>
        </w:tc>
        <w:tc>
          <w:tcPr>
            <w:tcW w:w="1238" w:type="dxa"/>
          </w:tcPr>
          <w:p w14:paraId="04AB1E0B" w14:textId="77777777" w:rsidR="00EB467A" w:rsidRPr="00EB467A" w:rsidRDefault="00EB467A" w:rsidP="00EB467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&lt;1.0</w:t>
            </w:r>
          </w:p>
        </w:tc>
        <w:tc>
          <w:tcPr>
            <w:tcW w:w="1067" w:type="dxa"/>
          </w:tcPr>
          <w:p w14:paraId="33AC38E1"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50</w:t>
            </w:r>
          </w:p>
        </w:tc>
        <w:tc>
          <w:tcPr>
            <w:tcW w:w="856" w:type="dxa"/>
          </w:tcPr>
          <w:p w14:paraId="710EE202" w14:textId="77777777" w:rsidR="00EB467A" w:rsidRPr="00EB467A" w:rsidRDefault="00EB467A" w:rsidP="002E02D6">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500</w:t>
            </w:r>
          </w:p>
        </w:tc>
        <w:tc>
          <w:tcPr>
            <w:tcW w:w="1115" w:type="dxa"/>
          </w:tcPr>
          <w:p w14:paraId="6301517F" w14:textId="77777777" w:rsidR="00EB467A" w:rsidRPr="00EB467A" w:rsidRDefault="00EB467A" w:rsidP="002E02D6">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1000</w:t>
            </w:r>
          </w:p>
        </w:tc>
        <w:tc>
          <w:tcPr>
            <w:tcW w:w="1294" w:type="dxa"/>
            <w:gridSpan w:val="2"/>
          </w:tcPr>
          <w:p w14:paraId="44A06F32"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2,000</w:t>
            </w:r>
          </w:p>
        </w:tc>
        <w:tc>
          <w:tcPr>
            <w:tcW w:w="1271" w:type="dxa"/>
            <w:gridSpan w:val="2"/>
          </w:tcPr>
          <w:p w14:paraId="59D6A6E1"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&lt;1.0</w:t>
            </w:r>
          </w:p>
        </w:tc>
        <w:tc>
          <w:tcPr>
            <w:tcW w:w="1324" w:type="dxa"/>
          </w:tcPr>
          <w:p w14:paraId="1ACCFE27" w14:textId="77777777" w:rsidR="00EB467A" w:rsidRPr="00EB467A" w:rsidRDefault="00EB467A" w:rsidP="00B509DD">
            <w:pPr>
              <w:cnfStyle w:val="000000000000" w:firstRow="0" w:lastRow="0" w:firstColumn="0" w:lastColumn="0" w:oddVBand="0" w:evenVBand="0" w:oddHBand="0" w:evenHBand="0" w:firstRowFirstColumn="0" w:firstRowLastColumn="0" w:lastRowFirstColumn="0" w:lastRowLastColumn="0"/>
              <w:rPr>
                <w:sz w:val="18"/>
                <w:szCs w:val="18"/>
              </w:rPr>
            </w:pPr>
            <w:r w:rsidRPr="00EB467A">
              <w:rPr>
                <w:sz w:val="18"/>
                <w:szCs w:val="18"/>
              </w:rPr>
              <w:t>&lt;1.0</w:t>
            </w:r>
          </w:p>
        </w:tc>
      </w:tr>
      <w:tr w:rsidR="00EB467A" w:rsidRPr="006122EE" w14:paraId="5A522142" w14:textId="77777777" w:rsidTr="00EB467A">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455" w:type="dxa"/>
          </w:tcPr>
          <w:p w14:paraId="15651F78" w14:textId="77777777" w:rsidR="00EB467A" w:rsidRPr="00EB467A" w:rsidRDefault="00EB467A" w:rsidP="005C0435">
            <w:pPr>
              <w:jc w:val="left"/>
              <w:rPr>
                <w:sz w:val="18"/>
                <w:szCs w:val="18"/>
              </w:rPr>
            </w:pPr>
            <w:r w:rsidRPr="00EB467A">
              <w:rPr>
                <w:sz w:val="18"/>
                <w:szCs w:val="18"/>
              </w:rPr>
              <w:t>Solar water heaters</w:t>
            </w:r>
          </w:p>
        </w:tc>
        <w:tc>
          <w:tcPr>
            <w:tcW w:w="1238" w:type="dxa"/>
          </w:tcPr>
          <w:p w14:paraId="63750C38" w14:textId="77777777" w:rsidR="00EB467A" w:rsidRPr="00EB467A" w:rsidRDefault="00F766CE" w:rsidP="00EB467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&lt;1.0</w:t>
            </w:r>
          </w:p>
        </w:tc>
        <w:tc>
          <w:tcPr>
            <w:tcW w:w="1067" w:type="dxa"/>
          </w:tcPr>
          <w:p w14:paraId="1C62A114"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2,000</w:t>
            </w:r>
          </w:p>
        </w:tc>
        <w:tc>
          <w:tcPr>
            <w:tcW w:w="856" w:type="dxa"/>
          </w:tcPr>
          <w:p w14:paraId="0ECA42DA"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12,500</w:t>
            </w:r>
          </w:p>
        </w:tc>
        <w:tc>
          <w:tcPr>
            <w:tcW w:w="1115" w:type="dxa"/>
          </w:tcPr>
          <w:p w14:paraId="00735CB9"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25,000</w:t>
            </w:r>
          </w:p>
        </w:tc>
        <w:tc>
          <w:tcPr>
            <w:tcW w:w="1294" w:type="dxa"/>
            <w:gridSpan w:val="2"/>
          </w:tcPr>
          <w:p w14:paraId="64B8C92C"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40,000</w:t>
            </w:r>
          </w:p>
        </w:tc>
        <w:tc>
          <w:tcPr>
            <w:tcW w:w="1271" w:type="dxa"/>
            <w:gridSpan w:val="2"/>
          </w:tcPr>
          <w:p w14:paraId="200A7E05"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0.7</w:t>
            </w:r>
          </w:p>
        </w:tc>
        <w:tc>
          <w:tcPr>
            <w:tcW w:w="1324" w:type="dxa"/>
          </w:tcPr>
          <w:p w14:paraId="4D914D5F" w14:textId="77777777" w:rsidR="00EB467A" w:rsidRPr="00EB467A" w:rsidRDefault="00EB467A" w:rsidP="00B509DD">
            <w:pPr>
              <w:cnfStyle w:val="000000100000" w:firstRow="0" w:lastRow="0" w:firstColumn="0" w:lastColumn="0" w:oddVBand="0" w:evenVBand="0" w:oddHBand="1" w:evenHBand="0" w:firstRowFirstColumn="0" w:firstRowLastColumn="0" w:lastRowFirstColumn="0" w:lastRowLastColumn="0"/>
              <w:rPr>
                <w:sz w:val="18"/>
                <w:szCs w:val="18"/>
              </w:rPr>
            </w:pPr>
            <w:r w:rsidRPr="00EB467A">
              <w:rPr>
                <w:sz w:val="18"/>
                <w:szCs w:val="18"/>
              </w:rPr>
              <w:t>0.5</w:t>
            </w:r>
          </w:p>
        </w:tc>
      </w:tr>
    </w:tbl>
    <w:p w14:paraId="1BD2C276" w14:textId="77777777" w:rsidR="004720F5" w:rsidRDefault="004720F5" w:rsidP="004720F5">
      <w:pPr>
        <w:spacing w:line="276" w:lineRule="auto"/>
      </w:pPr>
      <w:bookmarkStart w:id="132" w:name="_Toc481609538"/>
      <w:bookmarkStart w:id="133" w:name="_Toc481611185"/>
      <w:bookmarkStart w:id="134" w:name="_Toc481614897"/>
      <w:bookmarkEnd w:id="132"/>
      <w:bookmarkEnd w:id="133"/>
    </w:p>
    <w:p w14:paraId="7F7AE867" w14:textId="77777777" w:rsidR="004720F5" w:rsidRDefault="004720F5" w:rsidP="004720F5">
      <w:pPr>
        <w:spacing w:line="276" w:lineRule="auto"/>
      </w:pPr>
      <w:r>
        <w:t xml:space="preserve">It should be noted that the target of 100% of households using efficient wood stoves does not mean that wood use will increase. Rather, it means a decrease in wood use because currently close to 100% of households use </w:t>
      </w:r>
      <w:r w:rsidRPr="00A24B06">
        <w:rPr>
          <w:i/>
        </w:rPr>
        <w:t>inefficient</w:t>
      </w:r>
      <w:r>
        <w:t xml:space="preserve"> wood stoves. Furthermore, it should be noted that households that use electric cookers and LPG stoves tend to </w:t>
      </w:r>
      <w:r w:rsidRPr="004720F5">
        <w:rPr>
          <w:i/>
        </w:rPr>
        <w:t>also</w:t>
      </w:r>
      <w:r>
        <w:t xml:space="preserve"> use wood stoves. So even as the penetration of alternative cooking technologies increases and wood use decreases, the percentage of households that have wood stoves, albeit efficient one, will remain high. </w:t>
      </w:r>
    </w:p>
    <w:p w14:paraId="2932B8D2" w14:textId="77777777" w:rsidR="00464A7E" w:rsidRDefault="004720F5" w:rsidP="004720F5">
      <w:pPr>
        <w:spacing w:line="276" w:lineRule="auto"/>
      </w:pPr>
      <w:r>
        <w:t>Thus, the percentage of households that have efficient wood stoves is an imperfect measurement of biomass use. The ideal measurement of success should not be the number of energy-efficient cook stoves</w:t>
      </w:r>
      <w:r w:rsidR="00464A7E">
        <w:t>,</w:t>
      </w:r>
      <w:r>
        <w:t xml:space="preserve"> but the lower amount of biomass used by households. We will explore the possibility of establishing a target for overall household biomass use and per capital household biomass use. Random samples of household biomass use and national surveys may be possible ways to est</w:t>
      </w:r>
      <w:r w:rsidR="00EB777D">
        <w:t>ablish a baseline on which to base a target.</w:t>
      </w:r>
      <w:r>
        <w:t xml:space="preserve">  </w:t>
      </w:r>
    </w:p>
    <w:p w14:paraId="19E91E71" w14:textId="77777777" w:rsidR="004720F5" w:rsidRDefault="00464A7E" w:rsidP="004720F5">
      <w:pPr>
        <w:spacing w:line="276" w:lineRule="auto"/>
      </w:pPr>
      <w:r>
        <w:t>As a very rough estimate, although there are several main types of efficient cook stoves, we can assume each efficient stove will avoid about 2 tons of wood use per year.</w:t>
      </w:r>
      <w:r w:rsidR="004720F5">
        <w:t xml:space="preserve"> </w:t>
      </w:r>
      <w:r>
        <w:t>With the target of 5 million efficient cook stoves in place by 2030, the amount of avoided wood use will amount to 10 million tons per year.</w:t>
      </w:r>
    </w:p>
    <w:p w14:paraId="1F4199D6" w14:textId="77777777" w:rsidR="00B509DD" w:rsidRPr="00866D96" w:rsidRDefault="00B509DD" w:rsidP="00B509DD">
      <w:pPr>
        <w:pStyle w:val="BTitle3"/>
        <w:rPr>
          <w:noProof w:val="0"/>
          <w:lang w:val="en-GB"/>
        </w:rPr>
      </w:pPr>
      <w:r w:rsidRPr="00866D96">
        <w:rPr>
          <w:noProof w:val="0"/>
          <w:lang w:val="en-GB"/>
        </w:rPr>
        <w:t>What is the gap between BAU trajectory and the new targets? What are the barriers?</w:t>
      </w:r>
      <w:bookmarkEnd w:id="134"/>
    </w:p>
    <w:p w14:paraId="32B776D7" w14:textId="77777777" w:rsidR="00B509DD" w:rsidRPr="006122EE" w:rsidRDefault="00B509DD" w:rsidP="00B509DD">
      <w:r w:rsidRPr="00866D96">
        <w:rPr>
          <w:lang w:eastAsia="en-US"/>
        </w:rPr>
        <w:t>There are a number of barriers to the uptake of clean cooking identified during the stakeholder meeting</w:t>
      </w:r>
      <w:r w:rsidR="00AD01A2" w:rsidRPr="00866D96">
        <w:rPr>
          <w:lang w:eastAsia="en-US"/>
        </w:rPr>
        <w:t>s</w:t>
      </w:r>
      <w:r w:rsidR="004E0D38" w:rsidRPr="00866D96">
        <w:rPr>
          <w:lang w:eastAsia="en-US"/>
        </w:rPr>
        <w:t>.</w:t>
      </w:r>
      <w:r w:rsidR="00AD01A2" w:rsidRPr="00866D96">
        <w:rPr>
          <w:lang w:eastAsia="en-US"/>
        </w:rPr>
        <w:t xml:space="preserve"> These</w:t>
      </w:r>
      <w:r w:rsidRPr="00866D96">
        <w:rPr>
          <w:lang w:eastAsia="en-US"/>
        </w:rPr>
        <w:t xml:space="preserve"> include:</w:t>
      </w:r>
    </w:p>
    <w:p w14:paraId="4356F69D" w14:textId="77777777" w:rsidR="00B509DD" w:rsidRPr="00866D96" w:rsidRDefault="00B509DD" w:rsidP="00B12628">
      <w:pPr>
        <w:pStyle w:val="DBulletlevel1"/>
        <w:rPr>
          <w:noProof w:val="0"/>
        </w:rPr>
      </w:pPr>
      <w:r w:rsidRPr="00866D96">
        <w:rPr>
          <w:noProof w:val="0"/>
        </w:rPr>
        <w:t>High upfront cost of electric and gas cookers</w:t>
      </w:r>
      <w:r w:rsidR="004E0D38" w:rsidRPr="00866D96">
        <w:rPr>
          <w:noProof w:val="0"/>
        </w:rPr>
        <w:t>.</w:t>
      </w:r>
      <w:r w:rsidRPr="00866D96">
        <w:rPr>
          <w:noProof w:val="0"/>
        </w:rPr>
        <w:t xml:space="preserve"> </w:t>
      </w:r>
    </w:p>
    <w:p w14:paraId="7A3FBD13" w14:textId="77777777" w:rsidR="00B509DD" w:rsidRPr="00866D96" w:rsidRDefault="00FD1A12" w:rsidP="00B12628">
      <w:pPr>
        <w:pStyle w:val="DBulletlevel1"/>
        <w:rPr>
          <w:noProof w:val="0"/>
        </w:rPr>
      </w:pPr>
      <w:r w:rsidRPr="00866D96">
        <w:rPr>
          <w:noProof w:val="0"/>
        </w:rPr>
        <w:t>High upfront cost of LPG</w:t>
      </w:r>
      <w:r w:rsidR="00AD01A2" w:rsidRPr="00866D96">
        <w:rPr>
          <w:noProof w:val="0"/>
        </w:rPr>
        <w:t xml:space="preserve"> cylinders and ancillary equipment</w:t>
      </w:r>
      <w:r w:rsidR="004E0D38" w:rsidRPr="00866D96">
        <w:rPr>
          <w:noProof w:val="0"/>
        </w:rPr>
        <w:t>.</w:t>
      </w:r>
    </w:p>
    <w:p w14:paraId="7A456C26" w14:textId="77777777" w:rsidR="00AD01A2" w:rsidRPr="00866D96" w:rsidRDefault="00AD01A2" w:rsidP="00B12628">
      <w:pPr>
        <w:pStyle w:val="DBulletlevel1"/>
        <w:rPr>
          <w:noProof w:val="0"/>
        </w:rPr>
      </w:pPr>
      <w:r w:rsidRPr="00866D96">
        <w:rPr>
          <w:noProof w:val="0"/>
        </w:rPr>
        <w:t>Unavailability of affordable financing for the purchase clean cooking equipmen</w:t>
      </w:r>
      <w:r w:rsidR="000D2D33">
        <w:rPr>
          <w:noProof w:val="0"/>
        </w:rPr>
        <w:t>t</w:t>
      </w:r>
      <w:r w:rsidR="004E0D38" w:rsidRPr="00866D96">
        <w:rPr>
          <w:noProof w:val="0"/>
        </w:rPr>
        <w:t>.</w:t>
      </w:r>
    </w:p>
    <w:p w14:paraId="5452DD86" w14:textId="77777777" w:rsidR="00B509DD" w:rsidRPr="00866D96" w:rsidRDefault="00AD01A2" w:rsidP="00B12628">
      <w:pPr>
        <w:pStyle w:val="DBulletlevel1"/>
        <w:rPr>
          <w:noProof w:val="0"/>
        </w:rPr>
      </w:pPr>
      <w:r w:rsidRPr="00866D96">
        <w:rPr>
          <w:noProof w:val="0"/>
        </w:rPr>
        <w:t xml:space="preserve">Lack of openness to </w:t>
      </w:r>
      <w:r w:rsidR="00B509DD" w:rsidRPr="00866D96">
        <w:rPr>
          <w:noProof w:val="0"/>
        </w:rPr>
        <w:t>alternative</w:t>
      </w:r>
      <w:r w:rsidRPr="00866D96">
        <w:rPr>
          <w:noProof w:val="0"/>
        </w:rPr>
        <w:t>s</w:t>
      </w:r>
      <w:r w:rsidR="00B509DD" w:rsidRPr="00866D96">
        <w:rPr>
          <w:noProof w:val="0"/>
        </w:rPr>
        <w:t xml:space="preserve"> to charcoal and firewood</w:t>
      </w:r>
      <w:r w:rsidR="00FD1A12" w:rsidRPr="00866D96">
        <w:rPr>
          <w:noProof w:val="0"/>
        </w:rPr>
        <w:t xml:space="preserve"> such as LPG</w:t>
      </w:r>
      <w:r w:rsidR="004E0D38" w:rsidRPr="00866D96">
        <w:rPr>
          <w:noProof w:val="0"/>
        </w:rPr>
        <w:t>.</w:t>
      </w:r>
    </w:p>
    <w:p w14:paraId="0A0930EE" w14:textId="77777777" w:rsidR="00AD01A2" w:rsidRPr="00866D96" w:rsidRDefault="00AD01A2" w:rsidP="00B12628">
      <w:pPr>
        <w:pStyle w:val="DBulletlevel1"/>
        <w:rPr>
          <w:noProof w:val="0"/>
        </w:rPr>
      </w:pPr>
      <w:r w:rsidRPr="00866D96">
        <w:rPr>
          <w:noProof w:val="0"/>
        </w:rPr>
        <w:t>Safety concerns with LPG</w:t>
      </w:r>
      <w:r w:rsidR="004E0D38" w:rsidRPr="00866D96">
        <w:rPr>
          <w:noProof w:val="0"/>
        </w:rPr>
        <w:t>.</w:t>
      </w:r>
    </w:p>
    <w:p w14:paraId="1DA6C65F" w14:textId="77777777" w:rsidR="00B509DD" w:rsidRPr="00866D96" w:rsidRDefault="00B509DD" w:rsidP="00B12628">
      <w:pPr>
        <w:pStyle w:val="DBulletlevel1"/>
        <w:rPr>
          <w:noProof w:val="0"/>
        </w:rPr>
      </w:pPr>
      <w:r w:rsidRPr="00866D96">
        <w:rPr>
          <w:noProof w:val="0"/>
        </w:rPr>
        <w:t xml:space="preserve">Limited production of energy efficient technologies such </w:t>
      </w:r>
      <w:r w:rsidR="00950815">
        <w:rPr>
          <w:noProof w:val="0"/>
        </w:rPr>
        <w:t xml:space="preserve">as </w:t>
      </w:r>
      <w:r w:rsidRPr="00866D96">
        <w:rPr>
          <w:noProof w:val="0"/>
        </w:rPr>
        <w:t>efficient cook stoves</w:t>
      </w:r>
      <w:r w:rsidR="004E0D38" w:rsidRPr="00866D96">
        <w:rPr>
          <w:noProof w:val="0"/>
        </w:rPr>
        <w:t>.</w:t>
      </w:r>
    </w:p>
    <w:p w14:paraId="2214EEEC" w14:textId="77777777" w:rsidR="00B509DD" w:rsidRPr="00866D96" w:rsidRDefault="00B509DD" w:rsidP="00B12628">
      <w:pPr>
        <w:pStyle w:val="DBulletlevel1"/>
        <w:rPr>
          <w:noProof w:val="0"/>
        </w:rPr>
      </w:pPr>
      <w:r w:rsidRPr="00866D96">
        <w:rPr>
          <w:noProof w:val="0"/>
        </w:rPr>
        <w:t>Limited sustainable production of firewood and charcoal</w:t>
      </w:r>
      <w:r w:rsidR="004E0D38" w:rsidRPr="00866D96">
        <w:rPr>
          <w:noProof w:val="0"/>
        </w:rPr>
        <w:t>.</w:t>
      </w:r>
    </w:p>
    <w:p w14:paraId="181EA75B" w14:textId="77777777" w:rsidR="00B509DD" w:rsidRPr="00866D96" w:rsidRDefault="00B509DD" w:rsidP="00B12628">
      <w:pPr>
        <w:pStyle w:val="DBulletlevel1"/>
        <w:rPr>
          <w:noProof w:val="0"/>
        </w:rPr>
      </w:pPr>
      <w:r w:rsidRPr="00866D96">
        <w:rPr>
          <w:noProof w:val="0"/>
        </w:rPr>
        <w:t xml:space="preserve">Existing charcoal production establishments are not sustainable </w:t>
      </w:r>
      <w:r w:rsidR="00AD01A2" w:rsidRPr="00866D96">
        <w:rPr>
          <w:noProof w:val="0"/>
        </w:rPr>
        <w:t xml:space="preserve">or </w:t>
      </w:r>
      <w:r w:rsidRPr="00866D96">
        <w:rPr>
          <w:noProof w:val="0"/>
        </w:rPr>
        <w:t>legal</w:t>
      </w:r>
      <w:r w:rsidR="004E0D38" w:rsidRPr="00866D96">
        <w:rPr>
          <w:noProof w:val="0"/>
        </w:rPr>
        <w:t>.</w:t>
      </w:r>
    </w:p>
    <w:p w14:paraId="6B071CCE" w14:textId="77777777" w:rsidR="009600A1" w:rsidRPr="00866D96" w:rsidRDefault="00B509DD" w:rsidP="00726AF3">
      <w:pPr>
        <w:pStyle w:val="DBulletlevel1"/>
        <w:rPr>
          <w:noProof w:val="0"/>
        </w:rPr>
      </w:pPr>
      <w:r w:rsidRPr="00866D96">
        <w:rPr>
          <w:noProof w:val="0"/>
        </w:rPr>
        <w:t xml:space="preserve">Limited </w:t>
      </w:r>
      <w:r w:rsidR="00AD01A2" w:rsidRPr="00866D96">
        <w:rPr>
          <w:noProof w:val="0"/>
        </w:rPr>
        <w:t xml:space="preserve">government </w:t>
      </w:r>
      <w:r w:rsidRPr="00866D96">
        <w:rPr>
          <w:noProof w:val="0"/>
        </w:rPr>
        <w:t>capacity to enforce standards</w:t>
      </w:r>
      <w:r w:rsidR="004E0D38" w:rsidRPr="00866D96">
        <w:rPr>
          <w:noProof w:val="0"/>
        </w:rPr>
        <w:t>.</w:t>
      </w:r>
    </w:p>
    <w:p w14:paraId="0AE9075F" w14:textId="77777777" w:rsidR="009600A1" w:rsidRPr="00866D96" w:rsidRDefault="009600A1" w:rsidP="00866D96">
      <w:pPr>
        <w:pStyle w:val="Heading3"/>
        <w:rPr>
          <w:noProof w:val="0"/>
          <w:lang w:val="en-GB"/>
        </w:rPr>
      </w:pPr>
      <w:bookmarkStart w:id="135" w:name="_Toc481614898"/>
      <w:r w:rsidRPr="00866D96">
        <w:rPr>
          <w:noProof w:val="0"/>
          <w:lang w:val="en-GB"/>
        </w:rPr>
        <w:t>Energy Access and Gender</w:t>
      </w:r>
      <w:bookmarkEnd w:id="135"/>
    </w:p>
    <w:p w14:paraId="28CC76CB" w14:textId="77777777" w:rsidR="009600A1" w:rsidRPr="00866D96" w:rsidRDefault="009600A1" w:rsidP="00B53E51">
      <w:pPr>
        <w:spacing w:line="276" w:lineRule="auto"/>
        <w:rPr>
          <w:lang w:eastAsia="fr-FR"/>
        </w:rPr>
      </w:pPr>
      <w:r w:rsidRPr="00866D96">
        <w:rPr>
          <w:lang w:eastAsia="fr-FR"/>
        </w:rPr>
        <w:t xml:space="preserve">The </w:t>
      </w:r>
      <w:r w:rsidR="00475FA5" w:rsidRPr="00866D96">
        <w:rPr>
          <w:lang w:eastAsia="fr-FR"/>
        </w:rPr>
        <w:t xml:space="preserve">objective of the </w:t>
      </w:r>
      <w:r w:rsidRPr="00866D96">
        <w:rPr>
          <w:lang w:eastAsia="fr-FR"/>
        </w:rPr>
        <w:t>National Energy Policy</w:t>
      </w:r>
      <w:r w:rsidR="00950815">
        <w:rPr>
          <w:lang w:eastAsia="fr-FR"/>
        </w:rPr>
        <w:t xml:space="preserve"> </w:t>
      </w:r>
      <w:r w:rsidR="00475FA5" w:rsidRPr="00866D96">
        <w:rPr>
          <w:lang w:eastAsia="fr-FR"/>
        </w:rPr>
        <w:t>with respect to</w:t>
      </w:r>
      <w:r w:rsidRPr="00866D96">
        <w:rPr>
          <w:lang w:eastAsia="fr-FR"/>
        </w:rPr>
        <w:t xml:space="preserve"> gender is to ensure that gender issues are always considered in the planning and implementation of energy programmes and projects. In this regard the </w:t>
      </w:r>
      <w:r w:rsidR="00983ED1" w:rsidRPr="00866D96">
        <w:rPr>
          <w:lang w:eastAsia="fr-FR"/>
        </w:rPr>
        <w:t>g</w:t>
      </w:r>
      <w:r w:rsidRPr="00866D96">
        <w:rPr>
          <w:lang w:eastAsia="fr-FR"/>
        </w:rPr>
        <w:t>overnment will:</w:t>
      </w:r>
    </w:p>
    <w:p w14:paraId="46F614D3" w14:textId="77777777" w:rsidR="009600A1" w:rsidRPr="00866D96" w:rsidRDefault="009600A1" w:rsidP="00B53E51">
      <w:pPr>
        <w:pStyle w:val="DBulletlevel1"/>
        <w:spacing w:line="276" w:lineRule="auto"/>
        <w:rPr>
          <w:noProof w:val="0"/>
        </w:rPr>
      </w:pPr>
      <w:r w:rsidRPr="00866D96">
        <w:rPr>
          <w:noProof w:val="0"/>
        </w:rPr>
        <w:t>Ensure that the heavy work burdens of men and women are lightened by modernising household fuel supply system for the kitchen and for agriculture</w:t>
      </w:r>
      <w:r w:rsidR="004E0D38" w:rsidRPr="00866D96">
        <w:rPr>
          <w:noProof w:val="0"/>
        </w:rPr>
        <w:t>.</w:t>
      </w:r>
    </w:p>
    <w:p w14:paraId="6989BCA4" w14:textId="77777777" w:rsidR="009600A1" w:rsidRPr="00866D96" w:rsidRDefault="009600A1" w:rsidP="00B53E51">
      <w:pPr>
        <w:pStyle w:val="DBulletlevel1"/>
        <w:spacing w:line="276" w:lineRule="auto"/>
        <w:rPr>
          <w:noProof w:val="0"/>
        </w:rPr>
      </w:pPr>
      <w:r w:rsidRPr="00866D96">
        <w:rPr>
          <w:noProof w:val="0"/>
        </w:rPr>
        <w:t>Identify ways in which men and women become equally independently involved in using energy as a source of income</w:t>
      </w:r>
      <w:r w:rsidR="004E0D38" w:rsidRPr="00866D96">
        <w:rPr>
          <w:noProof w:val="0"/>
        </w:rPr>
        <w:t>.</w:t>
      </w:r>
    </w:p>
    <w:p w14:paraId="6416BF2F" w14:textId="77777777" w:rsidR="009600A1" w:rsidRPr="00866D96" w:rsidRDefault="009600A1" w:rsidP="00B53E51">
      <w:pPr>
        <w:pStyle w:val="DBulletlevel1"/>
        <w:spacing w:line="276" w:lineRule="auto"/>
        <w:rPr>
          <w:noProof w:val="0"/>
        </w:rPr>
      </w:pPr>
      <w:r w:rsidRPr="00866D96">
        <w:rPr>
          <w:noProof w:val="0"/>
        </w:rPr>
        <w:t>Ensure that men and women effectively participate in decision making</w:t>
      </w:r>
      <w:r w:rsidR="004E0D38" w:rsidRPr="00866D96">
        <w:rPr>
          <w:noProof w:val="0"/>
        </w:rPr>
        <w:t>.</w:t>
      </w:r>
    </w:p>
    <w:p w14:paraId="57B16595" w14:textId="77777777" w:rsidR="009600A1" w:rsidRPr="00866D96" w:rsidRDefault="009600A1" w:rsidP="00B53E51">
      <w:pPr>
        <w:pStyle w:val="DBulletlevel1"/>
        <w:spacing w:line="276" w:lineRule="auto"/>
        <w:rPr>
          <w:noProof w:val="0"/>
        </w:rPr>
      </w:pPr>
      <w:r w:rsidRPr="00866D96">
        <w:rPr>
          <w:noProof w:val="0"/>
        </w:rPr>
        <w:t>Ensure that men and women are equally represented in local, national and international dialogue, extension work and resource management and are offered employment opportunities in the energy sector itself.</w:t>
      </w:r>
    </w:p>
    <w:p w14:paraId="4B92FA77" w14:textId="77777777" w:rsidR="00B22AC9" w:rsidRPr="00866D96" w:rsidRDefault="009600A1" w:rsidP="00B53E51">
      <w:pPr>
        <w:spacing w:line="276" w:lineRule="auto"/>
        <w:rPr>
          <w:lang w:eastAsia="fr-FR"/>
        </w:rPr>
      </w:pPr>
      <w:r w:rsidRPr="00866D96">
        <w:rPr>
          <w:lang w:eastAsia="fr-FR"/>
        </w:rPr>
        <w:t xml:space="preserve">The objective and activities stated in the National Energy Policy, 2003 on energy and gender underscores the need to modernise the energy access such that women are not exposed to dangers of health when accessing energy. In Malawi energy poverty affects women greatly. This is so because it is women who are heavily involved in the sourcing of energy for the household. The energy sources which women are involved in sourcing are firewood, charcoal and agricultural wastes. Women travel long distances to collect such sources of energy. It is therefore important that modern sources of energy for heating and cooking such as electricity, LPG Gas and biogas are made readily available to the majority of the population. It is </w:t>
      </w:r>
      <w:r w:rsidR="006A55FA">
        <w:rPr>
          <w:lang w:eastAsia="fr-FR"/>
        </w:rPr>
        <w:t>unfortunate</w:t>
      </w:r>
      <w:r w:rsidRPr="00866D96">
        <w:rPr>
          <w:lang w:eastAsia="fr-FR"/>
        </w:rPr>
        <w:t xml:space="preserve"> that only 10% of the population have access to </w:t>
      </w:r>
      <w:r w:rsidR="000D2D33" w:rsidRPr="006122EE">
        <w:rPr>
          <w:lang w:eastAsia="fr-FR"/>
        </w:rPr>
        <w:t>electricity</w:t>
      </w:r>
      <w:r w:rsidRPr="00866D96">
        <w:rPr>
          <w:lang w:eastAsia="fr-FR"/>
        </w:rPr>
        <w:t xml:space="preserve"> and 2.5% of the population use electricity for cooking. This entails that 97.5% of the population heavily depend on traditional fuels for heating and cooking. There is therefore high gender imbalance in the energy sector which needs to be addressed by 2030 through removal of barriers to uptake of modern energy sources.</w:t>
      </w:r>
      <w:r w:rsidR="00B22AC9" w:rsidRPr="00866D96">
        <w:rPr>
          <w:lang w:eastAsia="fr-FR"/>
        </w:rPr>
        <w:t xml:space="preserve"> Women should therefore be greatly involved in the promotion of decentralised energy options such as solar mini grids, biogas, mini and micro hydro power plants. The decentralised systems provide a greater opportunity for creation of equality in the energy access. There is need for deliberate government policy to promote interventions of energy entrepreneurships that involve women such as production of biomass briquettes and production of efficient cook stoves. </w:t>
      </w:r>
    </w:p>
    <w:p w14:paraId="609F924D" w14:textId="77777777" w:rsidR="00B22AC9" w:rsidRPr="00866D96" w:rsidRDefault="00B22AC9" w:rsidP="00B53E51">
      <w:pPr>
        <w:spacing w:line="276" w:lineRule="auto"/>
        <w:rPr>
          <w:lang w:eastAsia="fr-FR"/>
        </w:rPr>
      </w:pPr>
      <w:r w:rsidRPr="00866D96">
        <w:rPr>
          <w:lang w:eastAsia="fr-FR"/>
        </w:rPr>
        <w:t xml:space="preserve">In order to improve the </w:t>
      </w:r>
      <w:r w:rsidR="000D2D33" w:rsidRPr="006122EE">
        <w:rPr>
          <w:lang w:eastAsia="fr-FR"/>
        </w:rPr>
        <w:t>participation</w:t>
      </w:r>
      <w:r w:rsidRPr="00866D96">
        <w:rPr>
          <w:lang w:eastAsia="fr-FR"/>
        </w:rPr>
        <w:t xml:space="preserve"> of women in energy access the following are put forward by the UN Women, UNDP and UNEP Working Paper of December, 2015:</w:t>
      </w:r>
    </w:p>
    <w:p w14:paraId="64BC8377" w14:textId="77777777" w:rsidR="00B22AC9" w:rsidRPr="00866D96" w:rsidRDefault="00B22AC9" w:rsidP="00B53E51">
      <w:pPr>
        <w:pStyle w:val="DBulletlevel1"/>
        <w:spacing w:line="276" w:lineRule="auto"/>
        <w:rPr>
          <w:noProof w:val="0"/>
        </w:rPr>
      </w:pPr>
      <w:r w:rsidRPr="00866D96">
        <w:rPr>
          <w:noProof w:val="0"/>
        </w:rPr>
        <w:t>Women need to be involved in the decision making and play a leadership role in promoting decentralised renewable energy access</w:t>
      </w:r>
      <w:r w:rsidR="004E0D38" w:rsidRPr="00866D96">
        <w:rPr>
          <w:noProof w:val="0"/>
        </w:rPr>
        <w:t>.</w:t>
      </w:r>
    </w:p>
    <w:p w14:paraId="2F0C50DC" w14:textId="77777777" w:rsidR="00B22AC9" w:rsidRPr="00866D96" w:rsidRDefault="00B22AC9" w:rsidP="00B53E51">
      <w:pPr>
        <w:pStyle w:val="DBulletlevel1"/>
        <w:spacing w:line="276" w:lineRule="auto"/>
        <w:rPr>
          <w:noProof w:val="0"/>
        </w:rPr>
      </w:pPr>
      <w:r w:rsidRPr="00866D96">
        <w:rPr>
          <w:noProof w:val="0"/>
        </w:rPr>
        <w:t>Women need to benefit from renewable energy programmes for economic empowerment</w:t>
      </w:r>
      <w:r w:rsidR="004E0D38" w:rsidRPr="00866D96">
        <w:rPr>
          <w:noProof w:val="0"/>
        </w:rPr>
        <w:t>.</w:t>
      </w:r>
    </w:p>
    <w:p w14:paraId="0686DF98" w14:textId="77777777" w:rsidR="00B22AC9" w:rsidRPr="00866D96" w:rsidRDefault="00B22AC9" w:rsidP="00B53E51">
      <w:pPr>
        <w:pStyle w:val="DBulletlevel1"/>
        <w:spacing w:line="276" w:lineRule="auto"/>
        <w:rPr>
          <w:noProof w:val="0"/>
        </w:rPr>
      </w:pPr>
      <w:r w:rsidRPr="00866D96">
        <w:rPr>
          <w:noProof w:val="0"/>
        </w:rPr>
        <w:t>Apply a cross sectoral approach to gender, climate and energy policy and programming</w:t>
      </w:r>
      <w:r w:rsidR="004E0D38" w:rsidRPr="00866D96">
        <w:rPr>
          <w:noProof w:val="0"/>
        </w:rPr>
        <w:t>.</w:t>
      </w:r>
    </w:p>
    <w:p w14:paraId="7F3C6B42" w14:textId="77777777" w:rsidR="00B22AC9" w:rsidRPr="00866D96" w:rsidRDefault="00B22AC9" w:rsidP="00B53E51">
      <w:pPr>
        <w:pStyle w:val="DBulletlevel1"/>
        <w:spacing w:line="276" w:lineRule="auto"/>
        <w:rPr>
          <w:noProof w:val="0"/>
        </w:rPr>
      </w:pPr>
      <w:r w:rsidRPr="00866D96">
        <w:rPr>
          <w:noProof w:val="0"/>
        </w:rPr>
        <w:t>Promote women’s productive use of renewable energy</w:t>
      </w:r>
      <w:r w:rsidR="004E0D38" w:rsidRPr="00866D96">
        <w:rPr>
          <w:noProof w:val="0"/>
        </w:rPr>
        <w:t>.</w:t>
      </w:r>
    </w:p>
    <w:p w14:paraId="4BEBC726" w14:textId="77777777" w:rsidR="00B22AC9" w:rsidRPr="00866D96" w:rsidRDefault="00B22AC9" w:rsidP="00B53E51">
      <w:pPr>
        <w:pStyle w:val="DBulletlevel1"/>
        <w:spacing w:line="276" w:lineRule="auto"/>
        <w:rPr>
          <w:noProof w:val="0"/>
        </w:rPr>
      </w:pPr>
      <w:r w:rsidRPr="00866D96">
        <w:rPr>
          <w:noProof w:val="0"/>
        </w:rPr>
        <w:t>Reduce women’s time dedicated to unpaid care and domestic work</w:t>
      </w:r>
      <w:r w:rsidR="004E0D38" w:rsidRPr="00866D96">
        <w:rPr>
          <w:noProof w:val="0"/>
        </w:rPr>
        <w:t>.</w:t>
      </w:r>
    </w:p>
    <w:p w14:paraId="2F43E688" w14:textId="77777777" w:rsidR="00B22AC9" w:rsidRPr="00866D96" w:rsidRDefault="00B22AC9" w:rsidP="00B53E51">
      <w:pPr>
        <w:pStyle w:val="DBulletlevel1"/>
        <w:spacing w:line="276" w:lineRule="auto"/>
        <w:rPr>
          <w:noProof w:val="0"/>
        </w:rPr>
      </w:pPr>
      <w:r w:rsidRPr="00866D96">
        <w:rPr>
          <w:noProof w:val="0"/>
        </w:rPr>
        <w:t>Target policy processes and build capacity to mainstream gender, climate and energy in an integrated approach</w:t>
      </w:r>
      <w:r w:rsidR="004E0D38" w:rsidRPr="00866D96">
        <w:rPr>
          <w:noProof w:val="0"/>
        </w:rPr>
        <w:t>.</w:t>
      </w:r>
    </w:p>
    <w:p w14:paraId="5AEFAE32" w14:textId="77777777" w:rsidR="00B22AC9" w:rsidRPr="00866D96" w:rsidRDefault="00B22AC9" w:rsidP="00B53E51">
      <w:pPr>
        <w:pStyle w:val="DBulletlevel1"/>
        <w:spacing w:line="276" w:lineRule="auto"/>
        <w:rPr>
          <w:noProof w:val="0"/>
        </w:rPr>
      </w:pPr>
      <w:r w:rsidRPr="00866D96">
        <w:rPr>
          <w:noProof w:val="0"/>
        </w:rPr>
        <w:t>Remove investment barriers and create equal opportunities for women’s entrepreneurships and decent employment and access technologies</w:t>
      </w:r>
      <w:r w:rsidR="004E0D38" w:rsidRPr="00866D96">
        <w:rPr>
          <w:noProof w:val="0"/>
        </w:rPr>
        <w:t>.</w:t>
      </w:r>
    </w:p>
    <w:p w14:paraId="37FA963F" w14:textId="77777777" w:rsidR="009600A1" w:rsidRPr="00866D96" w:rsidRDefault="00B22AC9" w:rsidP="00B53E51">
      <w:pPr>
        <w:pStyle w:val="DBulletlevel1"/>
        <w:spacing w:line="276" w:lineRule="auto"/>
        <w:rPr>
          <w:noProof w:val="0"/>
        </w:rPr>
      </w:pPr>
      <w:r w:rsidRPr="00866D96">
        <w:rPr>
          <w:noProof w:val="0"/>
        </w:rPr>
        <w:t>Influence budget processes to fund implementation of gender sensitive energy and climate solutions</w:t>
      </w:r>
      <w:r w:rsidR="004E0D38" w:rsidRPr="00866D96">
        <w:rPr>
          <w:noProof w:val="0"/>
        </w:rPr>
        <w:t>.</w:t>
      </w:r>
    </w:p>
    <w:p w14:paraId="2362BFD0" w14:textId="77777777" w:rsidR="00B509DD" w:rsidRPr="00866D96" w:rsidRDefault="005B7A66" w:rsidP="006E363C">
      <w:pPr>
        <w:pStyle w:val="BTitle20"/>
        <w:rPr>
          <w:noProof w:val="0"/>
        </w:rPr>
      </w:pPr>
      <w:bookmarkStart w:id="136" w:name="_Toc481614899"/>
      <w:r w:rsidRPr="00866D96">
        <w:rPr>
          <w:noProof w:val="0"/>
        </w:rPr>
        <w:t>Electricity</w:t>
      </w:r>
      <w:r w:rsidR="00B509DD" w:rsidRPr="00866D96">
        <w:rPr>
          <w:noProof w:val="0"/>
        </w:rPr>
        <w:t xml:space="preserve"> access –</w:t>
      </w:r>
      <w:r w:rsidRPr="00866D96">
        <w:rPr>
          <w:noProof w:val="0"/>
        </w:rPr>
        <w:t xml:space="preserve"> </w:t>
      </w:r>
      <w:r w:rsidR="00B509DD" w:rsidRPr="00866D96">
        <w:rPr>
          <w:noProof w:val="0"/>
        </w:rPr>
        <w:t xml:space="preserve">On site </w:t>
      </w:r>
      <w:r w:rsidRPr="00866D96">
        <w:rPr>
          <w:noProof w:val="0"/>
        </w:rPr>
        <w:t xml:space="preserve">installations </w:t>
      </w:r>
      <w:r w:rsidR="00B509DD" w:rsidRPr="00866D96">
        <w:rPr>
          <w:noProof w:val="0"/>
        </w:rPr>
        <w:t>&amp; Mini Grids</w:t>
      </w:r>
      <w:bookmarkEnd w:id="136"/>
    </w:p>
    <w:p w14:paraId="1E6548A2" w14:textId="77777777" w:rsidR="00B509DD" w:rsidRPr="00866D96" w:rsidRDefault="00B509DD" w:rsidP="00883A2F">
      <w:pPr>
        <w:pStyle w:val="BTitle3"/>
        <w:ind w:left="1429"/>
        <w:rPr>
          <w:noProof w:val="0"/>
          <w:lang w:val="en-GB"/>
        </w:rPr>
      </w:pPr>
      <w:bookmarkStart w:id="137" w:name="_Toc481614900"/>
      <w:r w:rsidRPr="00866D96">
        <w:rPr>
          <w:noProof w:val="0"/>
          <w:lang w:val="en-GB"/>
        </w:rPr>
        <w:t>What is the current status and BAU trajectory to 2030?</w:t>
      </w:r>
      <w:bookmarkEnd w:id="137"/>
    </w:p>
    <w:p w14:paraId="2EA03FED" w14:textId="77777777" w:rsidR="00B509DD" w:rsidRPr="006122EE" w:rsidRDefault="00B509DD" w:rsidP="00866D96">
      <w:pPr>
        <w:pStyle w:val="Style1"/>
      </w:pPr>
      <w:r w:rsidRPr="006122EE">
        <w:t>Current status of Electricity Sector-Grid Extension</w:t>
      </w:r>
    </w:p>
    <w:p w14:paraId="54C12F1A" w14:textId="77777777" w:rsidR="00804890" w:rsidRPr="006122EE" w:rsidRDefault="00804890" w:rsidP="00B53E51">
      <w:pPr>
        <w:spacing w:line="276" w:lineRule="auto"/>
        <w:rPr>
          <w:spacing w:val="49"/>
        </w:rPr>
      </w:pPr>
      <w:bookmarkStart w:id="138" w:name="_Ref448246217"/>
      <w:bookmarkStart w:id="139" w:name="_Ref448246211"/>
      <w:r w:rsidRPr="006122EE">
        <w:t>Malawi</w:t>
      </w:r>
      <w:r w:rsidRPr="006122EE">
        <w:rPr>
          <w:spacing w:val="16"/>
        </w:rPr>
        <w:t xml:space="preserve"> </w:t>
      </w:r>
      <w:r w:rsidRPr="006122EE">
        <w:t>is</w:t>
      </w:r>
      <w:r w:rsidRPr="006122EE">
        <w:rPr>
          <w:spacing w:val="17"/>
        </w:rPr>
        <w:t xml:space="preserve"> </w:t>
      </w:r>
      <w:r w:rsidRPr="006122EE">
        <w:t>one</w:t>
      </w:r>
      <w:r w:rsidRPr="006122EE">
        <w:rPr>
          <w:spacing w:val="16"/>
        </w:rPr>
        <w:t xml:space="preserve"> </w:t>
      </w:r>
      <w:r w:rsidRPr="006122EE">
        <w:t>of</w:t>
      </w:r>
      <w:r w:rsidRPr="006122EE">
        <w:rPr>
          <w:spacing w:val="16"/>
        </w:rPr>
        <w:t xml:space="preserve"> </w:t>
      </w:r>
      <w:r w:rsidRPr="006122EE">
        <w:t>the</w:t>
      </w:r>
      <w:r w:rsidRPr="006122EE">
        <w:rPr>
          <w:spacing w:val="18"/>
        </w:rPr>
        <w:t xml:space="preserve"> </w:t>
      </w:r>
      <w:r w:rsidRPr="006122EE">
        <w:rPr>
          <w:spacing w:val="-2"/>
        </w:rPr>
        <w:t>least</w:t>
      </w:r>
      <w:r w:rsidRPr="006122EE">
        <w:rPr>
          <w:spacing w:val="18"/>
        </w:rPr>
        <w:t xml:space="preserve"> </w:t>
      </w:r>
      <w:r w:rsidRPr="006122EE">
        <w:t>electrified</w:t>
      </w:r>
      <w:r w:rsidRPr="006122EE">
        <w:rPr>
          <w:spacing w:val="18"/>
        </w:rPr>
        <w:t xml:space="preserve"> </w:t>
      </w:r>
      <w:r w:rsidRPr="006122EE">
        <w:t>countries</w:t>
      </w:r>
      <w:r w:rsidRPr="006122EE">
        <w:rPr>
          <w:spacing w:val="18"/>
        </w:rPr>
        <w:t xml:space="preserve"> in the world</w:t>
      </w:r>
      <w:r w:rsidRPr="006122EE">
        <w:t>,</w:t>
      </w:r>
      <w:r w:rsidRPr="006122EE">
        <w:rPr>
          <w:spacing w:val="17"/>
        </w:rPr>
        <w:t xml:space="preserve"> </w:t>
      </w:r>
      <w:r w:rsidRPr="006122EE">
        <w:rPr>
          <w:spacing w:val="-2"/>
        </w:rPr>
        <w:t>with just</w:t>
      </w:r>
      <w:r w:rsidRPr="006122EE">
        <w:rPr>
          <w:spacing w:val="17"/>
        </w:rPr>
        <w:t xml:space="preserve"> </w:t>
      </w:r>
      <w:r w:rsidRPr="006122EE">
        <w:t>10%</w:t>
      </w:r>
      <w:r w:rsidRPr="006122EE">
        <w:rPr>
          <w:spacing w:val="17"/>
        </w:rPr>
        <w:t xml:space="preserve"> of the </w:t>
      </w:r>
      <w:r w:rsidRPr="006122EE">
        <w:t>overall population connected to electricity. Just 37% of the urban population and</w:t>
      </w:r>
      <w:r w:rsidRPr="006122EE">
        <w:rPr>
          <w:spacing w:val="16"/>
        </w:rPr>
        <w:t xml:space="preserve"> </w:t>
      </w:r>
      <w:r w:rsidR="00886840" w:rsidRPr="006122EE">
        <w:rPr>
          <w:spacing w:val="16"/>
        </w:rPr>
        <w:t xml:space="preserve">only </w:t>
      </w:r>
      <w:r w:rsidRPr="006122EE">
        <w:t>2%</w:t>
      </w:r>
      <w:r w:rsidR="00E37B59" w:rsidRPr="006122EE">
        <w:rPr>
          <w:spacing w:val="75"/>
          <w:w w:val="99"/>
        </w:rPr>
        <w:t xml:space="preserve"> </w:t>
      </w:r>
      <w:r w:rsidR="00886840" w:rsidRPr="006122EE">
        <w:t>of</w:t>
      </w:r>
      <w:r w:rsidRPr="006122EE">
        <w:t xml:space="preserve"> the</w:t>
      </w:r>
      <w:r w:rsidRPr="006122EE">
        <w:rPr>
          <w:spacing w:val="25"/>
        </w:rPr>
        <w:t xml:space="preserve"> </w:t>
      </w:r>
      <w:r w:rsidRPr="006122EE">
        <w:t>rural</w:t>
      </w:r>
      <w:r w:rsidRPr="006122EE">
        <w:rPr>
          <w:spacing w:val="25"/>
        </w:rPr>
        <w:t xml:space="preserve"> </w:t>
      </w:r>
      <w:r w:rsidRPr="006122EE">
        <w:t>population have electricity connections (NSO</w:t>
      </w:r>
      <w:r w:rsidR="004E0D38" w:rsidRPr="006122EE">
        <w:t>, 2009</w:t>
      </w:r>
      <w:r w:rsidRPr="006122EE">
        <w:t xml:space="preserve">). </w:t>
      </w:r>
      <w:r w:rsidR="00BF3B55" w:rsidRPr="006122EE">
        <w:t xml:space="preserve">Overall, as </w:t>
      </w:r>
      <w:r w:rsidRPr="006122EE">
        <w:t>of June 2015, the</w:t>
      </w:r>
      <w:r w:rsidR="00BF3B55" w:rsidRPr="006122EE">
        <w:t>10% of the population who had electricity amounted to</w:t>
      </w:r>
      <w:r w:rsidRPr="006122EE">
        <w:t xml:space="preserve"> 312,846 customers, as shown in</w:t>
      </w:r>
      <w:r w:rsidR="0032083D" w:rsidRPr="006122EE">
        <w:t xml:space="preserve"> </w:t>
      </w:r>
      <w:r w:rsidR="0032083D" w:rsidRPr="006122EE">
        <w:fldChar w:fldCharType="begin"/>
      </w:r>
      <w:r w:rsidR="0032083D" w:rsidRPr="006122EE">
        <w:instrText xml:space="preserve"> REF _Ref481600517 \h </w:instrText>
      </w:r>
      <w:r w:rsidR="00B53E51">
        <w:instrText xml:space="preserve"> \* MERGEFORMAT </w:instrText>
      </w:r>
      <w:r w:rsidR="0032083D" w:rsidRPr="006122EE">
        <w:fldChar w:fldCharType="separate"/>
      </w:r>
      <w:r w:rsidR="00866D96" w:rsidRPr="006122EE">
        <w:t xml:space="preserve">Table </w:t>
      </w:r>
      <w:r w:rsidR="00866D96">
        <w:rPr>
          <w:noProof/>
        </w:rPr>
        <w:t>13</w:t>
      </w:r>
      <w:r w:rsidR="0032083D" w:rsidRPr="006122EE">
        <w:fldChar w:fldCharType="end"/>
      </w:r>
      <w:r w:rsidRPr="006122EE">
        <w:rPr>
          <w:rStyle w:val="FootnoteReference"/>
          <w:spacing w:val="-1"/>
        </w:rPr>
        <w:footnoteReference w:id="29"/>
      </w:r>
      <w:r w:rsidRPr="006122EE">
        <w:t>.</w:t>
      </w:r>
      <w:r w:rsidRPr="006122EE">
        <w:rPr>
          <w:spacing w:val="49"/>
        </w:rPr>
        <w:t xml:space="preserve"> </w:t>
      </w:r>
      <w:r w:rsidRPr="006122EE">
        <w:t>Comparatively,</w:t>
      </w:r>
      <w:r w:rsidRPr="006122EE">
        <w:rPr>
          <w:spacing w:val="23"/>
        </w:rPr>
        <w:t xml:space="preserve"> </w:t>
      </w:r>
      <w:r w:rsidRPr="006122EE">
        <w:t>the</w:t>
      </w:r>
      <w:r w:rsidRPr="006122EE">
        <w:rPr>
          <w:spacing w:val="25"/>
        </w:rPr>
        <w:t xml:space="preserve"> </w:t>
      </w:r>
      <w:r w:rsidRPr="006122EE">
        <w:t>sub-Saharan</w:t>
      </w:r>
      <w:r w:rsidRPr="006122EE">
        <w:rPr>
          <w:spacing w:val="26"/>
        </w:rPr>
        <w:t xml:space="preserve"> </w:t>
      </w:r>
      <w:r w:rsidRPr="006122EE">
        <w:t>average</w:t>
      </w:r>
      <w:r w:rsidRPr="006122EE">
        <w:rPr>
          <w:spacing w:val="26"/>
        </w:rPr>
        <w:t xml:space="preserve"> </w:t>
      </w:r>
      <w:r w:rsidRPr="006122EE">
        <w:t>is</w:t>
      </w:r>
      <w:r w:rsidRPr="006122EE">
        <w:rPr>
          <w:spacing w:val="24"/>
        </w:rPr>
        <w:t xml:space="preserve"> </w:t>
      </w:r>
      <w:r w:rsidRPr="006122EE">
        <w:t>10%</w:t>
      </w:r>
      <w:r w:rsidRPr="006122EE">
        <w:rPr>
          <w:spacing w:val="23"/>
        </w:rPr>
        <w:t xml:space="preserve"> </w:t>
      </w:r>
      <w:r w:rsidRPr="006122EE">
        <w:t>for</w:t>
      </w:r>
      <w:r w:rsidRPr="006122EE">
        <w:rPr>
          <w:spacing w:val="25"/>
        </w:rPr>
        <w:t xml:space="preserve"> </w:t>
      </w:r>
      <w:r w:rsidRPr="006122EE">
        <w:t>rural</w:t>
      </w:r>
      <w:r w:rsidRPr="006122EE">
        <w:rPr>
          <w:spacing w:val="25"/>
        </w:rPr>
        <w:t xml:space="preserve"> </w:t>
      </w:r>
      <w:r w:rsidRPr="006122EE">
        <w:t>and</w:t>
      </w:r>
      <w:r w:rsidRPr="006122EE">
        <w:rPr>
          <w:spacing w:val="25"/>
        </w:rPr>
        <w:t xml:space="preserve"> </w:t>
      </w:r>
      <w:r w:rsidRPr="006122EE">
        <w:t>36%</w:t>
      </w:r>
      <w:r w:rsidRPr="006122EE">
        <w:rPr>
          <w:spacing w:val="67"/>
          <w:w w:val="99"/>
        </w:rPr>
        <w:t xml:space="preserve"> </w:t>
      </w:r>
      <w:r w:rsidRPr="006122EE">
        <w:t>overall</w:t>
      </w:r>
      <w:r w:rsidR="00160EA6" w:rsidRPr="006122EE">
        <w:rPr>
          <w:rStyle w:val="FootnoteReference"/>
          <w:spacing w:val="-1"/>
        </w:rPr>
        <w:footnoteReference w:id="30"/>
      </w:r>
      <w:r w:rsidRPr="006122EE">
        <w:t>.</w:t>
      </w:r>
      <w:r w:rsidRPr="006122EE">
        <w:rPr>
          <w:rStyle w:val="FootnoteReference"/>
          <w:spacing w:val="-1"/>
        </w:rPr>
        <w:t xml:space="preserve"> </w:t>
      </w:r>
    </w:p>
    <w:p w14:paraId="1238E7A4" w14:textId="77777777" w:rsidR="00511BBE" w:rsidRDefault="00511BBE">
      <w:pPr>
        <w:spacing w:before="0" w:after="0" w:line="240" w:lineRule="auto"/>
        <w:jc w:val="left"/>
        <w:rPr>
          <w:b/>
          <w:bCs/>
          <w:color w:val="002776" w:themeColor="text2"/>
          <w:szCs w:val="18"/>
        </w:rPr>
      </w:pPr>
      <w:bookmarkStart w:id="140" w:name="_Ref481600517"/>
      <w:bookmarkStart w:id="141" w:name="_Toc481614998"/>
      <w:r>
        <w:br w:type="page"/>
      </w:r>
    </w:p>
    <w:p w14:paraId="2C1B4756" w14:textId="77777777" w:rsidR="00505598" w:rsidRPr="006122EE" w:rsidRDefault="00505598" w:rsidP="00505598">
      <w:pPr>
        <w:pStyle w:val="Caption"/>
      </w:pPr>
      <w:r w:rsidRPr="006122EE">
        <w:t xml:space="preserve">Table </w:t>
      </w:r>
      <w:r w:rsidR="00DC7D8C">
        <w:fldChar w:fldCharType="begin"/>
      </w:r>
      <w:r w:rsidR="00DC7D8C">
        <w:instrText xml:space="preserve"> SEQ Table \* ARABIC </w:instrText>
      </w:r>
      <w:r w:rsidR="00DC7D8C">
        <w:fldChar w:fldCharType="separate"/>
      </w:r>
      <w:r w:rsidR="00866D96">
        <w:rPr>
          <w:noProof/>
        </w:rPr>
        <w:t>13</w:t>
      </w:r>
      <w:r w:rsidR="00DC7D8C">
        <w:rPr>
          <w:noProof/>
        </w:rPr>
        <w:fldChar w:fldCharType="end"/>
      </w:r>
      <w:bookmarkEnd w:id="138"/>
      <w:bookmarkEnd w:id="140"/>
      <w:r w:rsidRPr="006122EE">
        <w:t>: Customers connecte</w:t>
      </w:r>
      <w:r w:rsidR="00886840" w:rsidRPr="006122EE">
        <w:t>d</w:t>
      </w:r>
      <w:r w:rsidRPr="006122EE">
        <w:t xml:space="preserve"> to electricity in Malawi (2015)</w:t>
      </w:r>
      <w:bookmarkEnd w:id="139"/>
      <w:r w:rsidR="00160EA6" w:rsidRPr="006122EE">
        <w:rPr>
          <w:rStyle w:val="FootnoteReference"/>
        </w:rPr>
        <w:footnoteReference w:id="31"/>
      </w:r>
      <w:bookmarkEnd w:id="141"/>
    </w:p>
    <w:tbl>
      <w:tblPr>
        <w:tblStyle w:val="GridTable4-Accent33"/>
        <w:tblW w:w="0" w:type="auto"/>
        <w:jc w:val="center"/>
        <w:tblCellMar>
          <w:top w:w="28" w:type="dxa"/>
          <w:bottom w:w="28" w:type="dxa"/>
        </w:tblCellMar>
        <w:tblLook w:val="04A0" w:firstRow="1" w:lastRow="0" w:firstColumn="1" w:lastColumn="0" w:noHBand="0" w:noVBand="1"/>
      </w:tblPr>
      <w:tblGrid>
        <w:gridCol w:w="4185"/>
        <w:gridCol w:w="1197"/>
      </w:tblGrid>
      <w:tr w:rsidR="00B509DD" w:rsidRPr="006122EE" w14:paraId="04031F77" w14:textId="77777777" w:rsidTr="00866D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8C7008" w14:textId="77777777" w:rsidR="00B509DD" w:rsidRPr="006122EE" w:rsidRDefault="00B509DD" w:rsidP="00505598">
            <w:pPr>
              <w:spacing w:before="0" w:after="0"/>
              <w:jc w:val="center"/>
              <w:rPr>
                <w:rFonts w:eastAsia="Times New Roman" w:cs="Arial"/>
                <w:bCs w:val="0"/>
                <w:szCs w:val="20"/>
              </w:rPr>
            </w:pPr>
            <w:r w:rsidRPr="006122EE">
              <w:rPr>
                <w:rFonts w:eastAsia="Times New Roman" w:cs="Arial"/>
                <w:szCs w:val="20"/>
              </w:rPr>
              <w:t>Number of Customers as at June 30, 2015</w:t>
            </w:r>
          </w:p>
        </w:tc>
        <w:tc>
          <w:tcPr>
            <w:tcW w:w="1197" w:type="dxa"/>
            <w:noWrap/>
            <w:hideMark/>
          </w:tcPr>
          <w:p w14:paraId="7FB2A8D0" w14:textId="77777777" w:rsidR="00B509DD" w:rsidRPr="006122EE" w:rsidRDefault="00B509DD" w:rsidP="005055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6122EE">
              <w:rPr>
                <w:rFonts w:eastAsia="Times New Roman" w:cs="Arial"/>
                <w:szCs w:val="20"/>
              </w:rPr>
              <w:t>Number</w:t>
            </w:r>
          </w:p>
        </w:tc>
      </w:tr>
      <w:tr w:rsidR="00B509DD" w:rsidRPr="006122EE" w14:paraId="4771777A" w14:textId="77777777" w:rsidTr="00866D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ABAED"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Domestic Prepaid</w:t>
            </w:r>
          </w:p>
        </w:tc>
        <w:tc>
          <w:tcPr>
            <w:tcW w:w="1197" w:type="dxa"/>
            <w:noWrap/>
            <w:hideMark/>
          </w:tcPr>
          <w:p w14:paraId="1041CD66" w14:textId="77777777" w:rsidR="00B509DD" w:rsidRPr="006122EE" w:rsidRDefault="00B509DD" w:rsidP="005055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6122EE">
              <w:rPr>
                <w:rFonts w:eastAsia="Times New Roman" w:cs="Arial"/>
                <w:szCs w:val="20"/>
              </w:rPr>
              <w:t>186,205</w:t>
            </w:r>
          </w:p>
        </w:tc>
      </w:tr>
      <w:tr w:rsidR="00B509DD" w:rsidRPr="006122EE" w14:paraId="740EEC87" w14:textId="77777777" w:rsidTr="00866D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0170B7"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Domestic Postpaid</w:t>
            </w:r>
          </w:p>
        </w:tc>
        <w:tc>
          <w:tcPr>
            <w:tcW w:w="1197" w:type="dxa"/>
            <w:noWrap/>
            <w:hideMark/>
          </w:tcPr>
          <w:p w14:paraId="3D4DFDD0" w14:textId="77777777" w:rsidR="00B509DD" w:rsidRPr="006122EE" w:rsidRDefault="00B509DD" w:rsidP="0050559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6122EE">
              <w:rPr>
                <w:rFonts w:eastAsia="Times New Roman" w:cs="Arial"/>
                <w:szCs w:val="20"/>
              </w:rPr>
              <w:t>104,858</w:t>
            </w:r>
          </w:p>
        </w:tc>
      </w:tr>
      <w:tr w:rsidR="00B509DD" w:rsidRPr="006122EE" w14:paraId="452C667D" w14:textId="77777777" w:rsidTr="00866D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94DA52"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Single Phase P/Paid</w:t>
            </w:r>
          </w:p>
        </w:tc>
        <w:tc>
          <w:tcPr>
            <w:tcW w:w="1197" w:type="dxa"/>
            <w:noWrap/>
            <w:hideMark/>
          </w:tcPr>
          <w:p w14:paraId="18886F8E" w14:textId="77777777" w:rsidR="00B509DD" w:rsidRPr="006122EE" w:rsidRDefault="00B509DD" w:rsidP="005055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6122EE">
              <w:rPr>
                <w:rFonts w:eastAsia="Times New Roman" w:cs="Arial"/>
                <w:szCs w:val="20"/>
              </w:rPr>
              <w:t>16,915</w:t>
            </w:r>
          </w:p>
        </w:tc>
      </w:tr>
      <w:tr w:rsidR="00B509DD" w:rsidRPr="006122EE" w14:paraId="17656404" w14:textId="77777777" w:rsidTr="00866D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64A353"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Domestic 3 Phase p/Paid</w:t>
            </w:r>
          </w:p>
        </w:tc>
        <w:tc>
          <w:tcPr>
            <w:tcW w:w="1197" w:type="dxa"/>
            <w:noWrap/>
            <w:hideMark/>
          </w:tcPr>
          <w:p w14:paraId="56DA7FCB" w14:textId="77777777" w:rsidR="00B509DD" w:rsidRPr="006122EE" w:rsidRDefault="00B509DD" w:rsidP="0050559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6122EE">
              <w:rPr>
                <w:rFonts w:eastAsia="Times New Roman" w:cs="Arial"/>
                <w:szCs w:val="20"/>
              </w:rPr>
              <w:t>300</w:t>
            </w:r>
          </w:p>
        </w:tc>
      </w:tr>
      <w:tr w:rsidR="00B509DD" w:rsidRPr="006122EE" w14:paraId="77505A28" w14:textId="77777777" w:rsidTr="00866D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BABC0E"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3 Phase General P/paid</w:t>
            </w:r>
          </w:p>
        </w:tc>
        <w:tc>
          <w:tcPr>
            <w:tcW w:w="1197" w:type="dxa"/>
            <w:noWrap/>
            <w:hideMark/>
          </w:tcPr>
          <w:p w14:paraId="41CD2D51" w14:textId="77777777" w:rsidR="00B509DD" w:rsidRPr="006122EE" w:rsidRDefault="00B509DD" w:rsidP="005055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6122EE">
              <w:rPr>
                <w:rFonts w:eastAsia="Times New Roman" w:cs="Arial"/>
                <w:szCs w:val="20"/>
              </w:rPr>
              <w:t>3,713</w:t>
            </w:r>
          </w:p>
        </w:tc>
      </w:tr>
      <w:tr w:rsidR="00B509DD" w:rsidRPr="006122EE" w14:paraId="63B61536" w14:textId="77777777" w:rsidTr="00866D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09FB9A6"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3 Phase MD LV</w:t>
            </w:r>
          </w:p>
        </w:tc>
        <w:tc>
          <w:tcPr>
            <w:tcW w:w="1197" w:type="dxa"/>
            <w:noWrap/>
            <w:hideMark/>
          </w:tcPr>
          <w:p w14:paraId="6AA1FEBA" w14:textId="77777777" w:rsidR="00B509DD" w:rsidRPr="006122EE" w:rsidRDefault="00B509DD" w:rsidP="0050559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6122EE">
              <w:rPr>
                <w:rFonts w:eastAsia="Times New Roman" w:cs="Arial"/>
                <w:szCs w:val="20"/>
              </w:rPr>
              <w:t>752</w:t>
            </w:r>
          </w:p>
        </w:tc>
      </w:tr>
      <w:tr w:rsidR="00B509DD" w:rsidRPr="006122EE" w14:paraId="278F6BA8" w14:textId="77777777" w:rsidTr="00866D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58AB2E"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3 Phase MD MV</w:t>
            </w:r>
          </w:p>
        </w:tc>
        <w:tc>
          <w:tcPr>
            <w:tcW w:w="1197" w:type="dxa"/>
            <w:noWrap/>
            <w:hideMark/>
          </w:tcPr>
          <w:p w14:paraId="73ABF97F" w14:textId="77777777" w:rsidR="00B509DD" w:rsidRPr="006122EE" w:rsidRDefault="00B509DD" w:rsidP="005055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6122EE">
              <w:rPr>
                <w:rFonts w:eastAsia="Times New Roman" w:cs="Arial"/>
                <w:szCs w:val="20"/>
              </w:rPr>
              <w:t>103</w:t>
            </w:r>
          </w:p>
        </w:tc>
      </w:tr>
      <w:tr w:rsidR="00B509DD" w:rsidRPr="006122EE" w14:paraId="7C882055" w14:textId="77777777" w:rsidTr="00866D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21E2E0" w14:textId="77777777" w:rsidR="00B509DD" w:rsidRPr="006122EE" w:rsidRDefault="00B509DD" w:rsidP="00726AF3">
            <w:pPr>
              <w:spacing w:before="0" w:after="0"/>
              <w:jc w:val="left"/>
              <w:rPr>
                <w:rFonts w:eastAsia="Times New Roman" w:cs="Arial"/>
                <w:b w:val="0"/>
                <w:szCs w:val="20"/>
              </w:rPr>
            </w:pPr>
            <w:r w:rsidRPr="006122EE">
              <w:rPr>
                <w:rFonts w:eastAsia="Times New Roman" w:cs="Arial"/>
                <w:szCs w:val="20"/>
              </w:rPr>
              <w:t>Export</w:t>
            </w:r>
          </w:p>
        </w:tc>
        <w:tc>
          <w:tcPr>
            <w:tcW w:w="1197" w:type="dxa"/>
            <w:noWrap/>
            <w:hideMark/>
          </w:tcPr>
          <w:p w14:paraId="630972DB" w14:textId="77777777" w:rsidR="00B509DD" w:rsidRPr="006122EE" w:rsidRDefault="00B509DD" w:rsidP="0050559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6122EE">
              <w:rPr>
                <w:rFonts w:eastAsia="Times New Roman" w:cs="Arial"/>
                <w:szCs w:val="20"/>
              </w:rPr>
              <w:t>11</w:t>
            </w:r>
          </w:p>
        </w:tc>
      </w:tr>
      <w:tr w:rsidR="00B509DD" w:rsidRPr="006122EE" w14:paraId="62251432" w14:textId="77777777" w:rsidTr="00866D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D68D9" w14:textId="77777777" w:rsidR="00B509DD" w:rsidRPr="006122EE" w:rsidRDefault="00B509DD" w:rsidP="00726AF3">
            <w:pPr>
              <w:spacing w:before="0" w:after="0"/>
              <w:jc w:val="left"/>
              <w:rPr>
                <w:rFonts w:eastAsia="Times New Roman" w:cs="Arial"/>
                <w:b w:val="0"/>
                <w:bCs w:val="0"/>
                <w:szCs w:val="20"/>
              </w:rPr>
            </w:pPr>
            <w:r w:rsidRPr="006122EE">
              <w:rPr>
                <w:rFonts w:eastAsia="Times New Roman" w:cs="Arial"/>
                <w:szCs w:val="20"/>
              </w:rPr>
              <w:t>Total</w:t>
            </w:r>
          </w:p>
        </w:tc>
        <w:tc>
          <w:tcPr>
            <w:tcW w:w="1197" w:type="dxa"/>
            <w:noWrap/>
            <w:hideMark/>
          </w:tcPr>
          <w:p w14:paraId="6DBC0BFE" w14:textId="77777777" w:rsidR="00B509DD" w:rsidRPr="006122EE" w:rsidRDefault="00B509DD" w:rsidP="005055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0"/>
              </w:rPr>
            </w:pPr>
            <w:r w:rsidRPr="006122EE">
              <w:rPr>
                <w:rFonts w:eastAsia="Times New Roman" w:cs="Arial"/>
                <w:bCs/>
                <w:szCs w:val="20"/>
              </w:rPr>
              <w:t>312,857</w:t>
            </w:r>
          </w:p>
        </w:tc>
      </w:tr>
      <w:tr w:rsidR="00B509DD" w:rsidRPr="006122EE" w14:paraId="5AE0698A" w14:textId="77777777" w:rsidTr="00866D9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84A4FF" w14:textId="77777777" w:rsidR="00B509DD" w:rsidRPr="006122EE" w:rsidRDefault="00B509DD" w:rsidP="00726AF3">
            <w:pPr>
              <w:spacing w:before="0" w:after="0"/>
              <w:jc w:val="left"/>
              <w:rPr>
                <w:rFonts w:eastAsia="Times New Roman" w:cs="Arial"/>
                <w:b w:val="0"/>
                <w:bCs w:val="0"/>
                <w:iCs/>
                <w:szCs w:val="20"/>
              </w:rPr>
            </w:pPr>
            <w:r w:rsidRPr="006122EE">
              <w:rPr>
                <w:rFonts w:eastAsia="Times New Roman" w:cs="Arial"/>
                <w:iCs/>
                <w:szCs w:val="20"/>
              </w:rPr>
              <w:t>Total Malawian Customers</w:t>
            </w:r>
          </w:p>
        </w:tc>
        <w:tc>
          <w:tcPr>
            <w:tcW w:w="1197" w:type="dxa"/>
            <w:noWrap/>
            <w:hideMark/>
          </w:tcPr>
          <w:p w14:paraId="52BA9484" w14:textId="77777777" w:rsidR="00B509DD" w:rsidRPr="006122EE" w:rsidRDefault="00B509DD" w:rsidP="0050559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i/>
                <w:iCs/>
                <w:szCs w:val="20"/>
              </w:rPr>
            </w:pPr>
            <w:r w:rsidRPr="006122EE">
              <w:rPr>
                <w:rFonts w:eastAsia="Times New Roman" w:cs="Arial"/>
                <w:bCs/>
                <w:i/>
                <w:iCs/>
                <w:szCs w:val="20"/>
              </w:rPr>
              <w:t>312,846</w:t>
            </w:r>
          </w:p>
        </w:tc>
      </w:tr>
    </w:tbl>
    <w:p w14:paraId="6E3DA7F3" w14:textId="77777777" w:rsidR="0060714D" w:rsidRPr="006122EE" w:rsidRDefault="0060714D" w:rsidP="00B53E51">
      <w:pPr>
        <w:spacing w:line="276" w:lineRule="auto"/>
      </w:pPr>
      <w:r w:rsidRPr="006122EE">
        <w:t xml:space="preserve">Given the amount they spend on paraffin and candles for lighting, some rural households </w:t>
      </w:r>
      <w:r w:rsidR="0071130B" w:rsidRPr="006122EE">
        <w:t xml:space="preserve">should </w:t>
      </w:r>
      <w:r w:rsidRPr="006122EE">
        <w:t>be able to afford to pay for electricity</w:t>
      </w:r>
      <w:r w:rsidR="0071130B" w:rsidRPr="006122EE">
        <w:t>, at least for</w:t>
      </w:r>
      <w:r w:rsidRPr="006122EE">
        <w:t xml:space="preserve"> lighting. But house</w:t>
      </w:r>
      <w:r w:rsidRPr="006122EE">
        <w:rPr>
          <w:spacing w:val="11"/>
        </w:rPr>
        <w:t xml:space="preserve"> </w:t>
      </w:r>
      <w:r w:rsidRPr="006122EE">
        <w:t>wiring</w:t>
      </w:r>
      <w:r w:rsidRPr="006122EE">
        <w:rPr>
          <w:spacing w:val="12"/>
        </w:rPr>
        <w:t xml:space="preserve"> </w:t>
      </w:r>
      <w:r w:rsidRPr="006122EE">
        <w:t>costs</w:t>
      </w:r>
      <w:r w:rsidRPr="006122EE">
        <w:rPr>
          <w:spacing w:val="12"/>
        </w:rPr>
        <w:t xml:space="preserve"> </w:t>
      </w:r>
      <w:r w:rsidRPr="006122EE">
        <w:t>and</w:t>
      </w:r>
      <w:r w:rsidRPr="006122EE">
        <w:rPr>
          <w:spacing w:val="13"/>
        </w:rPr>
        <w:t xml:space="preserve"> </w:t>
      </w:r>
      <w:r w:rsidRPr="006122EE">
        <w:t>connection</w:t>
      </w:r>
      <w:r w:rsidRPr="006122EE">
        <w:rPr>
          <w:spacing w:val="12"/>
        </w:rPr>
        <w:t xml:space="preserve"> </w:t>
      </w:r>
      <w:r w:rsidRPr="006122EE">
        <w:t>fees</w:t>
      </w:r>
      <w:r w:rsidRPr="006122EE">
        <w:rPr>
          <w:spacing w:val="13"/>
        </w:rPr>
        <w:t xml:space="preserve"> </w:t>
      </w:r>
      <w:r w:rsidRPr="006122EE">
        <w:t>are</w:t>
      </w:r>
      <w:r w:rsidRPr="006122EE">
        <w:rPr>
          <w:spacing w:val="11"/>
        </w:rPr>
        <w:t xml:space="preserve"> </w:t>
      </w:r>
      <w:r w:rsidRPr="006122EE">
        <w:t>beyond</w:t>
      </w:r>
      <w:r w:rsidRPr="006122EE">
        <w:rPr>
          <w:spacing w:val="10"/>
        </w:rPr>
        <w:t xml:space="preserve"> </w:t>
      </w:r>
      <w:r w:rsidRPr="006122EE">
        <w:t>their</w:t>
      </w:r>
      <w:r w:rsidRPr="006122EE">
        <w:rPr>
          <w:spacing w:val="11"/>
        </w:rPr>
        <w:t xml:space="preserve"> </w:t>
      </w:r>
      <w:r w:rsidRPr="006122EE">
        <w:t>reach. If the MAREP could extend the grid nationwide, up to 25% of the population could be connected and pay their lighting bills.</w:t>
      </w:r>
    </w:p>
    <w:p w14:paraId="4E6106CB" w14:textId="77777777" w:rsidR="00CC7AEB" w:rsidRPr="006122EE" w:rsidRDefault="0060714D" w:rsidP="00B53E51">
      <w:pPr>
        <w:spacing w:line="276" w:lineRule="auto"/>
      </w:pPr>
      <w:r w:rsidRPr="006122EE">
        <w:t>In order to increase access to electricity among the rural and low income urban households, ESCOM has launched a US$500,000.00 Accelerated Electrification Access Project</w:t>
      </w:r>
      <w:r w:rsidRPr="006122EE">
        <w:rPr>
          <w:rStyle w:val="FootnoteReference"/>
          <w:spacing w:val="-1"/>
        </w:rPr>
        <w:footnoteReference w:id="32"/>
      </w:r>
      <w:r w:rsidRPr="006122EE">
        <w:t xml:space="preserve">. The project will allow the consumers to have their houses wired and electrified at US$100.00 with this cost </w:t>
      </w:r>
      <w:r w:rsidR="005A3127" w:rsidRPr="006122EE">
        <w:t>to</w:t>
      </w:r>
      <w:r w:rsidRPr="006122EE">
        <w:t xml:space="preserve"> be repaid in instalments bundled with electricity purchases. </w:t>
      </w:r>
      <w:r w:rsidR="0032083D" w:rsidRPr="006122EE">
        <w:fldChar w:fldCharType="begin"/>
      </w:r>
      <w:r w:rsidR="0032083D" w:rsidRPr="006122EE">
        <w:instrText xml:space="preserve"> REF _Ref481600535 \h </w:instrText>
      </w:r>
      <w:r w:rsidR="00B53E51">
        <w:instrText xml:space="preserve"> \* MERGEFORMAT </w:instrText>
      </w:r>
      <w:r w:rsidR="0032083D" w:rsidRPr="006122EE">
        <w:fldChar w:fldCharType="separate"/>
      </w:r>
      <w:r w:rsidR="00866D96" w:rsidRPr="006122EE">
        <w:t xml:space="preserve">Table </w:t>
      </w:r>
      <w:r w:rsidR="00866D96">
        <w:rPr>
          <w:noProof/>
        </w:rPr>
        <w:t>14</w:t>
      </w:r>
      <w:r w:rsidR="0032083D" w:rsidRPr="006122EE">
        <w:fldChar w:fldCharType="end"/>
      </w:r>
      <w:r w:rsidR="0071130B" w:rsidRPr="006122EE">
        <w:t xml:space="preserve"> shows the electricity access rates for different regions of the country. </w:t>
      </w:r>
    </w:p>
    <w:p w14:paraId="7B4E7AC6" w14:textId="77777777" w:rsidR="00EA598D" w:rsidRPr="006122EE" w:rsidRDefault="00EA598D" w:rsidP="00EA598D">
      <w:pPr>
        <w:pStyle w:val="Caption"/>
      </w:pPr>
      <w:bookmarkStart w:id="142" w:name="_Ref481600535"/>
      <w:bookmarkStart w:id="143" w:name="_Toc481614999"/>
      <w:r w:rsidRPr="006122EE">
        <w:t xml:space="preserve">Table </w:t>
      </w:r>
      <w:r w:rsidR="00DC7D8C">
        <w:fldChar w:fldCharType="begin"/>
      </w:r>
      <w:r w:rsidR="00DC7D8C">
        <w:instrText xml:space="preserve"> SEQ Table \* ARABIC </w:instrText>
      </w:r>
      <w:r w:rsidR="00DC7D8C">
        <w:fldChar w:fldCharType="separate"/>
      </w:r>
      <w:r w:rsidR="00866D96">
        <w:rPr>
          <w:noProof/>
        </w:rPr>
        <w:t>14</w:t>
      </w:r>
      <w:r w:rsidR="00DC7D8C">
        <w:rPr>
          <w:noProof/>
        </w:rPr>
        <w:fldChar w:fldCharType="end"/>
      </w:r>
      <w:bookmarkEnd w:id="142"/>
      <w:r w:rsidRPr="006122EE">
        <w:t>: Access rates</w:t>
      </w:r>
      <w:r w:rsidR="009F135A" w:rsidRPr="006122EE">
        <w:rPr>
          <w:rStyle w:val="FootnoteReference"/>
        </w:rPr>
        <w:footnoteReference w:id="33"/>
      </w:r>
      <w:bookmarkEnd w:id="143"/>
    </w:p>
    <w:tbl>
      <w:tblPr>
        <w:tblStyle w:val="GridTable4-Accent31"/>
        <w:tblW w:w="0" w:type="auto"/>
        <w:tblCellMar>
          <w:top w:w="28" w:type="dxa"/>
          <w:bottom w:w="28" w:type="dxa"/>
        </w:tblCellMar>
        <w:tblLook w:val="04A0" w:firstRow="1" w:lastRow="0" w:firstColumn="1" w:lastColumn="0" w:noHBand="0" w:noVBand="1"/>
      </w:tblPr>
      <w:tblGrid>
        <w:gridCol w:w="1896"/>
        <w:gridCol w:w="1875"/>
        <w:gridCol w:w="1875"/>
        <w:gridCol w:w="1875"/>
        <w:gridCol w:w="1873"/>
      </w:tblGrid>
      <w:tr w:rsidR="00EA598D" w:rsidRPr="006122EE" w14:paraId="027F9D5E" w14:textId="77777777" w:rsidTr="00883A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dxa"/>
            <w:vMerge w:val="restart"/>
            <w:hideMark/>
          </w:tcPr>
          <w:p w14:paraId="0CC906C1" w14:textId="77777777" w:rsidR="00EA598D" w:rsidRPr="00866D96" w:rsidRDefault="00EA598D" w:rsidP="00883A2F">
            <w:pPr>
              <w:keepNext/>
              <w:spacing w:before="0" w:after="0"/>
              <w:jc w:val="left"/>
            </w:pPr>
            <w:r w:rsidRPr="00866D96">
              <w:t>Place of residence</w:t>
            </w:r>
          </w:p>
        </w:tc>
        <w:tc>
          <w:tcPr>
            <w:tcW w:w="3848" w:type="dxa"/>
            <w:gridSpan w:val="2"/>
            <w:hideMark/>
          </w:tcPr>
          <w:p w14:paraId="1714C14E" w14:textId="77777777" w:rsidR="00EA598D" w:rsidRPr="00866D96" w:rsidRDefault="00EA598D" w:rsidP="00883A2F">
            <w:pPr>
              <w:keepNext/>
              <w:spacing w:before="0" w:after="0"/>
              <w:jc w:val="center"/>
              <w:cnfStyle w:val="100000000000" w:firstRow="1" w:lastRow="0" w:firstColumn="0" w:lastColumn="0" w:oddVBand="0" w:evenVBand="0" w:oddHBand="0" w:evenHBand="0" w:firstRowFirstColumn="0" w:firstRowLastColumn="0" w:lastRowFirstColumn="0" w:lastRowLastColumn="0"/>
            </w:pPr>
            <w:r w:rsidRPr="00866D96">
              <w:t>Electricity within 100 m of dwelling</w:t>
            </w:r>
          </w:p>
        </w:tc>
        <w:tc>
          <w:tcPr>
            <w:tcW w:w="3848" w:type="dxa"/>
            <w:gridSpan w:val="2"/>
            <w:hideMark/>
          </w:tcPr>
          <w:p w14:paraId="124880BD" w14:textId="77777777" w:rsidR="00EA598D" w:rsidRPr="00866D96" w:rsidRDefault="00EA598D" w:rsidP="00883A2F">
            <w:pPr>
              <w:keepNext/>
              <w:spacing w:before="0" w:after="0"/>
              <w:jc w:val="center"/>
              <w:cnfStyle w:val="100000000000" w:firstRow="1" w:lastRow="0" w:firstColumn="0" w:lastColumn="0" w:oddVBand="0" w:evenVBand="0" w:oddHBand="0" w:evenHBand="0" w:firstRowFirstColumn="0" w:firstRowLastColumn="0" w:lastRowFirstColumn="0" w:lastRowLastColumn="0"/>
            </w:pPr>
            <w:r w:rsidRPr="00866D96">
              <w:t>Electricity in the dwelling</w:t>
            </w:r>
          </w:p>
        </w:tc>
      </w:tr>
      <w:tr w:rsidR="00EA598D" w:rsidRPr="006122EE" w14:paraId="1B176FCC" w14:textId="77777777" w:rsidTr="00883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74C4D64B" w14:textId="77777777" w:rsidR="00EA598D" w:rsidRPr="00866D96" w:rsidRDefault="00EA598D" w:rsidP="00883A2F">
            <w:pPr>
              <w:keepNext/>
              <w:spacing w:before="0" w:after="0" w:line="240" w:lineRule="auto"/>
              <w:jc w:val="left"/>
              <w:rPr>
                <w:color w:val="FFFFFF" w:themeColor="background1"/>
              </w:rPr>
            </w:pPr>
          </w:p>
        </w:tc>
        <w:tc>
          <w:tcPr>
            <w:tcW w:w="1924" w:type="dxa"/>
            <w:hideMark/>
          </w:tcPr>
          <w:p w14:paraId="3E5DEF76"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IHS 2</w:t>
            </w:r>
          </w:p>
        </w:tc>
        <w:tc>
          <w:tcPr>
            <w:tcW w:w="1924" w:type="dxa"/>
            <w:hideMark/>
          </w:tcPr>
          <w:p w14:paraId="34B86825"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IHS 3</w:t>
            </w:r>
          </w:p>
        </w:tc>
        <w:tc>
          <w:tcPr>
            <w:tcW w:w="1924" w:type="dxa"/>
            <w:hideMark/>
          </w:tcPr>
          <w:p w14:paraId="21802AF6"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IHS 2</w:t>
            </w:r>
          </w:p>
        </w:tc>
        <w:tc>
          <w:tcPr>
            <w:tcW w:w="1924" w:type="dxa"/>
            <w:hideMark/>
          </w:tcPr>
          <w:p w14:paraId="4CFCD8D6"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IHS 3</w:t>
            </w:r>
          </w:p>
        </w:tc>
      </w:tr>
      <w:tr w:rsidR="00EA598D" w:rsidRPr="006122EE" w14:paraId="28A42AF9" w14:textId="77777777" w:rsidTr="00883A2F">
        <w:trPr>
          <w:trHeight w:val="20"/>
        </w:trPr>
        <w:tc>
          <w:tcPr>
            <w:cnfStyle w:val="001000000000" w:firstRow="0" w:lastRow="0" w:firstColumn="1" w:lastColumn="0" w:oddVBand="0" w:evenVBand="0" w:oddHBand="0" w:evenHBand="0" w:firstRowFirstColumn="0" w:firstRowLastColumn="0" w:lastRowFirstColumn="0" w:lastRowLastColumn="0"/>
            <w:tcW w:w="1924" w:type="dxa"/>
            <w:hideMark/>
          </w:tcPr>
          <w:p w14:paraId="6D28A7B8" w14:textId="77777777" w:rsidR="00EA598D" w:rsidRPr="00866D96" w:rsidRDefault="00EA598D" w:rsidP="00883A2F">
            <w:pPr>
              <w:keepNext/>
              <w:spacing w:before="0" w:after="0"/>
            </w:pPr>
            <w:r w:rsidRPr="00866D96">
              <w:t>Urban</w:t>
            </w:r>
          </w:p>
        </w:tc>
        <w:tc>
          <w:tcPr>
            <w:tcW w:w="1924" w:type="dxa"/>
            <w:hideMark/>
          </w:tcPr>
          <w:p w14:paraId="4BB72A0A"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68</w:t>
            </w:r>
          </w:p>
        </w:tc>
        <w:tc>
          <w:tcPr>
            <w:tcW w:w="1924" w:type="dxa"/>
            <w:hideMark/>
          </w:tcPr>
          <w:p w14:paraId="4CD4A690"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79.4</w:t>
            </w:r>
          </w:p>
        </w:tc>
        <w:tc>
          <w:tcPr>
            <w:tcW w:w="1924" w:type="dxa"/>
            <w:hideMark/>
          </w:tcPr>
          <w:p w14:paraId="1506AF7E"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33.1</w:t>
            </w:r>
          </w:p>
        </w:tc>
        <w:tc>
          <w:tcPr>
            <w:tcW w:w="1924" w:type="dxa"/>
            <w:hideMark/>
          </w:tcPr>
          <w:p w14:paraId="3C872BB2"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33</w:t>
            </w:r>
          </w:p>
        </w:tc>
      </w:tr>
      <w:tr w:rsidR="00EA598D" w:rsidRPr="006122EE" w14:paraId="63434D1E" w14:textId="77777777" w:rsidTr="00883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dxa"/>
            <w:hideMark/>
          </w:tcPr>
          <w:p w14:paraId="3D116E18" w14:textId="77777777" w:rsidR="00EA598D" w:rsidRPr="00866D96" w:rsidRDefault="00EA598D" w:rsidP="00883A2F">
            <w:pPr>
              <w:keepNext/>
              <w:spacing w:before="0" w:after="0"/>
            </w:pPr>
            <w:r w:rsidRPr="00866D96">
              <w:t>Rural</w:t>
            </w:r>
          </w:p>
        </w:tc>
        <w:tc>
          <w:tcPr>
            <w:tcW w:w="1924" w:type="dxa"/>
            <w:hideMark/>
          </w:tcPr>
          <w:p w14:paraId="60B96E2D"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11.2</w:t>
            </w:r>
          </w:p>
        </w:tc>
        <w:tc>
          <w:tcPr>
            <w:tcW w:w="1924" w:type="dxa"/>
            <w:hideMark/>
          </w:tcPr>
          <w:p w14:paraId="44C49DEC"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13.8</w:t>
            </w:r>
          </w:p>
        </w:tc>
        <w:tc>
          <w:tcPr>
            <w:tcW w:w="1924" w:type="dxa"/>
            <w:hideMark/>
          </w:tcPr>
          <w:p w14:paraId="45EB3DF3"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2</w:t>
            </w:r>
          </w:p>
        </w:tc>
        <w:tc>
          <w:tcPr>
            <w:tcW w:w="1924" w:type="dxa"/>
            <w:hideMark/>
          </w:tcPr>
          <w:p w14:paraId="6CB47D99"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2.4</w:t>
            </w:r>
          </w:p>
        </w:tc>
      </w:tr>
      <w:tr w:rsidR="00EA598D" w:rsidRPr="006122EE" w14:paraId="61AE83C3" w14:textId="77777777" w:rsidTr="00883A2F">
        <w:trPr>
          <w:trHeight w:val="20"/>
        </w:trPr>
        <w:tc>
          <w:tcPr>
            <w:cnfStyle w:val="001000000000" w:firstRow="0" w:lastRow="0" w:firstColumn="1" w:lastColumn="0" w:oddVBand="0" w:evenVBand="0" w:oddHBand="0" w:evenHBand="0" w:firstRowFirstColumn="0" w:firstRowLastColumn="0" w:lastRowFirstColumn="0" w:lastRowLastColumn="0"/>
            <w:tcW w:w="1924" w:type="dxa"/>
            <w:hideMark/>
          </w:tcPr>
          <w:p w14:paraId="27F25F87" w14:textId="77777777" w:rsidR="00EA598D" w:rsidRPr="00866D96" w:rsidRDefault="00EA598D" w:rsidP="00883A2F">
            <w:pPr>
              <w:keepNext/>
              <w:spacing w:before="0" w:after="0"/>
            </w:pPr>
            <w:r w:rsidRPr="00866D96">
              <w:t>North</w:t>
            </w:r>
          </w:p>
        </w:tc>
        <w:tc>
          <w:tcPr>
            <w:tcW w:w="1924" w:type="dxa"/>
            <w:hideMark/>
          </w:tcPr>
          <w:p w14:paraId="1847798A"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8.2</w:t>
            </w:r>
          </w:p>
        </w:tc>
        <w:tc>
          <w:tcPr>
            <w:tcW w:w="1924" w:type="dxa"/>
            <w:hideMark/>
          </w:tcPr>
          <w:p w14:paraId="090E5F27"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16.2</w:t>
            </w:r>
          </w:p>
        </w:tc>
        <w:tc>
          <w:tcPr>
            <w:tcW w:w="1924" w:type="dxa"/>
            <w:hideMark/>
          </w:tcPr>
          <w:p w14:paraId="0765219B"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1.5</w:t>
            </w:r>
          </w:p>
        </w:tc>
        <w:tc>
          <w:tcPr>
            <w:tcW w:w="1924" w:type="dxa"/>
            <w:hideMark/>
          </w:tcPr>
          <w:p w14:paraId="4DC6E0E5" w14:textId="77777777" w:rsidR="00EA598D" w:rsidRPr="00866D96" w:rsidRDefault="00EA598D" w:rsidP="00883A2F">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866D96">
              <w:t>6.3</w:t>
            </w:r>
          </w:p>
        </w:tc>
      </w:tr>
      <w:tr w:rsidR="00EA598D" w:rsidRPr="006122EE" w14:paraId="6D66B6EF" w14:textId="77777777" w:rsidTr="00883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dxa"/>
            <w:hideMark/>
          </w:tcPr>
          <w:p w14:paraId="7F01B01F" w14:textId="77777777" w:rsidR="00EA598D" w:rsidRPr="00866D96" w:rsidRDefault="00EA598D" w:rsidP="00883A2F">
            <w:pPr>
              <w:keepNext/>
              <w:spacing w:before="0" w:after="0"/>
            </w:pPr>
            <w:r w:rsidRPr="00866D96">
              <w:t>Centre</w:t>
            </w:r>
          </w:p>
        </w:tc>
        <w:tc>
          <w:tcPr>
            <w:tcW w:w="1924" w:type="dxa"/>
            <w:hideMark/>
          </w:tcPr>
          <w:p w14:paraId="7ECE7EC2"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7.9</w:t>
            </w:r>
          </w:p>
        </w:tc>
        <w:tc>
          <w:tcPr>
            <w:tcW w:w="1924" w:type="dxa"/>
            <w:hideMark/>
          </w:tcPr>
          <w:p w14:paraId="52E1CF16"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18.4</w:t>
            </w:r>
          </w:p>
        </w:tc>
        <w:tc>
          <w:tcPr>
            <w:tcW w:w="1924" w:type="dxa"/>
            <w:hideMark/>
          </w:tcPr>
          <w:p w14:paraId="3BD26D83"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1.8</w:t>
            </w:r>
          </w:p>
        </w:tc>
        <w:tc>
          <w:tcPr>
            <w:tcW w:w="1924" w:type="dxa"/>
            <w:hideMark/>
          </w:tcPr>
          <w:p w14:paraId="12C0115C" w14:textId="77777777" w:rsidR="00EA598D" w:rsidRPr="00866D96" w:rsidRDefault="00EA598D" w:rsidP="00883A2F">
            <w:pPr>
              <w:keepNext/>
              <w:spacing w:before="0" w:after="0"/>
              <w:jc w:val="center"/>
              <w:cnfStyle w:val="000000100000" w:firstRow="0" w:lastRow="0" w:firstColumn="0" w:lastColumn="0" w:oddVBand="0" w:evenVBand="0" w:oddHBand="1" w:evenHBand="0" w:firstRowFirstColumn="0" w:firstRowLastColumn="0" w:lastRowFirstColumn="0" w:lastRowLastColumn="0"/>
            </w:pPr>
            <w:r w:rsidRPr="00866D96">
              <w:t>5.9</w:t>
            </w:r>
          </w:p>
        </w:tc>
      </w:tr>
      <w:tr w:rsidR="00EA598D" w:rsidRPr="006122EE" w14:paraId="797D1A94" w14:textId="77777777" w:rsidTr="00883A2F">
        <w:trPr>
          <w:trHeight w:val="20"/>
        </w:trPr>
        <w:tc>
          <w:tcPr>
            <w:cnfStyle w:val="001000000000" w:firstRow="0" w:lastRow="0" w:firstColumn="1" w:lastColumn="0" w:oddVBand="0" w:evenVBand="0" w:oddHBand="0" w:evenHBand="0" w:firstRowFirstColumn="0" w:firstRowLastColumn="0" w:lastRowFirstColumn="0" w:lastRowLastColumn="0"/>
            <w:tcW w:w="1924" w:type="dxa"/>
            <w:hideMark/>
          </w:tcPr>
          <w:p w14:paraId="1884D7BA" w14:textId="77777777" w:rsidR="00EA598D" w:rsidRPr="00866D96" w:rsidRDefault="00EA598D" w:rsidP="00883A2F">
            <w:pPr>
              <w:spacing w:before="0" w:after="0"/>
            </w:pPr>
            <w:r w:rsidRPr="00866D96">
              <w:t>South</w:t>
            </w:r>
          </w:p>
        </w:tc>
        <w:tc>
          <w:tcPr>
            <w:tcW w:w="1924" w:type="dxa"/>
            <w:hideMark/>
          </w:tcPr>
          <w:p w14:paraId="3B54B970" w14:textId="77777777" w:rsidR="00EA598D" w:rsidRPr="00866D96" w:rsidRDefault="00EA598D" w:rsidP="00883A2F">
            <w:pPr>
              <w:spacing w:before="0" w:after="0"/>
              <w:jc w:val="center"/>
              <w:cnfStyle w:val="000000000000" w:firstRow="0" w:lastRow="0" w:firstColumn="0" w:lastColumn="0" w:oddVBand="0" w:evenVBand="0" w:oddHBand="0" w:evenHBand="0" w:firstRowFirstColumn="0" w:firstRowLastColumn="0" w:lastRowFirstColumn="0" w:lastRowLastColumn="0"/>
            </w:pPr>
            <w:r w:rsidRPr="00866D96">
              <w:t>23.3</w:t>
            </w:r>
          </w:p>
        </w:tc>
        <w:tc>
          <w:tcPr>
            <w:tcW w:w="1924" w:type="dxa"/>
            <w:hideMark/>
          </w:tcPr>
          <w:p w14:paraId="3C5AC060" w14:textId="77777777" w:rsidR="00EA598D" w:rsidRPr="00866D96" w:rsidRDefault="00EA598D" w:rsidP="00883A2F">
            <w:pPr>
              <w:spacing w:before="0" w:after="0"/>
              <w:jc w:val="center"/>
              <w:cnfStyle w:val="000000000000" w:firstRow="0" w:lastRow="0" w:firstColumn="0" w:lastColumn="0" w:oddVBand="0" w:evenVBand="0" w:oddHBand="0" w:evenHBand="0" w:firstRowFirstColumn="0" w:firstRowLastColumn="0" w:lastRowFirstColumn="0" w:lastRowLastColumn="0"/>
            </w:pPr>
            <w:r w:rsidRPr="00866D96">
              <w:t>25.1</w:t>
            </w:r>
          </w:p>
        </w:tc>
        <w:tc>
          <w:tcPr>
            <w:tcW w:w="1924" w:type="dxa"/>
            <w:hideMark/>
          </w:tcPr>
          <w:p w14:paraId="0092EFAE" w14:textId="77777777" w:rsidR="00EA598D" w:rsidRPr="00866D96" w:rsidRDefault="00EA598D" w:rsidP="00883A2F">
            <w:pPr>
              <w:spacing w:before="0" w:after="0"/>
              <w:jc w:val="center"/>
              <w:cnfStyle w:val="000000000000" w:firstRow="0" w:lastRow="0" w:firstColumn="0" w:lastColumn="0" w:oddVBand="0" w:evenVBand="0" w:oddHBand="0" w:evenHBand="0" w:firstRowFirstColumn="0" w:firstRowLastColumn="0" w:lastRowFirstColumn="0" w:lastRowLastColumn="0"/>
            </w:pPr>
            <w:r w:rsidRPr="00866D96">
              <w:t>9</w:t>
            </w:r>
          </w:p>
        </w:tc>
        <w:tc>
          <w:tcPr>
            <w:tcW w:w="1924" w:type="dxa"/>
            <w:hideMark/>
          </w:tcPr>
          <w:p w14:paraId="2001A0A8" w14:textId="77777777" w:rsidR="00EA598D" w:rsidRPr="00866D96" w:rsidRDefault="00EA598D" w:rsidP="00883A2F">
            <w:pPr>
              <w:spacing w:before="0" w:after="0"/>
              <w:jc w:val="center"/>
              <w:cnfStyle w:val="000000000000" w:firstRow="0" w:lastRow="0" w:firstColumn="0" w:lastColumn="0" w:oddVBand="0" w:evenVBand="0" w:oddHBand="0" w:evenHBand="0" w:firstRowFirstColumn="0" w:firstRowLastColumn="0" w:lastRowFirstColumn="0" w:lastRowLastColumn="0"/>
            </w:pPr>
            <w:r w:rsidRPr="00866D96">
              <w:t>8.5</w:t>
            </w:r>
          </w:p>
        </w:tc>
      </w:tr>
    </w:tbl>
    <w:p w14:paraId="4F71AB65" w14:textId="77777777" w:rsidR="00B53E51" w:rsidRDefault="00B53E51" w:rsidP="0060714D"/>
    <w:p w14:paraId="56C91B14" w14:textId="77777777" w:rsidR="0060714D" w:rsidRPr="006122EE" w:rsidRDefault="0060714D" w:rsidP="00B53E51">
      <w:pPr>
        <w:spacing w:line="276" w:lineRule="auto"/>
      </w:pPr>
      <w:r w:rsidRPr="006122EE">
        <w:t>The Malawi Government continues to extend the grid to rural areas through MAREP based on the Master Plan Study conducted in 2002</w:t>
      </w:r>
      <w:r w:rsidR="00C53474" w:rsidRPr="006122EE">
        <w:t>, which</w:t>
      </w:r>
      <w:r w:rsidRPr="006122EE">
        <w:t xml:space="preserve"> is regularly reviewed and updated</w:t>
      </w:r>
      <w:r w:rsidR="00160EA6" w:rsidRPr="006122EE">
        <w:t xml:space="preserve">. </w:t>
      </w:r>
      <w:r w:rsidRPr="006122EE">
        <w:t xml:space="preserve">Since the original study, three implementation phases have been implemented. These phases are MAREP Phase V targeting 27 sites at a cost of MK889million, MAREP Phase VI targeting 54 sites at a cost of MK2.4 billion and MAREP Phase VII targeting 81 centres at a cost of MK6.8 billion. Currently the planning of MAREP Phase VIII is under way to be implemented in the financial year 2015/16 targeting 81 centres. The funding of MAREP is through a </w:t>
      </w:r>
      <w:r w:rsidR="006538C7" w:rsidRPr="006122EE">
        <w:t xml:space="preserve">4.5% </w:t>
      </w:r>
      <w:r w:rsidRPr="006122EE">
        <w:t xml:space="preserve">levy on energy sales. </w:t>
      </w:r>
    </w:p>
    <w:p w14:paraId="7C20C2DA" w14:textId="77777777" w:rsidR="00DC269F" w:rsidRPr="006122EE" w:rsidRDefault="00DC269F" w:rsidP="00866D96">
      <w:pPr>
        <w:pStyle w:val="Style1"/>
      </w:pPr>
      <w:r w:rsidRPr="006122EE">
        <w:t>What is the target for 2030 for grid extension?</w:t>
      </w:r>
    </w:p>
    <w:p w14:paraId="0FE01750" w14:textId="77777777" w:rsidR="00DC269F" w:rsidRPr="00866D96" w:rsidRDefault="00DC269F" w:rsidP="00DC269F">
      <w:r w:rsidRPr="00866D96">
        <w:t xml:space="preserve">The target for 2030 is derived from the projected energy mix of the Malawi Energy Policy, as shown in </w:t>
      </w:r>
      <w:r w:rsidR="00866D96">
        <w:fldChar w:fldCharType="begin"/>
      </w:r>
      <w:r w:rsidR="00866D96">
        <w:instrText xml:space="preserve"> REF _Ref481614862 \h </w:instrText>
      </w:r>
      <w:r w:rsidR="00866D96">
        <w:fldChar w:fldCharType="separate"/>
      </w:r>
      <w:r w:rsidR="00866D96" w:rsidRPr="006122EE">
        <w:t xml:space="preserve">Figure </w:t>
      </w:r>
      <w:r w:rsidR="00866D96">
        <w:rPr>
          <w:noProof/>
        </w:rPr>
        <w:t>7</w:t>
      </w:r>
      <w:r w:rsidR="00866D96">
        <w:fldChar w:fldCharType="end"/>
      </w:r>
      <w:r w:rsidR="00866D96">
        <w:t xml:space="preserve"> below.</w:t>
      </w:r>
    </w:p>
    <w:p w14:paraId="22EB241E" w14:textId="77777777" w:rsidR="00666BF3" w:rsidRPr="006122EE" w:rsidRDefault="00666BF3">
      <w:pPr>
        <w:pStyle w:val="Caption"/>
      </w:pPr>
      <w:bookmarkStart w:id="144" w:name="_Ref481614862"/>
      <w:bookmarkStart w:id="145" w:name="_Toc481614971"/>
      <w:r w:rsidRPr="006122EE">
        <w:t xml:space="preserve">Figure </w:t>
      </w:r>
      <w:r w:rsidR="00DC7D8C">
        <w:fldChar w:fldCharType="begin"/>
      </w:r>
      <w:r w:rsidR="00DC7D8C">
        <w:instrText xml:space="preserve"> SEQ Figure \* ARABIC </w:instrText>
      </w:r>
      <w:r w:rsidR="00DC7D8C">
        <w:fldChar w:fldCharType="separate"/>
      </w:r>
      <w:r w:rsidR="00866D96">
        <w:rPr>
          <w:noProof/>
        </w:rPr>
        <w:t>7</w:t>
      </w:r>
      <w:r w:rsidR="00DC7D8C">
        <w:rPr>
          <w:noProof/>
        </w:rPr>
        <w:fldChar w:fldCharType="end"/>
      </w:r>
      <w:bookmarkEnd w:id="144"/>
      <w:r w:rsidRPr="006122EE">
        <w:t>: 2030 target for grid extensions</w:t>
      </w:r>
      <w:bookmarkEnd w:id="145"/>
    </w:p>
    <w:p w14:paraId="31D55463" w14:textId="77777777" w:rsidR="00DC269F" w:rsidRPr="006122EE" w:rsidRDefault="00DC269F" w:rsidP="00DC269F">
      <w:pPr>
        <w:spacing w:line="200" w:lineRule="atLeast"/>
        <w:ind w:left="924"/>
        <w:jc w:val="center"/>
        <w:rPr>
          <w:rFonts w:ascii="Calibri" w:eastAsia="Calibri" w:hAnsi="Calibri" w:cs="Calibri"/>
          <w:szCs w:val="20"/>
        </w:rPr>
      </w:pPr>
      <w:r w:rsidRPr="00866D96">
        <w:rPr>
          <w:rFonts w:ascii="Calibri" w:eastAsia="Calibri" w:hAnsi="Calibri" w:cs="Calibri"/>
          <w:noProof/>
          <w:szCs w:val="20"/>
          <w:lang w:val="en-US" w:eastAsia="en-US"/>
        </w:rPr>
        <w:drawing>
          <wp:inline distT="0" distB="0" distL="0" distR="0" wp14:anchorId="02FCC5E0" wp14:editId="363FE2BD">
            <wp:extent cx="4457700" cy="245745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8" cstate="print"/>
                    <a:stretch>
                      <a:fillRect/>
                    </a:stretch>
                  </pic:blipFill>
                  <pic:spPr>
                    <a:xfrm>
                      <a:off x="0" y="0"/>
                      <a:ext cx="4474437" cy="2466677"/>
                    </a:xfrm>
                    <a:prstGeom prst="rect">
                      <a:avLst/>
                    </a:prstGeom>
                  </pic:spPr>
                </pic:pic>
              </a:graphicData>
            </a:graphic>
          </wp:inline>
        </w:drawing>
      </w:r>
    </w:p>
    <w:p w14:paraId="60132A5C" w14:textId="77777777" w:rsidR="00DC269F" w:rsidRPr="006122EE" w:rsidRDefault="00DC269F" w:rsidP="00DC269F">
      <w:pPr>
        <w:ind w:left="1443" w:right="176"/>
        <w:rPr>
          <w:rFonts w:ascii="Arial Narrow" w:eastAsia="Arial Narrow" w:hAnsi="Arial Narrow" w:cs="Arial Narrow"/>
        </w:rPr>
      </w:pPr>
    </w:p>
    <w:p w14:paraId="5A4D07CD" w14:textId="77777777" w:rsidR="00666BF3" w:rsidRPr="006122EE" w:rsidRDefault="00DC269F" w:rsidP="00B53E51">
      <w:pPr>
        <w:keepNext/>
        <w:spacing w:line="276" w:lineRule="auto"/>
      </w:pPr>
      <w:r w:rsidRPr="00866D96">
        <w:t>By 2030, 30% of households and businesses will be connected to electricity</w:t>
      </w:r>
      <w:r w:rsidRPr="00866D96">
        <w:rPr>
          <w:vertAlign w:val="superscript"/>
        </w:rPr>
        <w:footnoteReference w:id="34"/>
      </w:r>
      <w:r w:rsidRPr="00866D96">
        <w:t xml:space="preserve">. This will be possible if MAREP continues with its plan of increasing the number of trading </w:t>
      </w:r>
      <w:r w:rsidR="00540810" w:rsidRPr="006122EE">
        <w:t>centres</w:t>
      </w:r>
      <w:r w:rsidRPr="00866D96">
        <w:t xml:space="preserve"> per year through grid extension and ESCOM continues with the Accelerated Electrification Access Project. This entails 87,000 households and businesses being connected per year up to 2030. The 87,000 households and businesses could be attained per year through the following projected figures:</w:t>
      </w:r>
    </w:p>
    <w:p w14:paraId="58313164" w14:textId="77777777" w:rsidR="00540810" w:rsidRPr="006122EE" w:rsidRDefault="00540810" w:rsidP="00866D96">
      <w:pPr>
        <w:pStyle w:val="Caption"/>
      </w:pPr>
      <w:bookmarkStart w:id="146" w:name="_Toc481615000"/>
      <w:r w:rsidRPr="006122EE">
        <w:t xml:space="preserve">Table </w:t>
      </w:r>
      <w:r w:rsidR="00DC7D8C">
        <w:fldChar w:fldCharType="begin"/>
      </w:r>
      <w:r w:rsidR="00DC7D8C">
        <w:instrText xml:space="preserve"> SEQ Table \* ARABIC </w:instrText>
      </w:r>
      <w:r w:rsidR="00DC7D8C">
        <w:fldChar w:fldCharType="separate"/>
      </w:r>
      <w:r w:rsidR="00866D96">
        <w:rPr>
          <w:noProof/>
        </w:rPr>
        <w:t>15</w:t>
      </w:r>
      <w:r w:rsidR="00DC7D8C">
        <w:rPr>
          <w:noProof/>
        </w:rPr>
        <w:fldChar w:fldCharType="end"/>
      </w:r>
      <w:r w:rsidRPr="006122EE">
        <w:t>: Grid extension targets – SE4ALL</w:t>
      </w:r>
      <w:bookmarkEnd w:id="146"/>
    </w:p>
    <w:tbl>
      <w:tblPr>
        <w:tblStyle w:val="GridTable4-Accent331"/>
        <w:tblW w:w="9535" w:type="dxa"/>
        <w:tblCellMar>
          <w:top w:w="28" w:type="dxa"/>
          <w:bottom w:w="28" w:type="dxa"/>
        </w:tblCellMar>
        <w:tblLook w:val="04A0" w:firstRow="1" w:lastRow="0" w:firstColumn="1" w:lastColumn="0" w:noHBand="0" w:noVBand="1"/>
      </w:tblPr>
      <w:tblGrid>
        <w:gridCol w:w="3248"/>
        <w:gridCol w:w="3289"/>
        <w:gridCol w:w="2998"/>
      </w:tblGrid>
      <w:tr w:rsidR="00DC269F" w:rsidRPr="006122EE" w14:paraId="259CC3C6" w14:textId="77777777" w:rsidTr="0088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7240B512" w14:textId="77777777" w:rsidR="00DC269F" w:rsidRPr="00866D96" w:rsidRDefault="00DC269F" w:rsidP="00883A2F">
            <w:pPr>
              <w:keepNext/>
              <w:spacing w:before="0" w:after="0"/>
            </w:pPr>
            <w:r w:rsidRPr="00866D96">
              <w:t>Method</w:t>
            </w:r>
          </w:p>
        </w:tc>
        <w:tc>
          <w:tcPr>
            <w:tcW w:w="3289" w:type="dxa"/>
          </w:tcPr>
          <w:p w14:paraId="376F7B63" w14:textId="77777777" w:rsidR="00DC269F" w:rsidRPr="00866D96" w:rsidRDefault="00DC269F" w:rsidP="00883A2F">
            <w:pPr>
              <w:keepNext/>
              <w:spacing w:before="0" w:after="0"/>
              <w:cnfStyle w:val="100000000000" w:firstRow="1" w:lastRow="0" w:firstColumn="0" w:lastColumn="0" w:oddVBand="0" w:evenVBand="0" w:oddHBand="0" w:evenHBand="0" w:firstRowFirstColumn="0" w:firstRowLastColumn="0" w:lastRowFirstColumn="0" w:lastRowLastColumn="0"/>
            </w:pPr>
            <w:r w:rsidRPr="00866D96">
              <w:t>Number of Households &amp; Businesses-Baseline 2016/Yr</w:t>
            </w:r>
          </w:p>
        </w:tc>
        <w:tc>
          <w:tcPr>
            <w:tcW w:w="2998" w:type="dxa"/>
          </w:tcPr>
          <w:p w14:paraId="4ADD4494" w14:textId="77777777" w:rsidR="00DC269F" w:rsidRPr="00866D96" w:rsidRDefault="00DC269F" w:rsidP="00883A2F">
            <w:pPr>
              <w:keepNext/>
              <w:spacing w:before="0" w:after="0"/>
              <w:cnfStyle w:val="100000000000" w:firstRow="1" w:lastRow="0" w:firstColumn="0" w:lastColumn="0" w:oddVBand="0" w:evenVBand="0" w:oddHBand="0" w:evenHBand="0" w:firstRowFirstColumn="0" w:firstRowLastColumn="0" w:lastRowFirstColumn="0" w:lastRowLastColumn="0"/>
            </w:pPr>
            <w:r w:rsidRPr="00866D96">
              <w:t>Number of Households &amp; Businesses/Year through 2030</w:t>
            </w:r>
          </w:p>
        </w:tc>
      </w:tr>
      <w:tr w:rsidR="00DC269F" w:rsidRPr="006122EE" w14:paraId="00208877" w14:textId="77777777" w:rsidTr="0088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0A0F4CE3" w14:textId="77777777" w:rsidR="00DC269F" w:rsidRPr="00866D96" w:rsidRDefault="00DC269F" w:rsidP="00883A2F">
            <w:pPr>
              <w:keepNext/>
              <w:spacing w:before="0" w:after="0"/>
            </w:pPr>
            <w:r w:rsidRPr="00866D96">
              <w:t>MAREP-Grid Extension</w:t>
            </w:r>
          </w:p>
        </w:tc>
        <w:tc>
          <w:tcPr>
            <w:tcW w:w="3289" w:type="dxa"/>
          </w:tcPr>
          <w:p w14:paraId="08055EA9" w14:textId="77777777" w:rsidR="00DC269F" w:rsidRPr="00866D96" w:rsidRDefault="00DC269F" w:rsidP="00883A2F">
            <w:pPr>
              <w:keepNext/>
              <w:spacing w:before="0" w:after="0"/>
              <w:cnfStyle w:val="000000100000" w:firstRow="0" w:lastRow="0" w:firstColumn="0" w:lastColumn="0" w:oddVBand="0" w:evenVBand="0" w:oddHBand="1" w:evenHBand="0" w:firstRowFirstColumn="0" w:firstRowLastColumn="0" w:lastRowFirstColumn="0" w:lastRowLastColumn="0"/>
            </w:pPr>
            <w:r w:rsidRPr="00866D96">
              <w:t xml:space="preserve">  5,000.00</w:t>
            </w:r>
          </w:p>
        </w:tc>
        <w:tc>
          <w:tcPr>
            <w:tcW w:w="2998" w:type="dxa"/>
          </w:tcPr>
          <w:p w14:paraId="510D23BA" w14:textId="77777777" w:rsidR="00DC269F" w:rsidRPr="00866D96" w:rsidRDefault="00DC269F" w:rsidP="00883A2F">
            <w:pPr>
              <w:keepNext/>
              <w:spacing w:before="0" w:after="0"/>
              <w:cnfStyle w:val="000000100000" w:firstRow="0" w:lastRow="0" w:firstColumn="0" w:lastColumn="0" w:oddVBand="0" w:evenVBand="0" w:oddHBand="1" w:evenHBand="0" w:firstRowFirstColumn="0" w:firstRowLastColumn="0" w:lastRowFirstColumn="0" w:lastRowLastColumn="0"/>
            </w:pPr>
            <w:r w:rsidRPr="00866D96">
              <w:t>23,000.00</w:t>
            </w:r>
          </w:p>
        </w:tc>
      </w:tr>
      <w:tr w:rsidR="00DC269F" w:rsidRPr="006122EE" w14:paraId="3380480A" w14:textId="77777777" w:rsidTr="00883A2F">
        <w:tc>
          <w:tcPr>
            <w:cnfStyle w:val="001000000000" w:firstRow="0" w:lastRow="0" w:firstColumn="1" w:lastColumn="0" w:oddVBand="0" w:evenVBand="0" w:oddHBand="0" w:evenHBand="0" w:firstRowFirstColumn="0" w:firstRowLastColumn="0" w:lastRowFirstColumn="0" w:lastRowLastColumn="0"/>
            <w:tcW w:w="3248" w:type="dxa"/>
          </w:tcPr>
          <w:p w14:paraId="7B1FF44D" w14:textId="77777777" w:rsidR="00DC269F" w:rsidRPr="00866D96" w:rsidRDefault="00DC269F" w:rsidP="00883A2F">
            <w:pPr>
              <w:keepNext/>
              <w:spacing w:before="0" w:after="0"/>
            </w:pPr>
            <w:r w:rsidRPr="00866D96">
              <w:t>ESCOM-Grid Extension</w:t>
            </w:r>
          </w:p>
        </w:tc>
        <w:tc>
          <w:tcPr>
            <w:tcW w:w="3289" w:type="dxa"/>
          </w:tcPr>
          <w:p w14:paraId="13EC1B39" w14:textId="77777777" w:rsidR="00DC269F" w:rsidRPr="00866D96" w:rsidRDefault="00DC269F" w:rsidP="00883A2F">
            <w:pPr>
              <w:keepNext/>
              <w:spacing w:before="0" w:after="0"/>
              <w:cnfStyle w:val="000000000000" w:firstRow="0" w:lastRow="0" w:firstColumn="0" w:lastColumn="0" w:oddVBand="0" w:evenVBand="0" w:oddHBand="0" w:evenHBand="0" w:firstRowFirstColumn="0" w:firstRowLastColumn="0" w:lastRowFirstColumn="0" w:lastRowLastColumn="0"/>
            </w:pPr>
            <w:r w:rsidRPr="00866D96">
              <w:t>50,000.00</w:t>
            </w:r>
          </w:p>
        </w:tc>
        <w:tc>
          <w:tcPr>
            <w:tcW w:w="2998" w:type="dxa"/>
          </w:tcPr>
          <w:p w14:paraId="63DD1520" w14:textId="77777777" w:rsidR="00DC269F" w:rsidRPr="00866D96" w:rsidRDefault="00DC269F" w:rsidP="00883A2F">
            <w:pPr>
              <w:keepNext/>
              <w:spacing w:before="0" w:after="0"/>
              <w:cnfStyle w:val="000000000000" w:firstRow="0" w:lastRow="0" w:firstColumn="0" w:lastColumn="0" w:oddVBand="0" w:evenVBand="0" w:oddHBand="0" w:evenHBand="0" w:firstRowFirstColumn="0" w:firstRowLastColumn="0" w:lastRowFirstColumn="0" w:lastRowLastColumn="0"/>
            </w:pPr>
            <w:r w:rsidRPr="00866D96">
              <w:t>64,000.00</w:t>
            </w:r>
          </w:p>
        </w:tc>
      </w:tr>
    </w:tbl>
    <w:p w14:paraId="5B58722F" w14:textId="77777777" w:rsidR="00B53E51" w:rsidRDefault="00B53E51" w:rsidP="00B53E51">
      <w:pPr>
        <w:spacing w:line="276" w:lineRule="auto"/>
      </w:pPr>
    </w:p>
    <w:p w14:paraId="6B216B02" w14:textId="77777777" w:rsidR="00666BF3" w:rsidRPr="006122EE" w:rsidRDefault="00DC269F" w:rsidP="00B53E51">
      <w:pPr>
        <w:spacing w:line="276" w:lineRule="auto"/>
      </w:pPr>
      <w:r w:rsidRPr="00866D96">
        <w:t xml:space="preserve">The table below however shows the BAU scenario which was agreed upon during the </w:t>
      </w:r>
      <w:r w:rsidR="00CC7AEB" w:rsidRPr="00866D96">
        <w:t>Energy Access Working G</w:t>
      </w:r>
      <w:r w:rsidRPr="00866D96">
        <w:t>roup discussions held in Lilongwe on 27</w:t>
      </w:r>
      <w:r w:rsidRPr="00866D96">
        <w:rPr>
          <w:vertAlign w:val="superscript"/>
        </w:rPr>
        <w:t>th</w:t>
      </w:r>
      <w:r w:rsidRPr="00866D96">
        <w:t xml:space="preserve"> April, 2016.</w:t>
      </w:r>
    </w:p>
    <w:p w14:paraId="7C13282E" w14:textId="77777777" w:rsidR="00B53E51" w:rsidRDefault="00B53E51" w:rsidP="00866D96">
      <w:pPr>
        <w:pStyle w:val="Caption"/>
      </w:pPr>
      <w:bookmarkStart w:id="147" w:name="_Toc481615001"/>
    </w:p>
    <w:p w14:paraId="05F961AE" w14:textId="77777777" w:rsidR="00A6447E" w:rsidRPr="006122EE" w:rsidRDefault="00A6447E" w:rsidP="00866D96">
      <w:pPr>
        <w:pStyle w:val="Caption"/>
      </w:pPr>
      <w:r w:rsidRPr="006122EE">
        <w:t xml:space="preserve">Table </w:t>
      </w:r>
      <w:r w:rsidR="00DC7D8C">
        <w:fldChar w:fldCharType="begin"/>
      </w:r>
      <w:r w:rsidR="00DC7D8C">
        <w:instrText xml:space="preserve"> SEQ Table \* ARABIC </w:instrText>
      </w:r>
      <w:r w:rsidR="00DC7D8C">
        <w:fldChar w:fldCharType="separate"/>
      </w:r>
      <w:r w:rsidR="00866D96">
        <w:rPr>
          <w:noProof/>
        </w:rPr>
        <w:t>16</w:t>
      </w:r>
      <w:r w:rsidR="00DC7D8C">
        <w:rPr>
          <w:noProof/>
        </w:rPr>
        <w:fldChar w:fldCharType="end"/>
      </w:r>
      <w:r w:rsidRPr="006122EE">
        <w:t>: Grid extension targets - BAU</w:t>
      </w:r>
      <w:bookmarkEnd w:id="147"/>
    </w:p>
    <w:tbl>
      <w:tblPr>
        <w:tblStyle w:val="GridTable4-Accent331"/>
        <w:tblW w:w="9535" w:type="dxa"/>
        <w:tblCellMar>
          <w:top w:w="28" w:type="dxa"/>
          <w:bottom w:w="28" w:type="dxa"/>
        </w:tblCellMar>
        <w:tblLook w:val="04A0" w:firstRow="1" w:lastRow="0" w:firstColumn="1" w:lastColumn="0" w:noHBand="0" w:noVBand="1"/>
      </w:tblPr>
      <w:tblGrid>
        <w:gridCol w:w="3248"/>
        <w:gridCol w:w="3289"/>
        <w:gridCol w:w="2998"/>
      </w:tblGrid>
      <w:tr w:rsidR="00DC269F" w:rsidRPr="006122EE" w14:paraId="7F167E96" w14:textId="77777777" w:rsidTr="0088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4B24F227" w14:textId="77777777" w:rsidR="00DC269F" w:rsidRPr="00866D96" w:rsidRDefault="00DC269F" w:rsidP="00883A2F">
            <w:pPr>
              <w:keepNext/>
              <w:spacing w:before="0" w:after="0"/>
              <w:rPr>
                <w:b w:val="0"/>
              </w:rPr>
            </w:pPr>
            <w:r w:rsidRPr="00866D96">
              <w:t>Method</w:t>
            </w:r>
          </w:p>
        </w:tc>
        <w:tc>
          <w:tcPr>
            <w:tcW w:w="3289" w:type="dxa"/>
          </w:tcPr>
          <w:p w14:paraId="636AA6DF" w14:textId="77777777" w:rsidR="00DC269F" w:rsidRPr="00866D96" w:rsidRDefault="00DC269F" w:rsidP="00883A2F">
            <w:pPr>
              <w:keepNext/>
              <w:spacing w:before="0" w:after="0"/>
              <w:cnfStyle w:val="100000000000" w:firstRow="1" w:lastRow="0" w:firstColumn="0" w:lastColumn="0" w:oddVBand="0" w:evenVBand="0" w:oddHBand="0" w:evenHBand="0" w:firstRowFirstColumn="0" w:firstRowLastColumn="0" w:lastRowFirstColumn="0" w:lastRowLastColumn="0"/>
              <w:rPr>
                <w:b w:val="0"/>
              </w:rPr>
            </w:pPr>
            <w:r w:rsidRPr="00866D96">
              <w:t>Number of Households &amp; Businesses-Baseline 2016/Yr</w:t>
            </w:r>
          </w:p>
        </w:tc>
        <w:tc>
          <w:tcPr>
            <w:tcW w:w="2998" w:type="dxa"/>
          </w:tcPr>
          <w:p w14:paraId="0D9097A6" w14:textId="77777777" w:rsidR="00DC269F" w:rsidRPr="00866D96" w:rsidRDefault="00DC269F" w:rsidP="00883A2F">
            <w:pPr>
              <w:keepNext/>
              <w:spacing w:before="0" w:after="0"/>
              <w:cnfStyle w:val="100000000000" w:firstRow="1" w:lastRow="0" w:firstColumn="0" w:lastColumn="0" w:oddVBand="0" w:evenVBand="0" w:oddHBand="0" w:evenHBand="0" w:firstRowFirstColumn="0" w:firstRowLastColumn="0" w:lastRowFirstColumn="0" w:lastRowLastColumn="0"/>
            </w:pPr>
            <w:r w:rsidRPr="00866D96">
              <w:t>Number of Households &amp; Businesses/Year through 2030</w:t>
            </w:r>
          </w:p>
        </w:tc>
      </w:tr>
      <w:tr w:rsidR="00DC269F" w:rsidRPr="006122EE" w14:paraId="4A0F24BA" w14:textId="77777777" w:rsidTr="0088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1D03450B" w14:textId="77777777" w:rsidR="00DC269F" w:rsidRPr="00866D96" w:rsidRDefault="00DC269F" w:rsidP="00883A2F">
            <w:pPr>
              <w:keepNext/>
              <w:spacing w:before="0" w:after="0"/>
            </w:pPr>
            <w:r w:rsidRPr="00866D96">
              <w:t>MAREP-Grid Extension</w:t>
            </w:r>
          </w:p>
        </w:tc>
        <w:tc>
          <w:tcPr>
            <w:tcW w:w="3289" w:type="dxa"/>
          </w:tcPr>
          <w:p w14:paraId="217C76EA" w14:textId="77777777" w:rsidR="00DC269F" w:rsidRPr="00866D96" w:rsidRDefault="00DC269F" w:rsidP="00883A2F">
            <w:pPr>
              <w:keepNext/>
              <w:spacing w:before="0" w:after="0"/>
              <w:cnfStyle w:val="000000100000" w:firstRow="0" w:lastRow="0" w:firstColumn="0" w:lastColumn="0" w:oddVBand="0" w:evenVBand="0" w:oddHBand="1" w:evenHBand="0" w:firstRowFirstColumn="0" w:firstRowLastColumn="0" w:lastRowFirstColumn="0" w:lastRowLastColumn="0"/>
            </w:pPr>
            <w:r w:rsidRPr="00866D96">
              <w:t xml:space="preserve">  5,000.00</w:t>
            </w:r>
          </w:p>
        </w:tc>
        <w:tc>
          <w:tcPr>
            <w:tcW w:w="2998" w:type="dxa"/>
          </w:tcPr>
          <w:p w14:paraId="3EEAA029" w14:textId="77777777" w:rsidR="00DC269F" w:rsidRPr="00866D96" w:rsidRDefault="00DC269F" w:rsidP="00883A2F">
            <w:pPr>
              <w:keepNext/>
              <w:spacing w:before="0" w:after="0"/>
              <w:cnfStyle w:val="000000100000" w:firstRow="0" w:lastRow="0" w:firstColumn="0" w:lastColumn="0" w:oddVBand="0" w:evenVBand="0" w:oddHBand="1" w:evenHBand="0" w:firstRowFirstColumn="0" w:firstRowLastColumn="0" w:lastRowFirstColumn="0" w:lastRowLastColumn="0"/>
            </w:pPr>
            <w:r w:rsidRPr="00866D96">
              <w:t>10,000.00</w:t>
            </w:r>
          </w:p>
        </w:tc>
      </w:tr>
      <w:tr w:rsidR="00DC269F" w:rsidRPr="006122EE" w14:paraId="13CD57B4" w14:textId="77777777" w:rsidTr="00883A2F">
        <w:tc>
          <w:tcPr>
            <w:cnfStyle w:val="001000000000" w:firstRow="0" w:lastRow="0" w:firstColumn="1" w:lastColumn="0" w:oddVBand="0" w:evenVBand="0" w:oddHBand="0" w:evenHBand="0" w:firstRowFirstColumn="0" w:firstRowLastColumn="0" w:lastRowFirstColumn="0" w:lastRowLastColumn="0"/>
            <w:tcW w:w="3248" w:type="dxa"/>
          </w:tcPr>
          <w:p w14:paraId="4200D99F" w14:textId="77777777" w:rsidR="00DC269F" w:rsidRPr="00866D96" w:rsidRDefault="00DC269F" w:rsidP="00883A2F">
            <w:pPr>
              <w:spacing w:before="0" w:after="0"/>
            </w:pPr>
            <w:r w:rsidRPr="00866D96">
              <w:t>ESCOM-Grid Extension</w:t>
            </w:r>
          </w:p>
        </w:tc>
        <w:tc>
          <w:tcPr>
            <w:tcW w:w="3289" w:type="dxa"/>
          </w:tcPr>
          <w:p w14:paraId="35A991BD" w14:textId="77777777" w:rsidR="00DC269F" w:rsidRPr="00866D96" w:rsidRDefault="00DC269F" w:rsidP="00883A2F">
            <w:pPr>
              <w:spacing w:before="0" w:after="0"/>
              <w:cnfStyle w:val="000000000000" w:firstRow="0" w:lastRow="0" w:firstColumn="0" w:lastColumn="0" w:oddVBand="0" w:evenVBand="0" w:oddHBand="0" w:evenHBand="0" w:firstRowFirstColumn="0" w:firstRowLastColumn="0" w:lastRowFirstColumn="0" w:lastRowLastColumn="0"/>
            </w:pPr>
            <w:r w:rsidRPr="00866D96">
              <w:t>50,000.00</w:t>
            </w:r>
          </w:p>
        </w:tc>
        <w:tc>
          <w:tcPr>
            <w:tcW w:w="2998" w:type="dxa"/>
          </w:tcPr>
          <w:p w14:paraId="4548C57E" w14:textId="77777777" w:rsidR="00DC269F" w:rsidRPr="00866D96" w:rsidRDefault="00DC269F" w:rsidP="00883A2F">
            <w:pPr>
              <w:spacing w:before="0" w:after="0"/>
              <w:cnfStyle w:val="000000000000" w:firstRow="0" w:lastRow="0" w:firstColumn="0" w:lastColumn="0" w:oddVBand="0" w:evenVBand="0" w:oddHBand="0" w:evenHBand="0" w:firstRowFirstColumn="0" w:firstRowLastColumn="0" w:lastRowFirstColumn="0" w:lastRowLastColumn="0"/>
            </w:pPr>
            <w:r w:rsidRPr="00866D96">
              <w:t>50,000.00</w:t>
            </w:r>
            <w:r w:rsidRPr="00866D96">
              <w:rPr>
                <w:vertAlign w:val="superscript"/>
              </w:rPr>
              <w:footnoteReference w:id="35"/>
            </w:r>
          </w:p>
        </w:tc>
      </w:tr>
    </w:tbl>
    <w:p w14:paraId="47AA6191" w14:textId="77777777" w:rsidR="00B53E51" w:rsidRDefault="00B53E51" w:rsidP="00B53E51">
      <w:pPr>
        <w:keepNext/>
        <w:spacing w:before="360" w:line="240" w:lineRule="auto"/>
        <w:jc w:val="left"/>
        <w:outlineLvl w:val="2"/>
        <w:rPr>
          <w:b/>
          <w:color w:val="00A1DE" w:themeColor="accent3"/>
          <w:sz w:val="24"/>
          <w:lang w:eastAsia="en-US"/>
        </w:rPr>
      </w:pPr>
      <w:bookmarkStart w:id="148" w:name="_Toc481614901"/>
    </w:p>
    <w:p w14:paraId="6E6DD4F6" w14:textId="77777777" w:rsidR="00DC269F" w:rsidRPr="00866D96" w:rsidRDefault="00DC269F" w:rsidP="00DC269F">
      <w:pPr>
        <w:keepNext/>
        <w:numPr>
          <w:ilvl w:val="2"/>
          <w:numId w:val="14"/>
        </w:numPr>
        <w:spacing w:before="360" w:line="240" w:lineRule="auto"/>
        <w:ind w:left="1429"/>
        <w:jc w:val="left"/>
        <w:outlineLvl w:val="2"/>
        <w:rPr>
          <w:b/>
          <w:color w:val="00A1DE" w:themeColor="accent3"/>
          <w:sz w:val="24"/>
          <w:lang w:eastAsia="en-US"/>
        </w:rPr>
      </w:pPr>
      <w:r w:rsidRPr="00866D96">
        <w:rPr>
          <w:b/>
          <w:color w:val="00A1DE" w:themeColor="accent3"/>
          <w:sz w:val="24"/>
          <w:lang w:eastAsia="en-US"/>
        </w:rPr>
        <w:t>What is the gap between BAU trajectory and the new targets? What are the barriers?</w:t>
      </w:r>
      <w:bookmarkEnd w:id="148"/>
    </w:p>
    <w:p w14:paraId="068FC0AE" w14:textId="77777777" w:rsidR="00666BF3" w:rsidRDefault="00DC269F" w:rsidP="00866D96">
      <w:pPr>
        <w:rPr>
          <w:lang w:eastAsia="en-US"/>
        </w:rPr>
      </w:pPr>
      <w:r w:rsidRPr="00866D96">
        <w:rPr>
          <w:lang w:eastAsia="en-US"/>
        </w:rPr>
        <w:t xml:space="preserve">The gaps between the BAU trajectory and the new </w:t>
      </w:r>
      <w:r w:rsidR="00CC7AEB" w:rsidRPr="00866D96">
        <w:rPr>
          <w:lang w:eastAsia="en-US"/>
        </w:rPr>
        <w:t xml:space="preserve">SE4ALL </w:t>
      </w:r>
      <w:r w:rsidRPr="00866D96">
        <w:rPr>
          <w:lang w:eastAsia="en-US"/>
        </w:rPr>
        <w:t>targets are as follows:</w:t>
      </w:r>
    </w:p>
    <w:p w14:paraId="53DF887C" w14:textId="77777777" w:rsidR="00B53E51" w:rsidRPr="006122EE" w:rsidRDefault="00B53E51" w:rsidP="00866D96"/>
    <w:p w14:paraId="4183DC81" w14:textId="77777777" w:rsidR="00A6447E" w:rsidRPr="006122EE" w:rsidRDefault="00A6447E" w:rsidP="00866D96">
      <w:pPr>
        <w:pStyle w:val="Caption"/>
      </w:pPr>
      <w:bookmarkStart w:id="149" w:name="_Toc481615002"/>
      <w:r w:rsidRPr="006122EE">
        <w:t xml:space="preserve">Table </w:t>
      </w:r>
      <w:r w:rsidR="00DC7D8C">
        <w:fldChar w:fldCharType="begin"/>
      </w:r>
      <w:r w:rsidR="00DC7D8C">
        <w:instrText xml:space="preserve"> SEQ Table \* ARABIC </w:instrText>
      </w:r>
      <w:r w:rsidR="00DC7D8C">
        <w:fldChar w:fldCharType="separate"/>
      </w:r>
      <w:r w:rsidR="00866D96">
        <w:rPr>
          <w:noProof/>
        </w:rPr>
        <w:t>17</w:t>
      </w:r>
      <w:r w:rsidR="00DC7D8C">
        <w:rPr>
          <w:noProof/>
        </w:rPr>
        <w:fldChar w:fldCharType="end"/>
      </w:r>
      <w:r w:rsidRPr="006122EE">
        <w:t>: Grid extension targets - Gap</w:t>
      </w:r>
      <w:bookmarkEnd w:id="149"/>
    </w:p>
    <w:tbl>
      <w:tblPr>
        <w:tblStyle w:val="GridTable4-Accent331"/>
        <w:tblW w:w="9535" w:type="dxa"/>
        <w:tblLook w:val="04A0" w:firstRow="1" w:lastRow="0" w:firstColumn="1" w:lastColumn="0" w:noHBand="0" w:noVBand="1"/>
      </w:tblPr>
      <w:tblGrid>
        <w:gridCol w:w="3248"/>
        <w:gridCol w:w="3289"/>
        <w:gridCol w:w="2998"/>
      </w:tblGrid>
      <w:tr w:rsidR="00DC269F" w:rsidRPr="006122EE" w14:paraId="2F6B2BB3" w14:textId="77777777" w:rsidTr="00822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7AAF2A6F" w14:textId="77777777" w:rsidR="00DC269F" w:rsidRPr="00866D96" w:rsidRDefault="00DC269F" w:rsidP="00866D96">
            <w:pPr>
              <w:keepNext/>
              <w:jc w:val="left"/>
            </w:pPr>
            <w:r w:rsidRPr="00866D96">
              <w:t>Method</w:t>
            </w:r>
          </w:p>
        </w:tc>
        <w:tc>
          <w:tcPr>
            <w:tcW w:w="3289" w:type="dxa"/>
          </w:tcPr>
          <w:p w14:paraId="2CFBE1E8" w14:textId="77777777" w:rsidR="00DC269F" w:rsidRPr="00866D96" w:rsidRDefault="00DC269F" w:rsidP="00866D96">
            <w:pPr>
              <w:keepNext/>
              <w:jc w:val="left"/>
              <w:cnfStyle w:val="100000000000" w:firstRow="1" w:lastRow="0" w:firstColumn="0" w:lastColumn="0" w:oddVBand="0" w:evenVBand="0" w:oddHBand="0" w:evenHBand="0" w:firstRowFirstColumn="0" w:firstRowLastColumn="0" w:lastRowFirstColumn="0" w:lastRowLastColumn="0"/>
            </w:pPr>
            <w:r w:rsidRPr="00866D96">
              <w:t xml:space="preserve">Number of Households  </w:t>
            </w:r>
            <w:r w:rsidR="00A6447E" w:rsidRPr="006122EE">
              <w:t xml:space="preserve">&amp; </w:t>
            </w:r>
            <w:r w:rsidRPr="00866D96">
              <w:t>Businesses-Baseline 2016/Yr</w:t>
            </w:r>
          </w:p>
        </w:tc>
        <w:tc>
          <w:tcPr>
            <w:tcW w:w="2998" w:type="dxa"/>
          </w:tcPr>
          <w:p w14:paraId="5616453D" w14:textId="77777777" w:rsidR="00DC269F" w:rsidRPr="00866D96" w:rsidRDefault="00DC269F" w:rsidP="00866D96">
            <w:pPr>
              <w:keepNext/>
              <w:jc w:val="left"/>
              <w:cnfStyle w:val="100000000000" w:firstRow="1" w:lastRow="0" w:firstColumn="0" w:lastColumn="0" w:oddVBand="0" w:evenVBand="0" w:oddHBand="0" w:evenHBand="0" w:firstRowFirstColumn="0" w:firstRowLastColumn="0" w:lastRowFirstColumn="0" w:lastRowLastColumn="0"/>
            </w:pPr>
            <w:r w:rsidRPr="00866D96">
              <w:t>Gaps in the Targets</w:t>
            </w:r>
          </w:p>
        </w:tc>
      </w:tr>
      <w:tr w:rsidR="00DC269F" w:rsidRPr="006122EE" w14:paraId="3466C406" w14:textId="77777777" w:rsidTr="00822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3D783324" w14:textId="77777777" w:rsidR="00DC269F" w:rsidRPr="00866D96" w:rsidRDefault="00DC269F" w:rsidP="00DC269F">
            <w:pPr>
              <w:keepNext/>
            </w:pPr>
            <w:r w:rsidRPr="00866D96">
              <w:t>MAREP-Grid Extension</w:t>
            </w:r>
          </w:p>
        </w:tc>
        <w:tc>
          <w:tcPr>
            <w:tcW w:w="3289" w:type="dxa"/>
          </w:tcPr>
          <w:p w14:paraId="474EBFFF" w14:textId="77777777" w:rsidR="00DC269F" w:rsidRPr="00866D96" w:rsidRDefault="00DC269F" w:rsidP="00DC269F">
            <w:pPr>
              <w:keepNext/>
              <w:cnfStyle w:val="000000100000" w:firstRow="0" w:lastRow="0" w:firstColumn="0" w:lastColumn="0" w:oddVBand="0" w:evenVBand="0" w:oddHBand="1" w:evenHBand="0" w:firstRowFirstColumn="0" w:firstRowLastColumn="0" w:lastRowFirstColumn="0" w:lastRowLastColumn="0"/>
            </w:pPr>
            <w:r w:rsidRPr="00866D96">
              <w:t xml:space="preserve">  5,000.00</w:t>
            </w:r>
          </w:p>
        </w:tc>
        <w:tc>
          <w:tcPr>
            <w:tcW w:w="2998" w:type="dxa"/>
          </w:tcPr>
          <w:p w14:paraId="33288443" w14:textId="77777777" w:rsidR="00DC269F" w:rsidRPr="00866D96" w:rsidRDefault="00DC269F" w:rsidP="00DC269F">
            <w:pPr>
              <w:keepNext/>
              <w:cnfStyle w:val="000000100000" w:firstRow="0" w:lastRow="0" w:firstColumn="0" w:lastColumn="0" w:oddVBand="0" w:evenVBand="0" w:oddHBand="1" w:evenHBand="0" w:firstRowFirstColumn="0" w:firstRowLastColumn="0" w:lastRowFirstColumn="0" w:lastRowLastColumn="0"/>
            </w:pPr>
            <w:r w:rsidRPr="00866D96">
              <w:t>13,000.00</w:t>
            </w:r>
          </w:p>
        </w:tc>
      </w:tr>
      <w:tr w:rsidR="00DC269F" w:rsidRPr="006122EE" w14:paraId="3F02FFFE" w14:textId="77777777" w:rsidTr="0082252C">
        <w:tc>
          <w:tcPr>
            <w:cnfStyle w:val="001000000000" w:firstRow="0" w:lastRow="0" w:firstColumn="1" w:lastColumn="0" w:oddVBand="0" w:evenVBand="0" w:oddHBand="0" w:evenHBand="0" w:firstRowFirstColumn="0" w:firstRowLastColumn="0" w:lastRowFirstColumn="0" w:lastRowLastColumn="0"/>
            <w:tcW w:w="3248" w:type="dxa"/>
          </w:tcPr>
          <w:p w14:paraId="657AF12B" w14:textId="77777777" w:rsidR="00DC269F" w:rsidRPr="00866D96" w:rsidRDefault="00DC269F" w:rsidP="00DC269F">
            <w:pPr>
              <w:keepNext/>
            </w:pPr>
            <w:r w:rsidRPr="00866D96">
              <w:t>ESCOM-Grid Extension</w:t>
            </w:r>
          </w:p>
        </w:tc>
        <w:tc>
          <w:tcPr>
            <w:tcW w:w="3289" w:type="dxa"/>
          </w:tcPr>
          <w:p w14:paraId="3882FA67" w14:textId="77777777" w:rsidR="00DC269F" w:rsidRPr="00866D96" w:rsidRDefault="00DC269F" w:rsidP="00DC269F">
            <w:pPr>
              <w:keepNext/>
              <w:cnfStyle w:val="000000000000" w:firstRow="0" w:lastRow="0" w:firstColumn="0" w:lastColumn="0" w:oddVBand="0" w:evenVBand="0" w:oddHBand="0" w:evenHBand="0" w:firstRowFirstColumn="0" w:firstRowLastColumn="0" w:lastRowFirstColumn="0" w:lastRowLastColumn="0"/>
            </w:pPr>
            <w:r w:rsidRPr="00866D96">
              <w:t>50,000.00</w:t>
            </w:r>
          </w:p>
        </w:tc>
        <w:tc>
          <w:tcPr>
            <w:tcW w:w="2998" w:type="dxa"/>
          </w:tcPr>
          <w:p w14:paraId="13CD1DF5" w14:textId="77777777" w:rsidR="00DC269F" w:rsidRPr="00866D96" w:rsidRDefault="00DC269F" w:rsidP="00DC269F">
            <w:pPr>
              <w:keepNext/>
              <w:cnfStyle w:val="000000000000" w:firstRow="0" w:lastRow="0" w:firstColumn="0" w:lastColumn="0" w:oddVBand="0" w:evenVBand="0" w:oddHBand="0" w:evenHBand="0" w:firstRowFirstColumn="0" w:firstRowLastColumn="0" w:lastRowFirstColumn="0" w:lastRowLastColumn="0"/>
            </w:pPr>
            <w:r w:rsidRPr="00866D96">
              <w:t>14,000.00</w:t>
            </w:r>
          </w:p>
        </w:tc>
      </w:tr>
    </w:tbl>
    <w:p w14:paraId="712391C1" w14:textId="77777777" w:rsidR="00B53E51" w:rsidRDefault="00B53E51" w:rsidP="00DC269F"/>
    <w:p w14:paraId="7C9B9B2F" w14:textId="77777777" w:rsidR="00DC269F" w:rsidRPr="006122EE" w:rsidRDefault="00DC269F" w:rsidP="00B53E51">
      <w:pPr>
        <w:spacing w:line="276" w:lineRule="auto"/>
      </w:pPr>
      <w:r w:rsidRPr="006122EE">
        <w:t>The following barriers and gaps affect electricity connection through grid extension:</w:t>
      </w:r>
    </w:p>
    <w:p w14:paraId="789D66DD" w14:textId="77777777" w:rsidR="00AF6AC7" w:rsidRDefault="00AF6AC7" w:rsidP="00B53E51">
      <w:pPr>
        <w:pStyle w:val="DBulletlevel1"/>
        <w:spacing w:line="276" w:lineRule="auto"/>
        <w:rPr>
          <w:noProof w:val="0"/>
        </w:rPr>
      </w:pPr>
      <w:r>
        <w:rPr>
          <w:noProof w:val="0"/>
        </w:rPr>
        <w:t xml:space="preserve">New connections are costly and ESCOM has insufficient funds to accelerate the pace of connecting new customers.. </w:t>
      </w:r>
    </w:p>
    <w:p w14:paraId="498011D0" w14:textId="77777777" w:rsidR="00DC269F" w:rsidRPr="00866D96" w:rsidRDefault="00AF6AC7" w:rsidP="00B53E51">
      <w:pPr>
        <w:pStyle w:val="DBulletlevel1"/>
        <w:spacing w:line="276" w:lineRule="auto"/>
        <w:rPr>
          <w:noProof w:val="0"/>
        </w:rPr>
      </w:pPr>
      <w:r>
        <w:rPr>
          <w:noProof w:val="0"/>
        </w:rPr>
        <w:t xml:space="preserve">Instead of hiring private companies to provide and install meters, drop wire, and other equipment directly on customer premises, ESCOM has kept the operations in-house, causing bureaucratic problems and high administrative costs. </w:t>
      </w:r>
    </w:p>
    <w:p w14:paraId="51383732" w14:textId="77777777" w:rsidR="00DC269F" w:rsidRPr="00866D96" w:rsidRDefault="00AF6AC7" w:rsidP="00B53E51">
      <w:pPr>
        <w:pStyle w:val="DBulletlevel1"/>
        <w:spacing w:line="276" w:lineRule="auto"/>
        <w:rPr>
          <w:noProof w:val="0"/>
        </w:rPr>
      </w:pPr>
      <w:r>
        <w:rPr>
          <w:noProof w:val="0"/>
        </w:rPr>
        <w:t>It is difficult for many households to pay for grid electricity, especially because ESCOM</w:t>
      </w:r>
      <w:r w:rsidR="00DC269F" w:rsidRPr="00866D96">
        <w:rPr>
          <w:noProof w:val="0"/>
        </w:rPr>
        <w:t xml:space="preserve"> has hiked its</w:t>
      </w:r>
      <w:r>
        <w:rPr>
          <w:noProof w:val="0"/>
        </w:rPr>
        <w:t xml:space="preserve"> tariff by 18.18% resulting in a retail price of</w:t>
      </w:r>
      <w:r w:rsidR="00DC269F" w:rsidRPr="00866D96">
        <w:rPr>
          <w:noProof w:val="0"/>
        </w:rPr>
        <w:t xml:space="preserve"> </w:t>
      </w:r>
      <w:r>
        <w:rPr>
          <w:noProof w:val="0"/>
        </w:rPr>
        <w:t>US</w:t>
      </w:r>
      <w:r w:rsidR="00DC269F" w:rsidRPr="00866D96">
        <w:rPr>
          <w:noProof w:val="0"/>
        </w:rPr>
        <w:t xml:space="preserve">9.4 </w:t>
      </w:r>
      <w:r>
        <w:rPr>
          <w:noProof w:val="0"/>
        </w:rPr>
        <w:t>cents/kWh, up f</w:t>
      </w:r>
      <w:r w:rsidR="00DC269F" w:rsidRPr="00866D96">
        <w:rPr>
          <w:noProof w:val="0"/>
        </w:rPr>
        <w:t xml:space="preserve">rom </w:t>
      </w:r>
      <w:r>
        <w:rPr>
          <w:noProof w:val="0"/>
        </w:rPr>
        <w:t>US</w:t>
      </w:r>
      <w:r w:rsidR="00DC269F" w:rsidRPr="00866D96">
        <w:rPr>
          <w:noProof w:val="0"/>
        </w:rPr>
        <w:t>8</w:t>
      </w:r>
      <w:r>
        <w:rPr>
          <w:noProof w:val="0"/>
        </w:rPr>
        <w:t>.0 cents/kWh.</w:t>
      </w:r>
      <w:r w:rsidR="00160EA6" w:rsidRPr="00866D96">
        <w:rPr>
          <w:noProof w:val="0"/>
        </w:rPr>
        <w:t>.</w:t>
      </w:r>
    </w:p>
    <w:p w14:paraId="74AA62CF" w14:textId="77777777" w:rsidR="00DC269F" w:rsidRDefault="00DC269F" w:rsidP="00B53E51">
      <w:pPr>
        <w:pStyle w:val="DBulletlevel1"/>
        <w:spacing w:line="276" w:lineRule="auto"/>
        <w:rPr>
          <w:noProof w:val="0"/>
        </w:rPr>
      </w:pPr>
      <w:r w:rsidRPr="00866D96">
        <w:rPr>
          <w:noProof w:val="0"/>
        </w:rPr>
        <w:t>Vandalism of the utility company equipment such as theft of transformer oil and earth mats</w:t>
      </w:r>
      <w:r w:rsidR="00AF6AC7">
        <w:rPr>
          <w:noProof w:val="0"/>
        </w:rPr>
        <w:t xml:space="preserve"> has raised ESCOM operating costs and diverted funds that could be used for new connections</w:t>
      </w:r>
      <w:r w:rsidR="00160EA6" w:rsidRPr="00866D96">
        <w:rPr>
          <w:noProof w:val="0"/>
        </w:rPr>
        <w:t>.</w:t>
      </w:r>
    </w:p>
    <w:p w14:paraId="479DA3BF" w14:textId="77777777" w:rsidR="00DC269F" w:rsidRPr="00866D96" w:rsidRDefault="00AF6AC7" w:rsidP="00B53E51">
      <w:pPr>
        <w:pStyle w:val="DBulletlevel1"/>
        <w:spacing w:line="276" w:lineRule="auto"/>
        <w:rPr>
          <w:noProof w:val="0"/>
        </w:rPr>
      </w:pPr>
      <w:r>
        <w:rPr>
          <w:noProof w:val="0"/>
        </w:rPr>
        <w:t>Low generating</w:t>
      </w:r>
      <w:r w:rsidR="00DC269F" w:rsidRPr="00866D96">
        <w:rPr>
          <w:noProof w:val="0"/>
        </w:rPr>
        <w:t xml:space="preserve"> capacity</w:t>
      </w:r>
      <w:r>
        <w:rPr>
          <w:noProof w:val="0"/>
        </w:rPr>
        <w:t xml:space="preserve"> means that new customers will add to the generation shortfall and increase the strain on the system</w:t>
      </w:r>
      <w:r w:rsidR="00160EA6" w:rsidRPr="00866D96">
        <w:rPr>
          <w:noProof w:val="0"/>
        </w:rPr>
        <w:t>.</w:t>
      </w:r>
    </w:p>
    <w:p w14:paraId="059FBCAB" w14:textId="77777777" w:rsidR="00DC269F" w:rsidRDefault="00DC269F" w:rsidP="00B53E51">
      <w:pPr>
        <w:pStyle w:val="DBulletlevel1"/>
        <w:spacing w:line="276" w:lineRule="auto"/>
        <w:rPr>
          <w:noProof w:val="0"/>
        </w:rPr>
      </w:pPr>
      <w:r w:rsidRPr="00866D96">
        <w:rPr>
          <w:noProof w:val="0"/>
        </w:rPr>
        <w:t>Environmental degradation of the catchment areas for rivers that provide hydro power</w:t>
      </w:r>
      <w:r w:rsidR="00160EA6" w:rsidRPr="00866D96">
        <w:rPr>
          <w:noProof w:val="0"/>
        </w:rPr>
        <w:t>.</w:t>
      </w:r>
    </w:p>
    <w:p w14:paraId="5C159D46" w14:textId="77777777" w:rsidR="00292034" w:rsidRDefault="00292034" w:rsidP="00292034">
      <w:pPr>
        <w:pStyle w:val="DPuces2"/>
        <w:numPr>
          <w:ilvl w:val="0"/>
          <w:numId w:val="0"/>
        </w:numPr>
        <w:ind w:left="1264" w:hanging="357"/>
      </w:pPr>
    </w:p>
    <w:p w14:paraId="443F6643" w14:textId="77777777" w:rsidR="00B509DD" w:rsidRPr="006122EE" w:rsidRDefault="00B509DD" w:rsidP="00866D96">
      <w:pPr>
        <w:pStyle w:val="Style1"/>
      </w:pPr>
      <w:r w:rsidRPr="006122EE">
        <w:t>Current Status of Renewable Energy for Electricity for Off-grid options</w:t>
      </w:r>
    </w:p>
    <w:p w14:paraId="4F42FE64" w14:textId="77777777" w:rsidR="00B509DD" w:rsidRPr="006122EE" w:rsidRDefault="00B509DD" w:rsidP="00B53E51">
      <w:pPr>
        <w:spacing w:line="276" w:lineRule="auto"/>
      </w:pPr>
      <w:r w:rsidRPr="006122EE">
        <w:t>Malawi is well endowed with renewable energy sources</w:t>
      </w:r>
      <w:r w:rsidR="00BF189E" w:rsidRPr="006122EE">
        <w:t>,</w:t>
      </w:r>
      <w:r w:rsidRPr="006122EE">
        <w:t xml:space="preserve"> </w:t>
      </w:r>
      <w:r w:rsidR="00962994">
        <w:t>including</w:t>
      </w:r>
      <w:r w:rsidRPr="006122EE">
        <w:t xml:space="preserve"> solar, wind, biomass, biogas</w:t>
      </w:r>
      <w:r w:rsidR="00BF189E" w:rsidRPr="006122EE">
        <w:t>,</w:t>
      </w:r>
      <w:r w:rsidRPr="006122EE">
        <w:t xml:space="preserve"> geothermal</w:t>
      </w:r>
      <w:r w:rsidR="00BF189E" w:rsidRPr="006122EE">
        <w:t xml:space="preserve"> and hydropower</w:t>
      </w:r>
      <w:r w:rsidRPr="006122EE">
        <w:t xml:space="preserve">. </w:t>
      </w:r>
      <w:r w:rsidR="00962994">
        <w:t>The country</w:t>
      </w:r>
      <w:r w:rsidRPr="006122EE">
        <w:t xml:space="preserve"> has solar irradiation of 21.1MJ/m2/d</w:t>
      </w:r>
      <w:r w:rsidR="00962994">
        <w:t>a</w:t>
      </w:r>
      <w:r w:rsidRPr="006122EE">
        <w:t>y and wind speeds averaging 2-7m/s (Malawi Energy Policy</w:t>
      </w:r>
      <w:r w:rsidR="00603DE0" w:rsidRPr="006122EE">
        <w:t>, 2003</w:t>
      </w:r>
      <w:r w:rsidRPr="006122EE">
        <w:t xml:space="preserve">). </w:t>
      </w:r>
      <w:r w:rsidR="00962994">
        <w:t>In off-grid areas,</w:t>
      </w:r>
      <w:r w:rsidRPr="006122EE">
        <w:t xml:space="preserve"> </w:t>
      </w:r>
      <w:r w:rsidR="00962994">
        <w:t>t</w:t>
      </w:r>
      <w:r w:rsidRPr="006122EE">
        <w:t xml:space="preserve">he mostly </w:t>
      </w:r>
      <w:r w:rsidR="00962994">
        <w:t xml:space="preserve">widely used renewable energy </w:t>
      </w:r>
      <w:r w:rsidRPr="006122EE">
        <w:t xml:space="preserve">source for electricity </w:t>
      </w:r>
      <w:r w:rsidR="00962994">
        <w:t xml:space="preserve">generation is </w:t>
      </w:r>
      <w:r w:rsidRPr="006122EE">
        <w:t>solar</w:t>
      </w:r>
      <w:r w:rsidR="00C841D2">
        <w:t xml:space="preserve"> PV</w:t>
      </w:r>
      <w:r w:rsidR="00962994">
        <w:t xml:space="preserve">. The current </w:t>
      </w:r>
      <w:r w:rsidR="00292034">
        <w:t>state of affairs</w:t>
      </w:r>
      <w:r w:rsidR="00962994">
        <w:t xml:space="preserve"> of off-g</w:t>
      </w:r>
      <w:r w:rsidRPr="006122EE">
        <w:t xml:space="preserve">rid </w:t>
      </w:r>
      <w:r w:rsidR="00962994">
        <w:t xml:space="preserve">electricity supply </w:t>
      </w:r>
      <w:r w:rsidR="00C841D2">
        <w:t xml:space="preserve">can be </w:t>
      </w:r>
      <w:r w:rsidR="00C841D2" w:rsidRPr="006122EE">
        <w:t>characterised</w:t>
      </w:r>
      <w:r w:rsidRPr="006122EE">
        <w:t xml:space="preserve"> </w:t>
      </w:r>
      <w:r w:rsidR="00C841D2">
        <w:t>as follows</w:t>
      </w:r>
      <w:r w:rsidRPr="006122EE">
        <w:t>:</w:t>
      </w:r>
    </w:p>
    <w:p w14:paraId="58262B4D" w14:textId="77777777" w:rsidR="00E34FDA" w:rsidRDefault="00E34FDA" w:rsidP="00E34FDA">
      <w:pPr>
        <w:pStyle w:val="DBulletlevel1"/>
        <w:spacing w:line="276" w:lineRule="auto"/>
        <w:rPr>
          <w:noProof w:val="0"/>
        </w:rPr>
      </w:pPr>
      <w:r w:rsidRPr="00866D96">
        <w:rPr>
          <w:noProof w:val="0"/>
        </w:rPr>
        <w:t>There are seven mini-grids in Malawi. Six are government owned though only one of them is operating. The seventh is owned privately by Mulanje Electricity Generation Agency (MEGA).</w:t>
      </w:r>
    </w:p>
    <w:p w14:paraId="4B58152B" w14:textId="77777777" w:rsidR="00B509DD" w:rsidRPr="00866D96" w:rsidRDefault="00C841D2" w:rsidP="00B53E51">
      <w:pPr>
        <w:pStyle w:val="DBulletlevel1"/>
        <w:spacing w:line="276" w:lineRule="auto"/>
        <w:rPr>
          <w:noProof w:val="0"/>
        </w:rPr>
      </w:pPr>
      <w:r>
        <w:rPr>
          <w:noProof w:val="0"/>
        </w:rPr>
        <w:t>There is a</w:t>
      </w:r>
      <w:r w:rsidR="00B509DD" w:rsidRPr="00866D96">
        <w:rPr>
          <w:noProof w:val="0"/>
        </w:rPr>
        <w:t xml:space="preserve"> maximum of 140,000 pico-solar lanterns and SHS </w:t>
      </w:r>
      <w:r>
        <w:rPr>
          <w:noProof w:val="0"/>
        </w:rPr>
        <w:t xml:space="preserve">in use, as of 2016. </w:t>
      </w:r>
    </w:p>
    <w:p w14:paraId="0D30F78E" w14:textId="77777777" w:rsidR="00B509DD" w:rsidRPr="00866D96" w:rsidRDefault="00C841D2" w:rsidP="00B53E51">
      <w:pPr>
        <w:pStyle w:val="DBulletlevel1"/>
        <w:spacing w:line="276" w:lineRule="auto"/>
        <w:rPr>
          <w:noProof w:val="0"/>
        </w:rPr>
      </w:pPr>
      <w:r>
        <w:rPr>
          <w:noProof w:val="0"/>
        </w:rPr>
        <w:t>There is a i</w:t>
      </w:r>
      <w:r w:rsidR="00B509DD" w:rsidRPr="00866D96">
        <w:rPr>
          <w:noProof w:val="0"/>
        </w:rPr>
        <w:t>nflux of poor quality products</w:t>
      </w:r>
      <w:r>
        <w:rPr>
          <w:noProof w:val="0"/>
        </w:rPr>
        <w:t xml:space="preserve"> such as solar panels and solar lanterns</w:t>
      </w:r>
      <w:r w:rsidR="00160EA6" w:rsidRPr="00866D96">
        <w:rPr>
          <w:noProof w:val="0"/>
        </w:rPr>
        <w:t>.</w:t>
      </w:r>
    </w:p>
    <w:p w14:paraId="2A95A967" w14:textId="77777777" w:rsidR="00B509DD" w:rsidRPr="00866D96" w:rsidRDefault="00C841D2" w:rsidP="00B53E51">
      <w:pPr>
        <w:pStyle w:val="DBulletlevel1"/>
        <w:spacing w:line="276" w:lineRule="auto"/>
        <w:rPr>
          <w:noProof w:val="0"/>
        </w:rPr>
      </w:pPr>
      <w:r>
        <w:rPr>
          <w:noProof w:val="0"/>
        </w:rPr>
        <w:t>Solar systems in public institutions are poorly maintained</w:t>
      </w:r>
      <w:r w:rsidR="005F5B55" w:rsidRPr="00866D96">
        <w:rPr>
          <w:noProof w:val="0"/>
        </w:rPr>
        <w:t xml:space="preserve">. </w:t>
      </w:r>
      <w:r>
        <w:rPr>
          <w:noProof w:val="0"/>
        </w:rPr>
        <w:t>A</w:t>
      </w:r>
      <w:r w:rsidR="00B509DD" w:rsidRPr="00866D96">
        <w:rPr>
          <w:noProof w:val="0"/>
        </w:rPr>
        <w:t xml:space="preserve"> </w:t>
      </w:r>
      <w:r>
        <w:rPr>
          <w:noProof w:val="0"/>
        </w:rPr>
        <w:t xml:space="preserve">UN Foundation </w:t>
      </w:r>
      <w:r w:rsidR="00B509DD" w:rsidRPr="00866D96">
        <w:rPr>
          <w:noProof w:val="0"/>
        </w:rPr>
        <w:t xml:space="preserve">survey </w:t>
      </w:r>
      <w:r w:rsidR="005F5B55" w:rsidRPr="00866D96">
        <w:rPr>
          <w:noProof w:val="0"/>
        </w:rPr>
        <w:t>found</w:t>
      </w:r>
      <w:r w:rsidR="00B509DD" w:rsidRPr="00866D96">
        <w:rPr>
          <w:noProof w:val="0"/>
        </w:rPr>
        <w:t xml:space="preserve"> that </w:t>
      </w:r>
      <w:r w:rsidR="005F5B55" w:rsidRPr="00866D96">
        <w:rPr>
          <w:noProof w:val="0"/>
        </w:rPr>
        <w:t>only</w:t>
      </w:r>
      <w:r w:rsidR="00B509DD" w:rsidRPr="00866D96">
        <w:rPr>
          <w:noProof w:val="0"/>
        </w:rPr>
        <w:t xml:space="preserve"> 57% of solar systems </w:t>
      </w:r>
      <w:r>
        <w:rPr>
          <w:noProof w:val="0"/>
        </w:rPr>
        <w:t xml:space="preserve">installed at schools, hospitals and other institutions </w:t>
      </w:r>
      <w:r w:rsidR="00B509DD" w:rsidRPr="00866D96">
        <w:rPr>
          <w:noProof w:val="0"/>
        </w:rPr>
        <w:t>were functional.</w:t>
      </w:r>
    </w:p>
    <w:p w14:paraId="4A908B57" w14:textId="77777777" w:rsidR="00B509DD" w:rsidRPr="00866D96" w:rsidRDefault="00222567" w:rsidP="00B53E51">
      <w:pPr>
        <w:pStyle w:val="DBulletlevel1"/>
        <w:spacing w:line="276" w:lineRule="auto"/>
        <w:rPr>
          <w:noProof w:val="0"/>
        </w:rPr>
      </w:pPr>
      <w:r>
        <w:rPr>
          <w:noProof w:val="0"/>
        </w:rPr>
        <w:t>There is a general l</w:t>
      </w:r>
      <w:r w:rsidR="00B509DD" w:rsidRPr="00866D96">
        <w:rPr>
          <w:noProof w:val="0"/>
        </w:rPr>
        <w:t xml:space="preserve">ack of </w:t>
      </w:r>
      <w:r>
        <w:rPr>
          <w:noProof w:val="0"/>
        </w:rPr>
        <w:t>understanding</w:t>
      </w:r>
      <w:r w:rsidR="00B509DD" w:rsidRPr="00866D96">
        <w:rPr>
          <w:noProof w:val="0"/>
        </w:rPr>
        <w:t xml:space="preserve"> </w:t>
      </w:r>
      <w:r w:rsidR="00292034">
        <w:rPr>
          <w:noProof w:val="0"/>
        </w:rPr>
        <w:t xml:space="preserve">by households, businesses and institutions </w:t>
      </w:r>
      <w:r>
        <w:rPr>
          <w:noProof w:val="0"/>
        </w:rPr>
        <w:t>about how to</w:t>
      </w:r>
      <w:r w:rsidR="00B509DD" w:rsidRPr="00866D96">
        <w:rPr>
          <w:noProof w:val="0"/>
        </w:rPr>
        <w:t xml:space="preserve"> operat</w:t>
      </w:r>
      <w:r>
        <w:rPr>
          <w:noProof w:val="0"/>
        </w:rPr>
        <w:t>e and maintain solar</w:t>
      </w:r>
      <w:r w:rsidR="00B509DD" w:rsidRPr="00866D96">
        <w:rPr>
          <w:noProof w:val="0"/>
        </w:rPr>
        <w:t xml:space="preserve"> </w:t>
      </w:r>
      <w:r w:rsidR="009C73EC" w:rsidRPr="00866D96">
        <w:rPr>
          <w:noProof w:val="0"/>
        </w:rPr>
        <w:t>system</w:t>
      </w:r>
      <w:r>
        <w:rPr>
          <w:noProof w:val="0"/>
        </w:rPr>
        <w:t>s</w:t>
      </w:r>
      <w:r w:rsidR="00160EA6" w:rsidRPr="00866D96">
        <w:rPr>
          <w:noProof w:val="0"/>
        </w:rPr>
        <w:t>.</w:t>
      </w:r>
    </w:p>
    <w:p w14:paraId="263E67EB" w14:textId="77777777" w:rsidR="00B509DD" w:rsidRPr="00866D96" w:rsidRDefault="00B509DD" w:rsidP="00B53E51">
      <w:pPr>
        <w:pStyle w:val="DBulletlevel1"/>
        <w:spacing w:line="276" w:lineRule="auto"/>
        <w:rPr>
          <w:noProof w:val="0"/>
        </w:rPr>
      </w:pPr>
      <w:r w:rsidRPr="00866D96">
        <w:rPr>
          <w:noProof w:val="0"/>
        </w:rPr>
        <w:t>There are 5</w:t>
      </w:r>
      <w:r w:rsidR="00222567">
        <w:rPr>
          <w:noProof w:val="0"/>
        </w:rPr>
        <w:t>-10</w:t>
      </w:r>
      <w:r w:rsidRPr="00866D96">
        <w:rPr>
          <w:noProof w:val="0"/>
        </w:rPr>
        <w:t xml:space="preserve"> solar kiosk</w:t>
      </w:r>
      <w:r w:rsidR="00222567">
        <w:rPr>
          <w:noProof w:val="0"/>
        </w:rPr>
        <w:t xml:space="preserve">s </w:t>
      </w:r>
      <w:r w:rsidR="00292034">
        <w:rPr>
          <w:noProof w:val="0"/>
        </w:rPr>
        <w:t xml:space="preserve">are </w:t>
      </w:r>
      <w:r w:rsidR="00222567">
        <w:rPr>
          <w:noProof w:val="0"/>
        </w:rPr>
        <w:t>in place</w:t>
      </w:r>
      <w:r w:rsidRPr="00866D96">
        <w:rPr>
          <w:noProof w:val="0"/>
        </w:rPr>
        <w:t xml:space="preserve"> to cater </w:t>
      </w:r>
      <w:r w:rsidR="00222567">
        <w:rPr>
          <w:noProof w:val="0"/>
        </w:rPr>
        <w:t>to</w:t>
      </w:r>
      <w:r w:rsidRPr="00866D96">
        <w:rPr>
          <w:noProof w:val="0"/>
        </w:rPr>
        <w:t xml:space="preserve"> rural communities far from the grid</w:t>
      </w:r>
      <w:r w:rsidR="00160EA6" w:rsidRPr="00866D96">
        <w:rPr>
          <w:noProof w:val="0"/>
        </w:rPr>
        <w:t>.</w:t>
      </w:r>
      <w:r w:rsidR="00292034">
        <w:rPr>
          <w:noProof w:val="0"/>
        </w:rPr>
        <w:t xml:space="preserve"> There are no programs or incentives to expand solar kiosks to other parts of the country.</w:t>
      </w:r>
    </w:p>
    <w:p w14:paraId="432557A5" w14:textId="77777777" w:rsidR="00B509DD" w:rsidRPr="006122EE" w:rsidRDefault="00B509DD" w:rsidP="00B53E51">
      <w:pPr>
        <w:spacing w:line="276" w:lineRule="auto"/>
      </w:pPr>
      <w:r w:rsidRPr="006122EE">
        <w:t>In order to improve the current situation on renewables the stakeholders meeting proposed the following:</w:t>
      </w:r>
    </w:p>
    <w:p w14:paraId="0AA03467" w14:textId="77777777" w:rsidR="00B509DD" w:rsidRPr="00866D96" w:rsidRDefault="00B509DD" w:rsidP="00B53E51">
      <w:pPr>
        <w:pStyle w:val="DBulletlevel1"/>
        <w:spacing w:line="276" w:lineRule="auto"/>
        <w:rPr>
          <w:noProof w:val="0"/>
        </w:rPr>
      </w:pPr>
      <w:r w:rsidRPr="00866D96">
        <w:rPr>
          <w:noProof w:val="0"/>
        </w:rPr>
        <w:t>Public awareness and sensitisation on renewable energy technologies</w:t>
      </w:r>
      <w:r w:rsidR="00160EA6" w:rsidRPr="00866D96">
        <w:rPr>
          <w:noProof w:val="0"/>
        </w:rPr>
        <w:t>.</w:t>
      </w:r>
    </w:p>
    <w:p w14:paraId="3F0716A1" w14:textId="77777777" w:rsidR="00B509DD" w:rsidRPr="00866D96" w:rsidRDefault="00B509DD" w:rsidP="00B53E51">
      <w:pPr>
        <w:pStyle w:val="DBulletlevel1"/>
        <w:spacing w:line="276" w:lineRule="auto"/>
        <w:rPr>
          <w:noProof w:val="0"/>
        </w:rPr>
      </w:pPr>
      <w:r w:rsidRPr="00866D96">
        <w:rPr>
          <w:noProof w:val="0"/>
        </w:rPr>
        <w:t>Enforcement of quality and discouragement of non-certified importers to reduce price differences</w:t>
      </w:r>
      <w:r w:rsidR="00160EA6" w:rsidRPr="00866D96">
        <w:rPr>
          <w:noProof w:val="0"/>
        </w:rPr>
        <w:t>.</w:t>
      </w:r>
    </w:p>
    <w:p w14:paraId="0DFBF5B5" w14:textId="77777777" w:rsidR="00B509DD" w:rsidRPr="00866D96" w:rsidRDefault="00B509DD" w:rsidP="00B53E51">
      <w:pPr>
        <w:pStyle w:val="DBulletlevel1"/>
        <w:spacing w:line="276" w:lineRule="auto"/>
        <w:rPr>
          <w:noProof w:val="0"/>
        </w:rPr>
      </w:pPr>
      <w:r w:rsidRPr="00866D96">
        <w:rPr>
          <w:noProof w:val="0"/>
        </w:rPr>
        <w:t>Solar access to be categorised at levels and financing mechanisms for various levels (micro-financing, PAYG</w:t>
      </w:r>
      <w:r w:rsidR="00105959" w:rsidRPr="00866D96">
        <w:rPr>
          <w:noProof w:val="0"/>
        </w:rPr>
        <w:t xml:space="preserve">) </w:t>
      </w:r>
      <w:r w:rsidR="00EE7944" w:rsidRPr="00866D96">
        <w:rPr>
          <w:noProof w:val="0"/>
        </w:rPr>
        <w:t xml:space="preserve">while noting the difficulties of implementing these financing </w:t>
      </w:r>
      <w:r w:rsidR="000D2D33" w:rsidRPr="006122EE">
        <w:rPr>
          <w:noProof w:val="0"/>
        </w:rPr>
        <w:t>mechanisms</w:t>
      </w:r>
      <w:r w:rsidR="00EE7944" w:rsidRPr="00866D96">
        <w:rPr>
          <w:noProof w:val="0"/>
        </w:rPr>
        <w:t>, such as the lack of guarantees in many PAYG initiatives</w:t>
      </w:r>
    </w:p>
    <w:p w14:paraId="160DE4B7" w14:textId="77777777" w:rsidR="00B509DD" w:rsidRPr="00866D96" w:rsidRDefault="00B509DD" w:rsidP="00B53E51">
      <w:pPr>
        <w:pStyle w:val="DBulletlevel1"/>
        <w:spacing w:line="276" w:lineRule="auto"/>
        <w:rPr>
          <w:noProof w:val="0"/>
        </w:rPr>
      </w:pPr>
      <w:r w:rsidRPr="00866D96">
        <w:rPr>
          <w:noProof w:val="0"/>
        </w:rPr>
        <w:t>Government subsidies on renewable energy technologies and products</w:t>
      </w:r>
      <w:r w:rsidR="00160EA6" w:rsidRPr="00866D96">
        <w:rPr>
          <w:noProof w:val="0"/>
        </w:rPr>
        <w:t>.</w:t>
      </w:r>
    </w:p>
    <w:p w14:paraId="2E0C10A8" w14:textId="77777777" w:rsidR="00B509DD" w:rsidRPr="00866D96" w:rsidRDefault="00B509DD" w:rsidP="00B53E51">
      <w:pPr>
        <w:pStyle w:val="DBulletlevel1"/>
        <w:spacing w:line="276" w:lineRule="auto"/>
        <w:rPr>
          <w:noProof w:val="0"/>
        </w:rPr>
      </w:pPr>
      <w:r w:rsidRPr="00866D96">
        <w:rPr>
          <w:noProof w:val="0"/>
        </w:rPr>
        <w:t>Training of personnel for certified companies</w:t>
      </w:r>
      <w:r w:rsidR="00160EA6" w:rsidRPr="00866D96">
        <w:rPr>
          <w:noProof w:val="0"/>
        </w:rPr>
        <w:t>.</w:t>
      </w:r>
    </w:p>
    <w:p w14:paraId="1FE7BE25" w14:textId="77777777" w:rsidR="00B509DD" w:rsidRPr="00866D96" w:rsidRDefault="00B509DD" w:rsidP="00B53E51">
      <w:pPr>
        <w:pStyle w:val="DBulletlevel1"/>
        <w:spacing w:line="276" w:lineRule="auto"/>
        <w:rPr>
          <w:noProof w:val="0"/>
        </w:rPr>
      </w:pPr>
      <w:r w:rsidRPr="00866D96">
        <w:rPr>
          <w:noProof w:val="0"/>
        </w:rPr>
        <w:t>Use of new and efficient technological products</w:t>
      </w:r>
      <w:r w:rsidR="00160EA6" w:rsidRPr="00866D96">
        <w:rPr>
          <w:noProof w:val="0"/>
        </w:rPr>
        <w:t>.</w:t>
      </w:r>
    </w:p>
    <w:p w14:paraId="1876655D" w14:textId="77777777" w:rsidR="00B509DD" w:rsidRPr="00866D96" w:rsidRDefault="00B509DD" w:rsidP="00B53E51">
      <w:pPr>
        <w:pStyle w:val="DBulletlevel1"/>
        <w:spacing w:line="276" w:lineRule="auto"/>
        <w:rPr>
          <w:noProof w:val="0"/>
        </w:rPr>
      </w:pPr>
      <w:r w:rsidRPr="00866D96">
        <w:rPr>
          <w:noProof w:val="0"/>
        </w:rPr>
        <w:t>Promotion of solar electricity generation by industries for own use and feed in to the grid</w:t>
      </w:r>
      <w:r w:rsidR="00160EA6" w:rsidRPr="00866D96">
        <w:rPr>
          <w:noProof w:val="0"/>
        </w:rPr>
        <w:t>.</w:t>
      </w:r>
    </w:p>
    <w:p w14:paraId="111B650C" w14:textId="77777777" w:rsidR="00B509DD" w:rsidRPr="00866D96" w:rsidRDefault="00B509DD" w:rsidP="00B53E51">
      <w:pPr>
        <w:pStyle w:val="DBulletlevel1"/>
        <w:spacing w:line="276" w:lineRule="auto"/>
        <w:rPr>
          <w:noProof w:val="0"/>
        </w:rPr>
      </w:pPr>
      <w:r w:rsidRPr="00866D96">
        <w:rPr>
          <w:noProof w:val="0"/>
        </w:rPr>
        <w:t>Promotion of off-grid systems for productive use</w:t>
      </w:r>
      <w:r w:rsidR="00160EA6" w:rsidRPr="00866D96">
        <w:rPr>
          <w:noProof w:val="0"/>
        </w:rPr>
        <w:t>.</w:t>
      </w:r>
    </w:p>
    <w:p w14:paraId="6300430A" w14:textId="77777777" w:rsidR="00B509DD" w:rsidRPr="00866D96" w:rsidRDefault="00B509DD" w:rsidP="00B53E51">
      <w:pPr>
        <w:pStyle w:val="BTitle3"/>
        <w:spacing w:line="276" w:lineRule="auto"/>
        <w:rPr>
          <w:noProof w:val="0"/>
          <w:lang w:val="en-GB"/>
        </w:rPr>
      </w:pPr>
      <w:bookmarkStart w:id="150" w:name="_Toc481614902"/>
      <w:r w:rsidRPr="00866D96">
        <w:rPr>
          <w:noProof w:val="0"/>
          <w:lang w:val="en-GB"/>
        </w:rPr>
        <w:t>Existing plans and projections to 2030</w:t>
      </w:r>
      <w:bookmarkEnd w:id="150"/>
    </w:p>
    <w:p w14:paraId="1C18D3FE" w14:textId="77777777" w:rsidR="00B509DD" w:rsidRPr="00866D96" w:rsidRDefault="00B509DD" w:rsidP="00B53E51">
      <w:pPr>
        <w:spacing w:line="276" w:lineRule="auto"/>
      </w:pPr>
      <w:r w:rsidRPr="006122EE">
        <w:t>The vision is that by 2030 every household far away from the grid should have access to clean, affordable, sustainable and adequate energy for lighting through either off grid options or mini grid options.</w:t>
      </w:r>
    </w:p>
    <w:p w14:paraId="7F896653" w14:textId="77777777" w:rsidR="00B509DD" w:rsidRPr="00866D96" w:rsidRDefault="00B509DD" w:rsidP="00B53E51">
      <w:pPr>
        <w:spacing w:line="276" w:lineRule="auto"/>
      </w:pPr>
      <w:r w:rsidRPr="00866D96">
        <w:t xml:space="preserve">The </w:t>
      </w:r>
      <w:r w:rsidRPr="006122EE">
        <w:t>existing</w:t>
      </w:r>
      <w:r w:rsidRPr="00866D96">
        <w:t xml:space="preserve"> plans and projections cover projects that are being implemented through donors as well as </w:t>
      </w:r>
      <w:r w:rsidR="00983ED1" w:rsidRPr="00866D96">
        <w:t>g</w:t>
      </w:r>
      <w:r w:rsidRPr="00866D96">
        <w:t>overnment are indicated below:</w:t>
      </w:r>
    </w:p>
    <w:p w14:paraId="5527810D" w14:textId="77777777" w:rsidR="002A45B3" w:rsidRPr="006122EE" w:rsidRDefault="002A45B3" w:rsidP="00B53E51">
      <w:pPr>
        <w:pStyle w:val="Style1"/>
        <w:spacing w:line="276" w:lineRule="auto"/>
      </w:pPr>
      <w:r w:rsidRPr="006122EE">
        <w:t>Scotland Government Initiative</w:t>
      </w:r>
    </w:p>
    <w:p w14:paraId="678EB626" w14:textId="77777777" w:rsidR="002A45B3" w:rsidRPr="006122EE" w:rsidRDefault="002A45B3" w:rsidP="00B53E51">
      <w:pPr>
        <w:pStyle w:val="NormalWeb"/>
        <w:spacing w:after="120" w:line="276" w:lineRule="auto"/>
        <w:jc w:val="both"/>
        <w:rPr>
          <w:rFonts w:ascii="Arial" w:hAnsi="Arial" w:cs="Arial"/>
          <w:color w:val="000000"/>
          <w:sz w:val="20"/>
          <w:szCs w:val="20"/>
          <w:lang w:val="en-GB"/>
        </w:rPr>
      </w:pPr>
      <w:r w:rsidRPr="00866D96">
        <w:rPr>
          <w:rFonts w:ascii="Arial" w:hAnsi="Arial" w:cs="Arial"/>
          <w:sz w:val="20"/>
          <w:szCs w:val="20"/>
          <w:lang w:val="en-GB"/>
        </w:rPr>
        <w:t xml:space="preserve">The Government of Scotland is funding two renewable energy projects in the period 2015 to 2018. One project is the Sustainable Off-grid Electrification of Rural Villages (SOGERV). The project aims to electrify the rural areas of Chikwawa District. The project will electrify households, businesses and community energy infrastructure. The objective of the project is to reduce energy poverty in the rural areas. The project cost is 599,028 pounds. The project is implemented by Concern Universal in coordination with the </w:t>
      </w:r>
      <w:r w:rsidRPr="00866D96">
        <w:rPr>
          <w:rFonts w:ascii="Arial" w:hAnsi="Arial" w:cs="Arial"/>
          <w:color w:val="000000"/>
          <w:sz w:val="20"/>
          <w:szCs w:val="20"/>
          <w:lang w:val="en-GB"/>
        </w:rPr>
        <w:t xml:space="preserve">Centre for Water Sanitation Health &amp; Appropriate Technology Development (WASHTED) at the Polytechnic. </w:t>
      </w:r>
      <w:r w:rsidRPr="006122EE">
        <w:rPr>
          <w:rFonts w:ascii="Arial" w:hAnsi="Arial" w:cs="Arial"/>
          <w:color w:val="000000"/>
          <w:sz w:val="20"/>
          <w:szCs w:val="20"/>
          <w:lang w:val="en-GB"/>
        </w:rPr>
        <w:t>The overarching aim of SOGERV project is to meet the Sustainable Energy for All goal of increasing energy access in Malawi where electricity access is currently only 10% overall and less than 1% in rural areas. The other project is Powering Development in Mulanjje (PDM). The objective of the project is to catalyse social and economic development of the poor communities around Mulanje Mountain by supplying renewable electricity through mini-grid option powered by micro hydro power station. The project cost is 599,374 pounds.</w:t>
      </w:r>
    </w:p>
    <w:p w14:paraId="68EEB541" w14:textId="77777777" w:rsidR="002A45B3" w:rsidRPr="006122EE" w:rsidRDefault="002A45B3" w:rsidP="00B53E51">
      <w:pPr>
        <w:pStyle w:val="Style1"/>
        <w:spacing w:line="276" w:lineRule="auto"/>
      </w:pPr>
      <w:r w:rsidRPr="006122EE">
        <w:t>European Union Initiative</w:t>
      </w:r>
    </w:p>
    <w:p w14:paraId="28AC7C92" w14:textId="77777777" w:rsidR="002A45B3" w:rsidRPr="006122EE" w:rsidRDefault="002A45B3" w:rsidP="00B53E51">
      <w:pPr>
        <w:pStyle w:val="NormalWeb"/>
        <w:keepNext w:val="0"/>
        <w:spacing w:after="120" w:line="276" w:lineRule="auto"/>
        <w:jc w:val="both"/>
        <w:rPr>
          <w:rFonts w:ascii="Arial" w:hAnsi="Arial" w:cs="Arial"/>
          <w:color w:val="000000"/>
          <w:sz w:val="20"/>
          <w:szCs w:val="20"/>
          <w:lang w:val="en-GB"/>
        </w:rPr>
      </w:pPr>
      <w:r w:rsidRPr="006122EE">
        <w:rPr>
          <w:rFonts w:ascii="Arial" w:hAnsi="Arial" w:cs="Arial"/>
          <w:color w:val="000000"/>
          <w:sz w:val="20"/>
          <w:szCs w:val="20"/>
          <w:lang w:val="en-GB"/>
        </w:rPr>
        <w:t>The European Union is funding several renewable energy projects in Malawi. One such project is the supply and installation of solar powered stations to supply electricity for households, businesses and irrigation. Practical Action is the leading partner in this initiative. There are four mini-grid systems to be powered by solar to provide electricity to households, businesses and irrigation in the four sites in Chikwawa and Nsanje Districts. The other project involves supply and installation of solar energy kiosks in the rural areas of Chikwawa and Nsanje Districts. The lead partner for this project is HIVOS. The total number of solar energy kiosks is six.</w:t>
      </w:r>
    </w:p>
    <w:p w14:paraId="7C33AD79" w14:textId="77777777" w:rsidR="002A45B3" w:rsidRPr="006122EE" w:rsidRDefault="002A45B3" w:rsidP="00B53E51">
      <w:pPr>
        <w:pStyle w:val="Style1"/>
        <w:spacing w:line="276" w:lineRule="auto"/>
      </w:pPr>
      <w:r w:rsidRPr="006122EE">
        <w:t>Government of Malawi Initiative</w:t>
      </w:r>
    </w:p>
    <w:p w14:paraId="65930340" w14:textId="77777777" w:rsidR="002A45B3" w:rsidRPr="00866D96" w:rsidRDefault="002A45B3" w:rsidP="00B53E51">
      <w:pPr>
        <w:pStyle w:val="NormalWeb"/>
        <w:spacing w:after="120" w:line="276" w:lineRule="auto"/>
        <w:jc w:val="both"/>
        <w:rPr>
          <w:rFonts w:ascii="Arial" w:hAnsi="Arial" w:cs="Arial"/>
          <w:sz w:val="20"/>
          <w:szCs w:val="20"/>
          <w:lang w:val="en-GB"/>
        </w:rPr>
      </w:pPr>
      <w:r w:rsidRPr="00866D96">
        <w:rPr>
          <w:rFonts w:ascii="Arial" w:hAnsi="Arial" w:cs="Arial"/>
          <w:sz w:val="20"/>
          <w:szCs w:val="20"/>
          <w:lang w:val="en-GB"/>
        </w:rPr>
        <w:t xml:space="preserve">The </w:t>
      </w:r>
      <w:r w:rsidR="00983ED1" w:rsidRPr="00866D96">
        <w:rPr>
          <w:rFonts w:ascii="Arial" w:hAnsi="Arial" w:cs="Arial"/>
          <w:sz w:val="20"/>
          <w:szCs w:val="20"/>
          <w:lang w:val="en-GB"/>
        </w:rPr>
        <w:t>g</w:t>
      </w:r>
      <w:r w:rsidRPr="00866D96">
        <w:rPr>
          <w:rFonts w:ascii="Arial" w:hAnsi="Arial" w:cs="Arial"/>
          <w:sz w:val="20"/>
          <w:szCs w:val="20"/>
          <w:lang w:val="en-GB"/>
        </w:rPr>
        <w:t xml:space="preserve">overnment is planning to fund renewable energy projects through the rural electrification fund as evidenced by the reviewed energy policy. It is anticipated that if the reviewed energy policy is approved, the unlocking of funds for renewable energy projects will be possible thereby enabling the failed solar villages to be re operationalized. It is also anticipated that the fund will enable private sector participation in the investment of renewable energy projects through off-grid options. Ministry of Agriculture, Irrigation and Water Development has started powering some of the irrigation schemes with solar power. Ministry of Health continues to electrify health centres away from the grid through solar power. The </w:t>
      </w:r>
      <w:r w:rsidR="00983ED1" w:rsidRPr="00866D96">
        <w:rPr>
          <w:rFonts w:ascii="Arial" w:hAnsi="Arial" w:cs="Arial"/>
          <w:sz w:val="20"/>
          <w:szCs w:val="20"/>
          <w:lang w:val="en-GB"/>
        </w:rPr>
        <w:t>g</w:t>
      </w:r>
      <w:r w:rsidRPr="00866D96">
        <w:rPr>
          <w:rFonts w:ascii="Arial" w:hAnsi="Arial" w:cs="Arial"/>
          <w:sz w:val="20"/>
          <w:szCs w:val="20"/>
          <w:lang w:val="en-GB"/>
        </w:rPr>
        <w:t>overnment is also planning to extend the rural electrification fund to the in-house wiring of public facilities such as schools and health centres in all trading centres where grid will be extended. This has been included in the reviewed energy policy.</w:t>
      </w:r>
    </w:p>
    <w:p w14:paraId="53F097AC" w14:textId="77777777" w:rsidR="00B509DD" w:rsidRPr="006122EE" w:rsidRDefault="00B509DD" w:rsidP="00B53E51">
      <w:pPr>
        <w:pStyle w:val="Style1"/>
        <w:spacing w:line="276" w:lineRule="auto"/>
      </w:pPr>
      <w:r w:rsidRPr="006122EE">
        <w:t>What is the target for 2030 for off grid options?</w:t>
      </w:r>
    </w:p>
    <w:p w14:paraId="4FF79120" w14:textId="77777777" w:rsidR="00E7196C" w:rsidRPr="006122EE" w:rsidRDefault="00B509DD" w:rsidP="00B53E51">
      <w:pPr>
        <w:spacing w:line="276" w:lineRule="auto"/>
      </w:pPr>
      <w:r w:rsidRPr="006122EE">
        <w:t>The targets for 2030 are estimated as shown in the table below. The targets are estimated based on the Malawi Energy Policy, 2003. It is expected that 10% of households and businesses will be using renewable energy by 2030</w:t>
      </w:r>
      <w:r w:rsidR="00160EA6" w:rsidRPr="006122EE">
        <w:rPr>
          <w:rStyle w:val="FootnoteReference"/>
        </w:rPr>
        <w:footnoteReference w:id="36"/>
      </w:r>
      <w:r w:rsidRPr="006122EE">
        <w:t>.</w:t>
      </w:r>
      <w:r w:rsidR="00F852DA" w:rsidRPr="006122EE">
        <w:t xml:space="preserve"> </w:t>
      </w:r>
      <w:r w:rsidR="00F852DA" w:rsidRPr="00866D96">
        <w:rPr>
          <w:color w:val="auto"/>
        </w:rPr>
        <w:t>During the stakeholders meeting it was estimated that there are currently 5,000 solar home systems and 300,000 pico solar systems. The estimates came from the renewable energy companies that attended the stakeholders meeting. It was then projected that the solar home systems could reach 25,000 by 2020, 50,000 by 2025 and 75,000 by 2030. As for the pico solar systems it was projected that they could reach 1.5million by 2020, 3 million by 2025 and 4.5million by 2030.</w:t>
      </w:r>
    </w:p>
    <w:p w14:paraId="67876B30" w14:textId="77777777" w:rsidR="00603DE0" w:rsidRPr="006122EE" w:rsidRDefault="00603DE0" w:rsidP="00603DE0">
      <w:pPr>
        <w:pStyle w:val="Caption"/>
      </w:pPr>
      <w:bookmarkStart w:id="151" w:name="_Toc481615003"/>
      <w:r w:rsidRPr="006122EE">
        <w:t xml:space="preserve">Table </w:t>
      </w:r>
      <w:r w:rsidR="00DC7D8C">
        <w:fldChar w:fldCharType="begin"/>
      </w:r>
      <w:r w:rsidR="00DC7D8C">
        <w:instrText xml:space="preserve"> SEQ Table \* ARABIC </w:instrText>
      </w:r>
      <w:r w:rsidR="00DC7D8C">
        <w:fldChar w:fldCharType="separate"/>
      </w:r>
      <w:r w:rsidR="00866D96">
        <w:rPr>
          <w:noProof/>
        </w:rPr>
        <w:t>18</w:t>
      </w:r>
      <w:r w:rsidR="00DC7D8C">
        <w:rPr>
          <w:noProof/>
        </w:rPr>
        <w:fldChar w:fldCharType="end"/>
      </w:r>
      <w:r w:rsidRPr="006122EE">
        <w:t>: Off grid targets</w:t>
      </w:r>
      <w:bookmarkEnd w:id="151"/>
    </w:p>
    <w:tbl>
      <w:tblPr>
        <w:tblStyle w:val="GridTable4-Accent33"/>
        <w:tblW w:w="0" w:type="auto"/>
        <w:jc w:val="center"/>
        <w:tblLook w:val="04A0" w:firstRow="1" w:lastRow="0" w:firstColumn="1" w:lastColumn="0" w:noHBand="0" w:noVBand="1"/>
      </w:tblPr>
      <w:tblGrid>
        <w:gridCol w:w="1675"/>
        <w:gridCol w:w="142"/>
        <w:gridCol w:w="1581"/>
        <w:gridCol w:w="1559"/>
        <w:gridCol w:w="1701"/>
        <w:gridCol w:w="1560"/>
      </w:tblGrid>
      <w:tr w:rsidR="00F96E26" w:rsidRPr="006122EE" w14:paraId="0F9D78D7" w14:textId="77777777" w:rsidTr="00E665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51280639" w14:textId="77777777" w:rsidR="00F96E26" w:rsidRPr="00866D96" w:rsidRDefault="00F96E26" w:rsidP="00B12628">
            <w:pPr>
              <w:pStyle w:val="DBulletlevel1"/>
              <w:numPr>
                <w:ilvl w:val="0"/>
                <w:numId w:val="0"/>
              </w:numPr>
              <w:rPr>
                <w:noProof w:val="0"/>
              </w:rPr>
            </w:pPr>
            <w:r w:rsidRPr="00866D96">
              <w:rPr>
                <w:noProof w:val="0"/>
              </w:rPr>
              <w:t>Energy Type</w:t>
            </w:r>
          </w:p>
        </w:tc>
        <w:tc>
          <w:tcPr>
            <w:tcW w:w="1723" w:type="dxa"/>
            <w:gridSpan w:val="2"/>
          </w:tcPr>
          <w:p w14:paraId="0783A73B" w14:textId="77777777" w:rsidR="00F96E26" w:rsidRPr="00866D96" w:rsidRDefault="00F96E26" w:rsidP="00DF1E7A">
            <w:pPr>
              <w:pStyle w:val="DBulletlevel1"/>
              <w:numPr>
                <w:ilvl w:val="0"/>
                <w:numId w:val="0"/>
              </w:numPr>
              <w:cnfStyle w:val="100000000000" w:firstRow="1" w:lastRow="0" w:firstColumn="0" w:lastColumn="0" w:oddVBand="0" w:evenVBand="0" w:oddHBand="0" w:evenHBand="0" w:firstRowFirstColumn="0" w:firstRowLastColumn="0" w:lastRowFirstColumn="0" w:lastRowLastColumn="0"/>
              <w:rPr>
                <w:noProof w:val="0"/>
              </w:rPr>
            </w:pPr>
            <w:r w:rsidRPr="00866D96">
              <w:rPr>
                <w:noProof w:val="0"/>
              </w:rPr>
              <w:t>Baseline 2016</w:t>
            </w:r>
          </w:p>
        </w:tc>
        <w:tc>
          <w:tcPr>
            <w:tcW w:w="1559" w:type="dxa"/>
          </w:tcPr>
          <w:p w14:paraId="60B332D6" w14:textId="77777777" w:rsidR="00F96E26" w:rsidRPr="00866D96" w:rsidRDefault="00F96E26" w:rsidP="00B12628">
            <w:pPr>
              <w:pStyle w:val="DBulletlevel1"/>
              <w:numPr>
                <w:ilvl w:val="0"/>
                <w:numId w:val="0"/>
              </w:numPr>
              <w:cnfStyle w:val="100000000000" w:firstRow="1" w:lastRow="0" w:firstColumn="0" w:lastColumn="0" w:oddVBand="0" w:evenVBand="0" w:oddHBand="0" w:evenHBand="0" w:firstRowFirstColumn="0" w:firstRowLastColumn="0" w:lastRowFirstColumn="0" w:lastRowLastColumn="0"/>
              <w:rPr>
                <w:noProof w:val="0"/>
              </w:rPr>
            </w:pPr>
            <w:r w:rsidRPr="00866D96">
              <w:rPr>
                <w:noProof w:val="0"/>
              </w:rPr>
              <w:t>Target 2020</w:t>
            </w:r>
          </w:p>
        </w:tc>
        <w:tc>
          <w:tcPr>
            <w:tcW w:w="1701" w:type="dxa"/>
          </w:tcPr>
          <w:p w14:paraId="55B2229E" w14:textId="77777777" w:rsidR="00F96E26" w:rsidRPr="00866D96" w:rsidRDefault="00F96E26" w:rsidP="00B12628">
            <w:pPr>
              <w:pStyle w:val="DBulletlevel1"/>
              <w:numPr>
                <w:ilvl w:val="0"/>
                <w:numId w:val="0"/>
              </w:numPr>
              <w:cnfStyle w:val="100000000000" w:firstRow="1" w:lastRow="0" w:firstColumn="0" w:lastColumn="0" w:oddVBand="0" w:evenVBand="0" w:oddHBand="0" w:evenHBand="0" w:firstRowFirstColumn="0" w:firstRowLastColumn="0" w:lastRowFirstColumn="0" w:lastRowLastColumn="0"/>
              <w:rPr>
                <w:noProof w:val="0"/>
              </w:rPr>
            </w:pPr>
            <w:r w:rsidRPr="00866D96">
              <w:rPr>
                <w:noProof w:val="0"/>
              </w:rPr>
              <w:t>Target 2025</w:t>
            </w:r>
          </w:p>
        </w:tc>
        <w:tc>
          <w:tcPr>
            <w:tcW w:w="1560" w:type="dxa"/>
          </w:tcPr>
          <w:p w14:paraId="2DE6F04D" w14:textId="77777777" w:rsidR="00F96E26" w:rsidRPr="00866D96" w:rsidRDefault="00F96E26" w:rsidP="00B12628">
            <w:pPr>
              <w:pStyle w:val="DBulletlevel1"/>
              <w:numPr>
                <w:ilvl w:val="0"/>
                <w:numId w:val="0"/>
              </w:numPr>
              <w:cnfStyle w:val="100000000000" w:firstRow="1" w:lastRow="0" w:firstColumn="0" w:lastColumn="0" w:oddVBand="0" w:evenVBand="0" w:oddHBand="0" w:evenHBand="0" w:firstRowFirstColumn="0" w:firstRowLastColumn="0" w:lastRowFirstColumn="0" w:lastRowLastColumn="0"/>
              <w:rPr>
                <w:noProof w:val="0"/>
              </w:rPr>
            </w:pPr>
            <w:r w:rsidRPr="00866D96">
              <w:rPr>
                <w:noProof w:val="0"/>
              </w:rPr>
              <w:t>Target 2030</w:t>
            </w:r>
          </w:p>
        </w:tc>
      </w:tr>
      <w:tr w:rsidR="00F96E26" w:rsidRPr="006122EE" w14:paraId="30313FF4" w14:textId="77777777" w:rsidTr="00F96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gridSpan w:val="2"/>
          </w:tcPr>
          <w:p w14:paraId="273192CB" w14:textId="77777777" w:rsidR="00F96E26" w:rsidRPr="00866D96" w:rsidRDefault="00F96E26" w:rsidP="00DF1E7A">
            <w:pPr>
              <w:pStyle w:val="DBulletlevel1"/>
              <w:numPr>
                <w:ilvl w:val="0"/>
                <w:numId w:val="0"/>
              </w:numPr>
              <w:jc w:val="left"/>
              <w:rPr>
                <w:noProof w:val="0"/>
              </w:rPr>
            </w:pPr>
            <w:r w:rsidRPr="00866D96">
              <w:rPr>
                <w:noProof w:val="0"/>
              </w:rPr>
              <w:t>Grid extension</w:t>
            </w:r>
          </w:p>
        </w:tc>
        <w:tc>
          <w:tcPr>
            <w:tcW w:w="1581" w:type="dxa"/>
          </w:tcPr>
          <w:p w14:paraId="33D9428C"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291,000</w:t>
            </w:r>
          </w:p>
        </w:tc>
        <w:tc>
          <w:tcPr>
            <w:tcW w:w="1559" w:type="dxa"/>
          </w:tcPr>
          <w:p w14:paraId="30DAD5AB"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640,000</w:t>
            </w:r>
          </w:p>
        </w:tc>
        <w:tc>
          <w:tcPr>
            <w:tcW w:w="1701" w:type="dxa"/>
          </w:tcPr>
          <w:p w14:paraId="5643CEAC"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1.08 million</w:t>
            </w:r>
          </w:p>
        </w:tc>
        <w:tc>
          <w:tcPr>
            <w:tcW w:w="1560" w:type="dxa"/>
          </w:tcPr>
          <w:p w14:paraId="025C7641"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1.51 million</w:t>
            </w:r>
          </w:p>
        </w:tc>
      </w:tr>
      <w:tr w:rsidR="00F96E26" w:rsidRPr="006122EE" w14:paraId="36FA78B9" w14:textId="77777777" w:rsidTr="00E66521">
        <w:trPr>
          <w:jc w:val="center"/>
        </w:trPr>
        <w:tc>
          <w:tcPr>
            <w:cnfStyle w:val="001000000000" w:firstRow="0" w:lastRow="0" w:firstColumn="1" w:lastColumn="0" w:oddVBand="0" w:evenVBand="0" w:oddHBand="0" w:evenHBand="0" w:firstRowFirstColumn="0" w:firstRowLastColumn="0" w:lastRowFirstColumn="0" w:lastRowLastColumn="0"/>
            <w:tcW w:w="1817" w:type="dxa"/>
            <w:gridSpan w:val="2"/>
          </w:tcPr>
          <w:p w14:paraId="6C6F5127" w14:textId="77777777" w:rsidR="00F96E26" w:rsidRPr="00866D96" w:rsidRDefault="00F96E26" w:rsidP="00DF1E7A">
            <w:pPr>
              <w:pStyle w:val="DBulletlevel1"/>
              <w:numPr>
                <w:ilvl w:val="0"/>
                <w:numId w:val="0"/>
              </w:numPr>
              <w:jc w:val="left"/>
              <w:rPr>
                <w:noProof w:val="0"/>
              </w:rPr>
            </w:pPr>
            <w:r w:rsidRPr="00866D96">
              <w:rPr>
                <w:noProof w:val="0"/>
              </w:rPr>
              <w:t>Solar Home Systems</w:t>
            </w:r>
          </w:p>
        </w:tc>
        <w:tc>
          <w:tcPr>
            <w:tcW w:w="1581" w:type="dxa"/>
          </w:tcPr>
          <w:p w14:paraId="05892A06"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5,000</w:t>
            </w:r>
          </w:p>
        </w:tc>
        <w:tc>
          <w:tcPr>
            <w:tcW w:w="1559" w:type="dxa"/>
          </w:tcPr>
          <w:p w14:paraId="7A1DEE89"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25,000</w:t>
            </w:r>
          </w:p>
        </w:tc>
        <w:tc>
          <w:tcPr>
            <w:tcW w:w="1701" w:type="dxa"/>
          </w:tcPr>
          <w:p w14:paraId="6954ED1C"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50,000</w:t>
            </w:r>
          </w:p>
        </w:tc>
        <w:tc>
          <w:tcPr>
            <w:tcW w:w="1560" w:type="dxa"/>
          </w:tcPr>
          <w:p w14:paraId="7A194860" w14:textId="77777777" w:rsidR="00F96E26" w:rsidRPr="00866D96" w:rsidDel="0077443F"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75,000</w:t>
            </w:r>
          </w:p>
        </w:tc>
      </w:tr>
      <w:tr w:rsidR="00F96E26" w:rsidRPr="006122EE" w14:paraId="129F7D2C" w14:textId="77777777" w:rsidTr="00E665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gridSpan w:val="2"/>
          </w:tcPr>
          <w:p w14:paraId="41F60FC6" w14:textId="77777777" w:rsidR="00F96E26" w:rsidRPr="00866D96" w:rsidRDefault="00F96E26" w:rsidP="00B12628">
            <w:pPr>
              <w:pStyle w:val="DBulletlevel1"/>
              <w:numPr>
                <w:ilvl w:val="0"/>
                <w:numId w:val="0"/>
              </w:numPr>
              <w:rPr>
                <w:noProof w:val="0"/>
              </w:rPr>
            </w:pPr>
            <w:r w:rsidRPr="00866D96">
              <w:rPr>
                <w:noProof w:val="0"/>
              </w:rPr>
              <w:t>Mini grids</w:t>
            </w:r>
            <w:r w:rsidR="007313EC">
              <w:rPr>
                <w:rStyle w:val="FootnoteReference"/>
                <w:noProof w:val="0"/>
              </w:rPr>
              <w:footnoteReference w:id="37"/>
            </w:r>
          </w:p>
        </w:tc>
        <w:tc>
          <w:tcPr>
            <w:tcW w:w="1581" w:type="dxa"/>
          </w:tcPr>
          <w:p w14:paraId="17C7EC1C"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900</w:t>
            </w:r>
          </w:p>
        </w:tc>
        <w:tc>
          <w:tcPr>
            <w:tcW w:w="1559" w:type="dxa"/>
          </w:tcPr>
          <w:p w14:paraId="6BB9A518"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4,500</w:t>
            </w:r>
          </w:p>
        </w:tc>
        <w:tc>
          <w:tcPr>
            <w:tcW w:w="1701" w:type="dxa"/>
          </w:tcPr>
          <w:p w14:paraId="4BFF6907" w14:textId="77777777" w:rsidR="00F96E26" w:rsidRPr="00866D96" w:rsidRDefault="00F96E26" w:rsidP="00DF1E7A">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9,000</w:t>
            </w:r>
          </w:p>
        </w:tc>
        <w:tc>
          <w:tcPr>
            <w:tcW w:w="1560" w:type="dxa"/>
          </w:tcPr>
          <w:p w14:paraId="206D0D2F" w14:textId="77777777" w:rsidR="00F96E26" w:rsidRPr="00866D96" w:rsidRDefault="00F96E26" w:rsidP="007313EC">
            <w:pPr>
              <w:pStyle w:val="DBulletlevel1"/>
              <w:numPr>
                <w:ilvl w:val="0"/>
                <w:numId w:val="0"/>
              </w:numPr>
              <w:jc w:val="center"/>
              <w:cnfStyle w:val="000000100000" w:firstRow="0" w:lastRow="0" w:firstColumn="0" w:lastColumn="0" w:oddVBand="0" w:evenVBand="0" w:oddHBand="1" w:evenHBand="0" w:firstRowFirstColumn="0" w:firstRowLastColumn="0" w:lastRowFirstColumn="0" w:lastRowLastColumn="0"/>
              <w:rPr>
                <w:noProof w:val="0"/>
              </w:rPr>
            </w:pPr>
            <w:r w:rsidRPr="00866D96">
              <w:rPr>
                <w:noProof w:val="0"/>
              </w:rPr>
              <w:t>13,500</w:t>
            </w:r>
          </w:p>
        </w:tc>
      </w:tr>
      <w:tr w:rsidR="00F96E26" w:rsidRPr="006122EE" w14:paraId="0423FA7E" w14:textId="77777777" w:rsidTr="00E66521">
        <w:trPr>
          <w:jc w:val="center"/>
        </w:trPr>
        <w:tc>
          <w:tcPr>
            <w:cnfStyle w:val="001000000000" w:firstRow="0" w:lastRow="0" w:firstColumn="1" w:lastColumn="0" w:oddVBand="0" w:evenVBand="0" w:oddHBand="0" w:evenHBand="0" w:firstRowFirstColumn="0" w:firstRowLastColumn="0" w:lastRowFirstColumn="0" w:lastRowLastColumn="0"/>
            <w:tcW w:w="1817" w:type="dxa"/>
            <w:gridSpan w:val="2"/>
          </w:tcPr>
          <w:p w14:paraId="0B91C433" w14:textId="77777777" w:rsidR="00F96E26" w:rsidRPr="00866D96" w:rsidRDefault="00F96E26" w:rsidP="00DF1E7A">
            <w:pPr>
              <w:pStyle w:val="DBulletlevel1"/>
              <w:numPr>
                <w:ilvl w:val="0"/>
                <w:numId w:val="0"/>
              </w:numPr>
              <w:jc w:val="left"/>
              <w:rPr>
                <w:noProof w:val="0"/>
              </w:rPr>
            </w:pPr>
            <w:r w:rsidRPr="00866D96">
              <w:rPr>
                <w:noProof w:val="0"/>
              </w:rPr>
              <w:t>Pico solar Systems</w:t>
            </w:r>
          </w:p>
        </w:tc>
        <w:tc>
          <w:tcPr>
            <w:tcW w:w="1581" w:type="dxa"/>
          </w:tcPr>
          <w:p w14:paraId="72208961"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300,000</w:t>
            </w:r>
          </w:p>
        </w:tc>
        <w:tc>
          <w:tcPr>
            <w:tcW w:w="1559" w:type="dxa"/>
          </w:tcPr>
          <w:p w14:paraId="6543388F"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1.5 million</w:t>
            </w:r>
          </w:p>
        </w:tc>
        <w:tc>
          <w:tcPr>
            <w:tcW w:w="1701" w:type="dxa"/>
          </w:tcPr>
          <w:p w14:paraId="5EDDBC8F"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3 million</w:t>
            </w:r>
          </w:p>
        </w:tc>
        <w:tc>
          <w:tcPr>
            <w:tcW w:w="1560" w:type="dxa"/>
          </w:tcPr>
          <w:p w14:paraId="7B97A864" w14:textId="77777777" w:rsidR="00F96E26" w:rsidRPr="00866D96" w:rsidRDefault="00F96E26" w:rsidP="00DF1E7A">
            <w:pPr>
              <w:pStyle w:val="DBulletlevel1"/>
              <w:numPr>
                <w:ilvl w:val="0"/>
                <w:numId w:val="0"/>
              </w:numPr>
              <w:jc w:val="center"/>
              <w:cnfStyle w:val="000000000000" w:firstRow="0" w:lastRow="0" w:firstColumn="0" w:lastColumn="0" w:oddVBand="0" w:evenVBand="0" w:oddHBand="0" w:evenHBand="0" w:firstRowFirstColumn="0" w:firstRowLastColumn="0" w:lastRowFirstColumn="0" w:lastRowLastColumn="0"/>
              <w:rPr>
                <w:noProof w:val="0"/>
              </w:rPr>
            </w:pPr>
            <w:r w:rsidRPr="00866D96">
              <w:rPr>
                <w:noProof w:val="0"/>
              </w:rPr>
              <w:t>4.5 million</w:t>
            </w:r>
          </w:p>
        </w:tc>
      </w:tr>
    </w:tbl>
    <w:p w14:paraId="734D787B" w14:textId="77777777" w:rsidR="00B53E51" w:rsidRDefault="00B53E51" w:rsidP="00B53E51">
      <w:pPr>
        <w:spacing w:line="276" w:lineRule="auto"/>
      </w:pPr>
    </w:p>
    <w:p w14:paraId="7E13F62C" w14:textId="77777777" w:rsidR="00F83BA7" w:rsidRPr="006122EE" w:rsidRDefault="00F83BA7" w:rsidP="00B53E51">
      <w:pPr>
        <w:spacing w:line="276" w:lineRule="auto"/>
      </w:pPr>
      <w:r w:rsidRPr="006122EE">
        <w:t>The following barriers prevent the quick uptake of off-grid and mini-grid options:</w:t>
      </w:r>
    </w:p>
    <w:p w14:paraId="5ED800FA" w14:textId="77777777" w:rsidR="00F83BA7" w:rsidRPr="00866D96" w:rsidRDefault="00F83BA7" w:rsidP="00B53E51">
      <w:pPr>
        <w:pStyle w:val="DBulletlevel1"/>
        <w:spacing w:line="276" w:lineRule="auto"/>
        <w:rPr>
          <w:noProof w:val="0"/>
        </w:rPr>
      </w:pPr>
      <w:r w:rsidRPr="00866D96">
        <w:rPr>
          <w:noProof w:val="0"/>
        </w:rPr>
        <w:t>High upfront cost of solar systems and yet there are no appropriate financing mechanisms</w:t>
      </w:r>
      <w:r w:rsidR="00160EA6" w:rsidRPr="00866D96">
        <w:rPr>
          <w:noProof w:val="0"/>
        </w:rPr>
        <w:t>.</w:t>
      </w:r>
    </w:p>
    <w:p w14:paraId="1FAA4E90" w14:textId="77777777" w:rsidR="00F83BA7" w:rsidRPr="00866D96" w:rsidRDefault="00F83BA7" w:rsidP="00B53E51">
      <w:pPr>
        <w:pStyle w:val="DBulletlevel1"/>
        <w:spacing w:line="276" w:lineRule="auto"/>
        <w:rPr>
          <w:noProof w:val="0"/>
        </w:rPr>
      </w:pPr>
      <w:r w:rsidRPr="00866D96">
        <w:rPr>
          <w:noProof w:val="0"/>
        </w:rPr>
        <w:t>Low quality products such as solar panels due to limited capacity to enforce standards by MBS</w:t>
      </w:r>
      <w:r w:rsidR="00160EA6" w:rsidRPr="00866D96">
        <w:rPr>
          <w:noProof w:val="0"/>
        </w:rPr>
        <w:t>.</w:t>
      </w:r>
    </w:p>
    <w:p w14:paraId="6394B8B0" w14:textId="77777777" w:rsidR="00F83BA7" w:rsidRPr="00866D96" w:rsidRDefault="00F83BA7" w:rsidP="00B53E51">
      <w:pPr>
        <w:pStyle w:val="DBulletlevel1"/>
        <w:spacing w:line="276" w:lineRule="auto"/>
        <w:rPr>
          <w:noProof w:val="0"/>
        </w:rPr>
      </w:pPr>
      <w:r w:rsidRPr="00866D96">
        <w:rPr>
          <w:noProof w:val="0"/>
        </w:rPr>
        <w:t>Low transparency on quality and pricing issues to end users such as duty waivers seem to benefit only the RETs suppliers</w:t>
      </w:r>
      <w:r w:rsidR="00160EA6" w:rsidRPr="00866D96">
        <w:rPr>
          <w:noProof w:val="0"/>
        </w:rPr>
        <w:t>.</w:t>
      </w:r>
    </w:p>
    <w:p w14:paraId="5B7E11A0" w14:textId="77777777" w:rsidR="00F83BA7" w:rsidRPr="00866D96" w:rsidRDefault="00F83BA7" w:rsidP="00B53E51">
      <w:pPr>
        <w:pStyle w:val="DBulletlevel1"/>
        <w:spacing w:line="276" w:lineRule="auto"/>
        <w:rPr>
          <w:noProof w:val="0"/>
        </w:rPr>
      </w:pPr>
      <w:r w:rsidRPr="00866D96">
        <w:rPr>
          <w:noProof w:val="0"/>
        </w:rPr>
        <w:t xml:space="preserve">Rigorous Regulation in its current form, appears to impede the implementation of mini-grids. There will be need to rationalize and make </w:t>
      </w:r>
      <w:r w:rsidR="000D2D33" w:rsidRPr="006122EE">
        <w:rPr>
          <w:noProof w:val="0"/>
        </w:rPr>
        <w:t>appropriate</w:t>
      </w:r>
      <w:r w:rsidRPr="00866D96">
        <w:rPr>
          <w:noProof w:val="0"/>
        </w:rPr>
        <w:t xml:space="preserve"> amendments while ensuring safety and quality in service delivery</w:t>
      </w:r>
      <w:r w:rsidR="00160EA6" w:rsidRPr="00866D96">
        <w:rPr>
          <w:noProof w:val="0"/>
        </w:rPr>
        <w:t>.</w:t>
      </w:r>
    </w:p>
    <w:p w14:paraId="0E77113A" w14:textId="77777777" w:rsidR="00F83BA7" w:rsidRPr="00866D96" w:rsidRDefault="00F83BA7" w:rsidP="00B53E51">
      <w:pPr>
        <w:pStyle w:val="DBulletlevel1"/>
        <w:spacing w:line="276" w:lineRule="auto"/>
        <w:rPr>
          <w:noProof w:val="0"/>
        </w:rPr>
      </w:pPr>
      <w:r w:rsidRPr="00866D96">
        <w:rPr>
          <w:noProof w:val="0"/>
        </w:rPr>
        <w:t xml:space="preserve">Private companies are not encouraged to invest in mini-grids by way of operation and maintenance subsidy from </w:t>
      </w:r>
      <w:r w:rsidR="00983ED1" w:rsidRPr="00866D96">
        <w:rPr>
          <w:noProof w:val="0"/>
        </w:rPr>
        <w:t>g</w:t>
      </w:r>
      <w:r w:rsidRPr="00866D96">
        <w:rPr>
          <w:noProof w:val="0"/>
        </w:rPr>
        <w:t>overnment</w:t>
      </w:r>
      <w:r w:rsidR="00160EA6" w:rsidRPr="00866D96">
        <w:rPr>
          <w:noProof w:val="0"/>
        </w:rPr>
        <w:t>.</w:t>
      </w:r>
    </w:p>
    <w:p w14:paraId="08DC9958" w14:textId="77777777" w:rsidR="00F83BA7" w:rsidRPr="00866D96" w:rsidRDefault="00F83BA7" w:rsidP="00B53E51">
      <w:pPr>
        <w:pStyle w:val="DBulletlevel1"/>
        <w:spacing w:line="276" w:lineRule="auto"/>
        <w:rPr>
          <w:noProof w:val="0"/>
        </w:rPr>
      </w:pPr>
      <w:r w:rsidRPr="00866D96">
        <w:rPr>
          <w:noProof w:val="0"/>
        </w:rPr>
        <w:t xml:space="preserve">Private companies are not encouraged to invest in rural solar energy kiosks by way of operation and maintenance subsidy from </w:t>
      </w:r>
      <w:r w:rsidR="00983ED1" w:rsidRPr="00866D96">
        <w:rPr>
          <w:noProof w:val="0"/>
        </w:rPr>
        <w:t>g</w:t>
      </w:r>
      <w:r w:rsidRPr="00866D96">
        <w:rPr>
          <w:noProof w:val="0"/>
        </w:rPr>
        <w:t>overnment</w:t>
      </w:r>
      <w:r w:rsidR="00160EA6" w:rsidRPr="00866D96">
        <w:rPr>
          <w:noProof w:val="0"/>
        </w:rPr>
        <w:t>.</w:t>
      </w:r>
    </w:p>
    <w:p w14:paraId="11F36C16" w14:textId="77777777" w:rsidR="00F83BA7" w:rsidRPr="00866D96" w:rsidRDefault="00F83BA7" w:rsidP="00B53E51">
      <w:pPr>
        <w:pStyle w:val="DBulletlevel1"/>
        <w:spacing w:line="276" w:lineRule="auto"/>
        <w:rPr>
          <w:noProof w:val="0"/>
        </w:rPr>
      </w:pPr>
      <w:r w:rsidRPr="00866D96">
        <w:rPr>
          <w:noProof w:val="0"/>
        </w:rPr>
        <w:t>Power purchase agreements delays and its operating environment seem to prevent IPP entry into the power generation</w:t>
      </w:r>
      <w:r w:rsidR="00160EA6" w:rsidRPr="00866D96">
        <w:rPr>
          <w:noProof w:val="0"/>
        </w:rPr>
        <w:t>.</w:t>
      </w:r>
    </w:p>
    <w:p w14:paraId="4286346D" w14:textId="77777777" w:rsidR="00E25B4C" w:rsidRPr="00866D96" w:rsidRDefault="00E25B4C" w:rsidP="00B53E51">
      <w:pPr>
        <w:pStyle w:val="BTitle20"/>
        <w:rPr>
          <w:noProof w:val="0"/>
        </w:rPr>
      </w:pPr>
      <w:bookmarkStart w:id="152" w:name="_Toc448426404"/>
      <w:bookmarkStart w:id="153" w:name="_Toc448426405"/>
      <w:bookmarkStart w:id="154" w:name="_Toc448426406"/>
      <w:bookmarkStart w:id="155" w:name="_Toc448426407"/>
      <w:bookmarkStart w:id="156" w:name="_Toc448426408"/>
      <w:bookmarkStart w:id="157" w:name="_Toc448426409"/>
      <w:bookmarkStart w:id="158" w:name="_Toc448426410"/>
      <w:bookmarkStart w:id="159" w:name="_Toc448426411"/>
      <w:bookmarkStart w:id="160" w:name="_Toc448426412"/>
      <w:bookmarkStart w:id="161" w:name="_Toc448426413"/>
      <w:bookmarkStart w:id="162" w:name="_Toc448426414"/>
      <w:bookmarkStart w:id="163" w:name="_Toc448426415"/>
      <w:bookmarkStart w:id="164" w:name="_Toc448426416"/>
      <w:bookmarkStart w:id="165" w:name="_Toc448426417"/>
      <w:bookmarkStart w:id="166" w:name="_Toc448426418"/>
      <w:bookmarkStart w:id="167" w:name="_Toc448426419"/>
      <w:bookmarkStart w:id="168" w:name="_Toc448426420"/>
      <w:bookmarkStart w:id="169" w:name="_Toc448426421"/>
      <w:bookmarkStart w:id="170" w:name="_Toc448426422"/>
      <w:bookmarkStart w:id="171" w:name="_Toc448426423"/>
      <w:bookmarkStart w:id="172" w:name="_Toc448426424"/>
      <w:bookmarkStart w:id="173" w:name="_Toc448426425"/>
      <w:bookmarkStart w:id="174" w:name="_Toc448426426"/>
      <w:bookmarkStart w:id="175" w:name="_Toc448426427"/>
      <w:bookmarkStart w:id="176" w:name="_Toc448426428"/>
      <w:bookmarkStart w:id="177" w:name="_Toc448426429"/>
      <w:bookmarkStart w:id="178" w:name="_Toc448426430"/>
      <w:bookmarkStart w:id="179" w:name="_Toc448426431"/>
      <w:bookmarkStart w:id="180" w:name="_Toc448426432"/>
      <w:bookmarkStart w:id="181" w:name="_Toc448426433"/>
      <w:bookmarkStart w:id="182" w:name="_Toc448426434"/>
      <w:bookmarkStart w:id="183" w:name="_Toc448426435"/>
      <w:bookmarkStart w:id="184" w:name="_Toc448426436"/>
      <w:bookmarkStart w:id="185" w:name="_Toc448426437"/>
      <w:bookmarkStart w:id="186" w:name="_Toc48161490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866D96">
        <w:rPr>
          <w:noProof w:val="0"/>
        </w:rPr>
        <w:t>Renewable Energy</w:t>
      </w:r>
      <w:bookmarkEnd w:id="186"/>
      <w:r w:rsidRPr="00866D96">
        <w:rPr>
          <w:noProof w:val="0"/>
        </w:rPr>
        <w:t xml:space="preserve"> </w:t>
      </w:r>
    </w:p>
    <w:p w14:paraId="3196086C" w14:textId="77777777" w:rsidR="00AE2005" w:rsidRPr="00866D96" w:rsidRDefault="00093C1E" w:rsidP="00B53E51">
      <w:pPr>
        <w:pStyle w:val="NormalWeb"/>
        <w:spacing w:after="120" w:line="276" w:lineRule="auto"/>
        <w:jc w:val="both"/>
        <w:rPr>
          <w:rFonts w:cs="Arial"/>
          <w:szCs w:val="20"/>
          <w:lang w:val="en-GB"/>
        </w:rPr>
      </w:pPr>
      <w:bookmarkStart w:id="187" w:name="_Toc439841198"/>
      <w:r w:rsidRPr="00866D96">
        <w:rPr>
          <w:rFonts w:ascii="Arial" w:hAnsi="Arial" w:cs="Arial"/>
          <w:sz w:val="20"/>
          <w:szCs w:val="20"/>
          <w:lang w:val="en-GB"/>
        </w:rPr>
        <w:t>Worldwide, r</w:t>
      </w:r>
      <w:r w:rsidR="0047592A" w:rsidRPr="00866D96">
        <w:rPr>
          <w:rFonts w:ascii="Arial" w:hAnsi="Arial" w:cs="Arial"/>
          <w:sz w:val="20"/>
          <w:szCs w:val="20"/>
          <w:lang w:val="en-GB"/>
        </w:rPr>
        <w:t xml:space="preserve">enewable energy was the largest new source of electricity generation in 2016 as the cost of renewable energy, </w:t>
      </w:r>
      <w:r w:rsidR="00AE2005" w:rsidRPr="00866D96">
        <w:rPr>
          <w:rFonts w:ascii="Arial" w:hAnsi="Arial" w:cs="Arial"/>
          <w:sz w:val="20"/>
          <w:szCs w:val="20"/>
          <w:lang w:val="en-GB"/>
        </w:rPr>
        <w:t>particularly solar and wind</w:t>
      </w:r>
      <w:r w:rsidR="009C56C8" w:rsidRPr="00866D96">
        <w:rPr>
          <w:rFonts w:ascii="Arial" w:hAnsi="Arial" w:cs="Arial"/>
          <w:sz w:val="20"/>
          <w:szCs w:val="20"/>
          <w:lang w:val="en-GB"/>
        </w:rPr>
        <w:t>,</w:t>
      </w:r>
      <w:r w:rsidR="00AE2005" w:rsidRPr="00866D96">
        <w:rPr>
          <w:rFonts w:ascii="Arial" w:hAnsi="Arial" w:cs="Arial"/>
          <w:sz w:val="20"/>
          <w:szCs w:val="20"/>
          <w:lang w:val="en-GB"/>
        </w:rPr>
        <w:t xml:space="preserve"> </w:t>
      </w:r>
      <w:r w:rsidR="0047592A" w:rsidRPr="00866D96">
        <w:rPr>
          <w:rFonts w:ascii="Arial" w:hAnsi="Arial" w:cs="Arial"/>
          <w:sz w:val="20"/>
          <w:szCs w:val="20"/>
          <w:lang w:val="en-GB"/>
        </w:rPr>
        <w:t>continued its</w:t>
      </w:r>
      <w:r w:rsidR="00AE2005" w:rsidRPr="00866D96">
        <w:rPr>
          <w:rFonts w:ascii="Arial" w:hAnsi="Arial" w:cs="Arial"/>
          <w:sz w:val="20"/>
          <w:szCs w:val="20"/>
          <w:lang w:val="en-GB"/>
        </w:rPr>
        <w:t xml:space="preserve"> decline. The lower costs, combined with innovative financing techniques, have made renewable energy projects competitive with conventional energy projects in many places. Governments are responding by removing barriers to RE projects, such as cumbersome licensing and approval processes, and adopting RE-friendly policies like feed-in tariffs and RE purchase obligations for utilities.  </w:t>
      </w:r>
    </w:p>
    <w:p w14:paraId="63CDF45E" w14:textId="77777777" w:rsidR="00AE2005" w:rsidRPr="00866D96" w:rsidRDefault="00AE2005" w:rsidP="00B53E51">
      <w:pPr>
        <w:pStyle w:val="NormalWeb"/>
        <w:spacing w:after="120" w:line="276" w:lineRule="auto"/>
        <w:jc w:val="both"/>
        <w:rPr>
          <w:rFonts w:cs="Arial"/>
          <w:szCs w:val="20"/>
          <w:lang w:val="en-GB"/>
        </w:rPr>
      </w:pPr>
      <w:r w:rsidRPr="00866D96">
        <w:rPr>
          <w:rFonts w:ascii="Arial" w:hAnsi="Arial" w:cs="Arial"/>
          <w:sz w:val="20"/>
          <w:szCs w:val="20"/>
          <w:lang w:val="en-GB"/>
        </w:rPr>
        <w:t xml:space="preserve">For Malawi, the lower RE prices mean the 2030 targets for how much RE can be put in place can be set higher than what might have even been thought possible even one year ago. </w:t>
      </w:r>
    </w:p>
    <w:p w14:paraId="6F24B1E2" w14:textId="77777777" w:rsidR="002B7514" w:rsidRPr="006122EE" w:rsidRDefault="002B7514" w:rsidP="00B53E51">
      <w:pPr>
        <w:pStyle w:val="BTitle3"/>
        <w:spacing w:line="276" w:lineRule="auto"/>
        <w:rPr>
          <w:noProof w:val="0"/>
          <w:lang w:val="en-GB"/>
        </w:rPr>
      </w:pPr>
      <w:bookmarkStart w:id="188" w:name="_Toc481614904"/>
      <w:bookmarkEnd w:id="187"/>
      <w:r w:rsidRPr="006122EE">
        <w:rPr>
          <w:noProof w:val="0"/>
          <w:lang w:val="en-GB"/>
        </w:rPr>
        <w:t>What is the current status and BAU trajectory to 2030?</w:t>
      </w:r>
      <w:bookmarkEnd w:id="188"/>
    </w:p>
    <w:p w14:paraId="6DC90EFA" w14:textId="77777777" w:rsidR="00D738D6" w:rsidRPr="00866D96" w:rsidRDefault="00AE2005" w:rsidP="00B53E51">
      <w:pPr>
        <w:pStyle w:val="NormalWeb"/>
        <w:spacing w:after="120" w:line="276" w:lineRule="auto"/>
        <w:jc w:val="both"/>
        <w:rPr>
          <w:rFonts w:ascii="Arial" w:hAnsi="Arial"/>
          <w:sz w:val="20"/>
          <w:lang w:val="en-GB"/>
        </w:rPr>
      </w:pPr>
      <w:r w:rsidRPr="00866D96">
        <w:rPr>
          <w:rFonts w:ascii="Arial" w:hAnsi="Arial"/>
          <w:sz w:val="20"/>
          <w:lang w:val="en-GB"/>
        </w:rPr>
        <w:t xml:space="preserve">The Government of Malawi has placed an increasing emphasis on renewable energy in government plans and policy. A feed-in tariff has been drafted </w:t>
      </w:r>
      <w:r w:rsidR="00C44213" w:rsidRPr="00866D96">
        <w:rPr>
          <w:rFonts w:ascii="Arial" w:hAnsi="Arial"/>
          <w:sz w:val="20"/>
          <w:lang w:val="en-GB"/>
        </w:rPr>
        <w:t xml:space="preserve">and </w:t>
      </w:r>
      <w:r w:rsidR="007F30E3" w:rsidRPr="00866D96">
        <w:rPr>
          <w:rFonts w:ascii="Arial" w:hAnsi="Arial"/>
          <w:sz w:val="20"/>
          <w:lang w:val="en-GB"/>
        </w:rPr>
        <w:t>many</w:t>
      </w:r>
      <w:r w:rsidRPr="00866D96">
        <w:rPr>
          <w:rFonts w:ascii="Arial" w:hAnsi="Arial"/>
          <w:sz w:val="20"/>
          <w:lang w:val="en-GB"/>
        </w:rPr>
        <w:t xml:space="preserve"> RE proposals, especially solar proposals, have been submitted by IPP developers. So far, no PPAs have been signed </w:t>
      </w:r>
      <w:r w:rsidR="00C44213" w:rsidRPr="00866D96">
        <w:rPr>
          <w:rFonts w:ascii="Arial" w:hAnsi="Arial"/>
          <w:sz w:val="20"/>
          <w:lang w:val="en-GB"/>
        </w:rPr>
        <w:t xml:space="preserve">between ESCOM and </w:t>
      </w:r>
      <w:r w:rsidRPr="00866D96">
        <w:rPr>
          <w:rFonts w:ascii="Arial" w:hAnsi="Arial"/>
          <w:sz w:val="20"/>
          <w:lang w:val="en-GB"/>
        </w:rPr>
        <w:t>independent RE developers and, aside from 4.35 MW worth of small hydro, few grid-connected RE projects have been developed.</w:t>
      </w:r>
      <w:r w:rsidR="007F30E3" w:rsidRPr="00866D96">
        <w:rPr>
          <w:rFonts w:ascii="Arial" w:hAnsi="Arial"/>
          <w:sz w:val="20"/>
          <w:lang w:val="en-GB"/>
        </w:rPr>
        <w:t xml:space="preserve"> The reasons for the lack of PPAs are: uncertainty on the part of ESCOM over how to handle large amounts of intermittent sources of power; disagreements between ESCOM and the IPPs over the feed-in tariff price and conditions; and lack of capability and/or readiness on the part of many IPPs to move</w:t>
      </w:r>
      <w:r w:rsidR="0045533D" w:rsidRPr="00866D96">
        <w:rPr>
          <w:rFonts w:ascii="Arial" w:hAnsi="Arial"/>
          <w:sz w:val="20"/>
          <w:lang w:val="en-GB"/>
        </w:rPr>
        <w:t>.</w:t>
      </w:r>
      <w:r w:rsidR="007F30E3" w:rsidRPr="00866D96">
        <w:rPr>
          <w:rFonts w:ascii="Arial" w:hAnsi="Arial"/>
          <w:sz w:val="20"/>
          <w:lang w:val="en-GB"/>
        </w:rPr>
        <w:t xml:space="preserve"> </w:t>
      </w:r>
    </w:p>
    <w:p w14:paraId="555091F8" w14:textId="77777777" w:rsidR="00340160" w:rsidRPr="006122EE" w:rsidRDefault="00340160" w:rsidP="00B53E51">
      <w:pPr>
        <w:pStyle w:val="Style1"/>
        <w:spacing w:line="276" w:lineRule="auto"/>
      </w:pPr>
      <w:r w:rsidRPr="006122EE">
        <w:t>Current situation by energy type</w:t>
      </w:r>
    </w:p>
    <w:p w14:paraId="0EFCA865" w14:textId="77777777" w:rsidR="00AE2005" w:rsidRPr="00866D96" w:rsidRDefault="00AE2005" w:rsidP="00B53E51">
      <w:pPr>
        <w:pStyle w:val="CSubtitle2"/>
        <w:spacing w:line="276" w:lineRule="auto"/>
        <w:rPr>
          <w:noProof w:val="0"/>
          <w:lang w:val="en-GB"/>
        </w:rPr>
      </w:pPr>
      <w:r w:rsidRPr="00866D96">
        <w:rPr>
          <w:noProof w:val="0"/>
          <w:lang w:val="en-GB"/>
        </w:rPr>
        <w:t>Solar</w:t>
      </w:r>
    </w:p>
    <w:p w14:paraId="0DD4E13E" w14:textId="77777777" w:rsidR="0045533D" w:rsidRPr="00866D96" w:rsidRDefault="003642B1" w:rsidP="00B53E51">
      <w:pPr>
        <w:pStyle w:val="NormalWeb"/>
        <w:spacing w:after="120" w:line="276" w:lineRule="auto"/>
        <w:jc w:val="both"/>
        <w:rPr>
          <w:rFonts w:ascii="Arial" w:hAnsi="Arial"/>
          <w:sz w:val="20"/>
          <w:lang w:val="en-GB"/>
        </w:rPr>
      </w:pPr>
      <w:r w:rsidRPr="00866D96">
        <w:rPr>
          <w:rFonts w:ascii="Arial" w:hAnsi="Arial"/>
          <w:sz w:val="20"/>
          <w:lang w:val="en-GB"/>
        </w:rPr>
        <w:t>According to a 2015 World Bank analysis, Malawi has very good potential for exploitation of solar resources and good opportunities for photovoltaics predominantly small to medium size ground-mounted and roof-top systems.</w:t>
      </w:r>
      <w:r w:rsidRPr="00866D96">
        <w:rPr>
          <w:rFonts w:ascii="Arial" w:hAnsi="Arial"/>
          <w:sz w:val="20"/>
          <w:lang w:val="en-GB"/>
        </w:rPr>
        <w:footnoteReference w:id="38"/>
      </w:r>
      <w:r w:rsidRPr="00866D96">
        <w:rPr>
          <w:rFonts w:ascii="Arial" w:hAnsi="Arial"/>
          <w:sz w:val="20"/>
          <w:lang w:val="en-GB"/>
        </w:rPr>
        <w:t xml:space="preserve"> In addition several IPPs have </w:t>
      </w:r>
      <w:r w:rsidR="00AE2005" w:rsidRPr="00866D96">
        <w:rPr>
          <w:rFonts w:ascii="Arial" w:hAnsi="Arial"/>
          <w:sz w:val="20"/>
          <w:lang w:val="en-GB"/>
        </w:rPr>
        <w:t xml:space="preserve">applied for power purchase agreements for their large-scale solar PV projects. An </w:t>
      </w:r>
      <w:r w:rsidR="00AF592F" w:rsidRPr="00866D96">
        <w:rPr>
          <w:rFonts w:ascii="Arial" w:hAnsi="Arial" w:cs="Arial"/>
          <w:sz w:val="20"/>
          <w:szCs w:val="20"/>
          <w:lang w:val="en-GB"/>
        </w:rPr>
        <w:t>380</w:t>
      </w:r>
      <w:r w:rsidR="00AE2005" w:rsidRPr="00866D96">
        <w:rPr>
          <w:rFonts w:ascii="Arial" w:hAnsi="Arial"/>
          <w:sz w:val="20"/>
          <w:lang w:val="en-GB"/>
        </w:rPr>
        <w:t xml:space="preserve"> KW solar demonstration plant was installed at the </w:t>
      </w:r>
      <w:r w:rsidR="005E7832" w:rsidRPr="00866D96">
        <w:rPr>
          <w:rFonts w:ascii="Arial" w:hAnsi="Arial"/>
          <w:sz w:val="20"/>
          <w:lang w:val="en-GB"/>
        </w:rPr>
        <w:t>Kamuzu International</w:t>
      </w:r>
      <w:r w:rsidR="00AE2005" w:rsidRPr="00866D96">
        <w:rPr>
          <w:rFonts w:ascii="Arial" w:hAnsi="Arial"/>
          <w:sz w:val="20"/>
          <w:lang w:val="en-GB"/>
        </w:rPr>
        <w:t xml:space="preserve"> airport</w:t>
      </w:r>
      <w:r w:rsidR="005E7832" w:rsidRPr="00866D96">
        <w:rPr>
          <w:rFonts w:ascii="Arial" w:hAnsi="Arial"/>
          <w:sz w:val="20"/>
          <w:lang w:val="en-GB"/>
        </w:rPr>
        <w:t xml:space="preserve"> in Lilongwe</w:t>
      </w:r>
      <w:r w:rsidR="00AE2005" w:rsidRPr="00866D96">
        <w:rPr>
          <w:rFonts w:ascii="Arial" w:hAnsi="Arial"/>
          <w:sz w:val="20"/>
          <w:lang w:val="en-GB"/>
        </w:rPr>
        <w:t xml:space="preserve">. On a smaller scale, solar lighting systems have been installed in some households and public institutions such as hospitals. However, these systems usually fail after a short period due to poor technical </w:t>
      </w:r>
      <w:r w:rsidR="00280997" w:rsidRPr="00866D96">
        <w:rPr>
          <w:rFonts w:ascii="Arial" w:hAnsi="Arial"/>
          <w:sz w:val="20"/>
          <w:lang w:val="en-GB"/>
        </w:rPr>
        <w:t xml:space="preserve">capability </w:t>
      </w:r>
      <w:r w:rsidR="00AE2005" w:rsidRPr="00866D96">
        <w:rPr>
          <w:rFonts w:ascii="Arial" w:hAnsi="Arial"/>
          <w:sz w:val="20"/>
          <w:lang w:val="en-GB"/>
        </w:rPr>
        <w:t xml:space="preserve">(poor designs, poor installation, </w:t>
      </w:r>
      <w:r w:rsidR="002E507B" w:rsidRPr="00866D96">
        <w:rPr>
          <w:rFonts w:ascii="Arial" w:hAnsi="Arial"/>
          <w:sz w:val="20"/>
          <w:lang w:val="en-GB"/>
        </w:rPr>
        <w:t xml:space="preserve">lack of independent supervision/assessment/certification during project implementation, </w:t>
      </w:r>
      <w:r w:rsidR="00AE2005" w:rsidRPr="00866D96">
        <w:rPr>
          <w:rFonts w:ascii="Arial" w:hAnsi="Arial"/>
          <w:sz w:val="20"/>
          <w:lang w:val="en-GB"/>
        </w:rPr>
        <w:t>limited knowledge on operation and maintenance, supply of poor quality products etc.). Problems were also experienced with wind-solar hybrid systems. The Government of Malawi installed six wind-solar grids but due to beneficiaries’ failure to pay for the use of the system and the resulting lack of maintenance, all bu</w:t>
      </w:r>
      <w:r w:rsidR="00BF2BB2" w:rsidRPr="00866D96">
        <w:rPr>
          <w:rFonts w:ascii="Arial" w:hAnsi="Arial"/>
          <w:sz w:val="20"/>
          <w:lang w:val="en-GB"/>
        </w:rPr>
        <w:t>t</w:t>
      </w:r>
      <w:r w:rsidR="00AE2005" w:rsidRPr="00866D96">
        <w:rPr>
          <w:rFonts w:ascii="Arial" w:hAnsi="Arial"/>
          <w:sz w:val="20"/>
          <w:lang w:val="en-GB"/>
        </w:rPr>
        <w:t xml:space="preserve"> one of the systems have ceased operating.</w:t>
      </w:r>
    </w:p>
    <w:p w14:paraId="3AD1C3FE" w14:textId="77777777" w:rsidR="00AE2005" w:rsidRPr="00866D96" w:rsidRDefault="00AE2005" w:rsidP="00B53E51">
      <w:pPr>
        <w:pStyle w:val="NormalWeb"/>
        <w:spacing w:after="120" w:line="276" w:lineRule="auto"/>
        <w:jc w:val="both"/>
        <w:rPr>
          <w:rFonts w:ascii="Arial" w:hAnsi="Arial"/>
          <w:sz w:val="20"/>
          <w:lang w:val="en-GB"/>
        </w:rPr>
      </w:pPr>
      <w:r w:rsidRPr="00866D96">
        <w:rPr>
          <w:rFonts w:ascii="Arial" w:hAnsi="Arial" w:cs="Arial"/>
          <w:sz w:val="20"/>
          <w:szCs w:val="20"/>
          <w:lang w:val="en-GB"/>
        </w:rPr>
        <w:t xml:space="preserve">Other solar applications include water pumping, water heating and crop drying, although there are not many installations and there are no government programs to promote them. </w:t>
      </w:r>
    </w:p>
    <w:p w14:paraId="1C58B128" w14:textId="77777777" w:rsidR="00AE2005" w:rsidRPr="00866D96" w:rsidRDefault="00AE2005" w:rsidP="00726AF3">
      <w:pPr>
        <w:pStyle w:val="CSubtitle2"/>
        <w:rPr>
          <w:noProof w:val="0"/>
          <w:lang w:val="en-GB"/>
        </w:rPr>
      </w:pPr>
      <w:r w:rsidRPr="00866D96">
        <w:rPr>
          <w:noProof w:val="0"/>
          <w:lang w:val="en-GB"/>
        </w:rPr>
        <w:t>Wind</w:t>
      </w:r>
    </w:p>
    <w:p w14:paraId="119102C2" w14:textId="77777777" w:rsidR="00AE2005" w:rsidRPr="00866D96" w:rsidRDefault="00AE2005" w:rsidP="00B53E51">
      <w:pPr>
        <w:pStyle w:val="NormalWeb"/>
        <w:spacing w:after="120" w:line="276" w:lineRule="auto"/>
        <w:jc w:val="both"/>
        <w:rPr>
          <w:rFonts w:cs="Arial"/>
          <w:szCs w:val="20"/>
          <w:lang w:val="en-GB"/>
        </w:rPr>
      </w:pPr>
      <w:r w:rsidRPr="00866D96">
        <w:rPr>
          <w:rFonts w:ascii="Arial" w:hAnsi="Arial" w:cs="Arial"/>
          <w:sz w:val="20"/>
          <w:szCs w:val="20"/>
          <w:lang w:val="en-GB"/>
        </w:rPr>
        <w:t xml:space="preserve">No utility-grade wind turbines have been </w:t>
      </w:r>
      <w:r w:rsidR="00C44213" w:rsidRPr="00866D96">
        <w:rPr>
          <w:rFonts w:ascii="Arial" w:hAnsi="Arial" w:cs="Arial"/>
          <w:sz w:val="20"/>
          <w:szCs w:val="20"/>
          <w:lang w:val="en-GB"/>
        </w:rPr>
        <w:t>constructed</w:t>
      </w:r>
      <w:r w:rsidRPr="00866D96">
        <w:rPr>
          <w:rFonts w:ascii="Arial" w:hAnsi="Arial" w:cs="Arial"/>
          <w:sz w:val="20"/>
          <w:szCs w:val="20"/>
          <w:lang w:val="en-GB"/>
        </w:rPr>
        <w:t xml:space="preserve"> in Malawi. Six hybrid wind-solar projects were built, as mentioned above, but only one is still operating. There are a few water pumping wind turbines.</w:t>
      </w:r>
      <w:r w:rsidR="00630D60" w:rsidRPr="00866D96">
        <w:rPr>
          <w:rFonts w:ascii="Arial" w:hAnsi="Arial" w:cs="Arial"/>
          <w:sz w:val="20"/>
          <w:szCs w:val="20"/>
          <w:lang w:val="en-GB"/>
        </w:rPr>
        <w:t xml:space="preserve"> The </w:t>
      </w:r>
      <w:r w:rsidR="00983ED1" w:rsidRPr="00866D96">
        <w:rPr>
          <w:rFonts w:ascii="Arial" w:hAnsi="Arial" w:cs="Arial"/>
          <w:sz w:val="20"/>
          <w:szCs w:val="20"/>
          <w:lang w:val="en-GB"/>
        </w:rPr>
        <w:t>g</w:t>
      </w:r>
      <w:r w:rsidR="00630D60" w:rsidRPr="00866D96">
        <w:rPr>
          <w:rFonts w:ascii="Arial" w:hAnsi="Arial" w:cs="Arial"/>
          <w:sz w:val="20"/>
          <w:szCs w:val="20"/>
          <w:lang w:val="en-GB"/>
        </w:rPr>
        <w:t>overnment is currently supporting a wind resource mapping exercise.</w:t>
      </w:r>
    </w:p>
    <w:p w14:paraId="03237AF0" w14:textId="77777777" w:rsidR="00AE2005" w:rsidRPr="00866D96" w:rsidRDefault="00AE2005" w:rsidP="00B53E51">
      <w:pPr>
        <w:pStyle w:val="CSubtitle2"/>
        <w:spacing w:line="276" w:lineRule="auto"/>
        <w:rPr>
          <w:noProof w:val="0"/>
          <w:lang w:val="en-GB"/>
        </w:rPr>
      </w:pPr>
      <w:r w:rsidRPr="00866D96">
        <w:rPr>
          <w:noProof w:val="0"/>
          <w:lang w:val="en-GB"/>
        </w:rPr>
        <w:t>Biomass</w:t>
      </w:r>
    </w:p>
    <w:p w14:paraId="032FEDFB" w14:textId="77777777" w:rsidR="00AE2005" w:rsidRPr="00866D96" w:rsidRDefault="00C45FB8" w:rsidP="00B53E51">
      <w:pPr>
        <w:pStyle w:val="NormalWeb"/>
        <w:spacing w:after="120" w:line="276" w:lineRule="auto"/>
        <w:jc w:val="both"/>
        <w:rPr>
          <w:rFonts w:cs="Arial"/>
          <w:szCs w:val="20"/>
          <w:lang w:val="en-GB"/>
        </w:rPr>
      </w:pPr>
      <w:r w:rsidRPr="00866D96">
        <w:rPr>
          <w:rFonts w:ascii="Arial" w:hAnsi="Arial" w:cs="Arial"/>
          <w:sz w:val="20"/>
          <w:szCs w:val="20"/>
          <w:lang w:val="en-GB"/>
        </w:rPr>
        <w:t>Sugarcane bagasse co</w:t>
      </w:r>
      <w:r w:rsidR="00AE2005" w:rsidRPr="00866D96">
        <w:rPr>
          <w:rFonts w:ascii="Arial" w:hAnsi="Arial" w:cs="Arial"/>
          <w:sz w:val="20"/>
          <w:szCs w:val="20"/>
          <w:lang w:val="en-GB"/>
        </w:rPr>
        <w:t xml:space="preserve">generation </w:t>
      </w:r>
      <w:r w:rsidRPr="00866D96">
        <w:rPr>
          <w:rFonts w:ascii="Arial" w:hAnsi="Arial" w:cs="Arial"/>
          <w:sz w:val="20"/>
          <w:szCs w:val="20"/>
          <w:lang w:val="en-GB"/>
        </w:rPr>
        <w:t xml:space="preserve">is in place at </w:t>
      </w:r>
      <w:r w:rsidR="00AE2005" w:rsidRPr="00866D96">
        <w:rPr>
          <w:rFonts w:ascii="Arial" w:hAnsi="Arial" w:cs="Arial"/>
          <w:sz w:val="20"/>
          <w:szCs w:val="20"/>
          <w:lang w:val="en-GB"/>
        </w:rPr>
        <w:t>the sugar companies in Dwangwa and Nchalo</w:t>
      </w:r>
      <w:r w:rsidRPr="00866D96">
        <w:rPr>
          <w:rFonts w:ascii="Arial" w:hAnsi="Arial" w:cs="Arial"/>
          <w:sz w:val="20"/>
          <w:szCs w:val="20"/>
          <w:lang w:val="en-GB"/>
        </w:rPr>
        <w:t>, but the electricity they</w:t>
      </w:r>
      <w:r w:rsidR="00AE2005" w:rsidRPr="00866D96">
        <w:rPr>
          <w:rFonts w:ascii="Arial" w:hAnsi="Arial" w:cs="Arial"/>
          <w:sz w:val="20"/>
          <w:szCs w:val="20"/>
          <w:lang w:val="en-GB"/>
        </w:rPr>
        <w:t xml:space="preserve"> produce </w:t>
      </w:r>
      <w:r w:rsidRPr="00866D96">
        <w:rPr>
          <w:rFonts w:ascii="Arial" w:hAnsi="Arial" w:cs="Arial"/>
          <w:sz w:val="20"/>
          <w:szCs w:val="20"/>
          <w:lang w:val="en-GB"/>
        </w:rPr>
        <w:t xml:space="preserve">is </w:t>
      </w:r>
      <w:r w:rsidR="00AE2005" w:rsidRPr="00866D96">
        <w:rPr>
          <w:rFonts w:ascii="Arial" w:hAnsi="Arial" w:cs="Arial"/>
          <w:sz w:val="20"/>
          <w:szCs w:val="20"/>
          <w:lang w:val="en-GB"/>
        </w:rPr>
        <w:t>for captive use.</w:t>
      </w:r>
    </w:p>
    <w:p w14:paraId="60C970C7" w14:textId="77777777" w:rsidR="002E507B" w:rsidRPr="00866D96" w:rsidRDefault="002E507B" w:rsidP="00B53E51">
      <w:pPr>
        <w:pStyle w:val="CSubtitle2"/>
        <w:spacing w:line="276" w:lineRule="auto"/>
        <w:rPr>
          <w:noProof w:val="0"/>
          <w:lang w:val="en-GB"/>
        </w:rPr>
      </w:pPr>
      <w:r w:rsidRPr="00866D96">
        <w:rPr>
          <w:noProof w:val="0"/>
          <w:lang w:val="en-GB"/>
        </w:rPr>
        <w:t>Biogas</w:t>
      </w:r>
    </w:p>
    <w:p w14:paraId="2AF874C8" w14:textId="77777777" w:rsidR="002E507B" w:rsidRPr="00866D96" w:rsidRDefault="002E507B" w:rsidP="00B53E51">
      <w:pPr>
        <w:pStyle w:val="NormalWeb"/>
        <w:spacing w:after="120" w:line="276" w:lineRule="auto"/>
        <w:jc w:val="both"/>
        <w:rPr>
          <w:rFonts w:cs="Arial"/>
          <w:szCs w:val="20"/>
          <w:lang w:val="en-GB"/>
        </w:rPr>
      </w:pPr>
      <w:r w:rsidRPr="00866D96">
        <w:rPr>
          <w:rFonts w:ascii="Arial" w:hAnsi="Arial" w:cs="Arial"/>
          <w:sz w:val="20"/>
          <w:szCs w:val="20"/>
          <w:lang w:val="en-GB"/>
        </w:rPr>
        <w:t>Although no data is available on biogas for electricity, there is potential for electricity generation from biogas especially from the Organic Municipal Solid Waste in the cities.</w:t>
      </w:r>
    </w:p>
    <w:p w14:paraId="18A4DD79" w14:textId="77777777" w:rsidR="00AE2005" w:rsidRPr="00866D96" w:rsidRDefault="00AE2005" w:rsidP="00B53E51">
      <w:pPr>
        <w:pStyle w:val="CSubtitle2"/>
        <w:spacing w:line="276" w:lineRule="auto"/>
        <w:rPr>
          <w:noProof w:val="0"/>
          <w:lang w:val="en-GB"/>
        </w:rPr>
      </w:pPr>
      <w:r w:rsidRPr="00866D96">
        <w:rPr>
          <w:noProof w:val="0"/>
          <w:lang w:val="en-GB"/>
        </w:rPr>
        <w:t>Small hydro</w:t>
      </w:r>
    </w:p>
    <w:p w14:paraId="07D12302" w14:textId="77777777" w:rsidR="00AE2005" w:rsidRPr="00866D96" w:rsidRDefault="00AE2005" w:rsidP="00B53E51">
      <w:pPr>
        <w:pStyle w:val="NormalWeb"/>
        <w:spacing w:after="120" w:line="276" w:lineRule="auto"/>
        <w:jc w:val="both"/>
        <w:rPr>
          <w:rFonts w:cs="Arial"/>
          <w:szCs w:val="20"/>
          <w:lang w:val="en-GB"/>
        </w:rPr>
      </w:pPr>
      <w:r w:rsidRPr="00866D96">
        <w:rPr>
          <w:rFonts w:ascii="Arial" w:hAnsi="Arial" w:cs="Arial"/>
          <w:sz w:val="20"/>
          <w:szCs w:val="20"/>
          <w:lang w:val="en-GB"/>
        </w:rPr>
        <w:t xml:space="preserve">Micro Hydro at MEGA </w:t>
      </w:r>
      <w:r w:rsidR="00C45FB8" w:rsidRPr="00866D96">
        <w:rPr>
          <w:rFonts w:ascii="Arial" w:hAnsi="Arial" w:cs="Arial"/>
          <w:sz w:val="20"/>
          <w:szCs w:val="20"/>
          <w:lang w:val="en-GB"/>
        </w:rPr>
        <w:t xml:space="preserve">is </w:t>
      </w:r>
      <w:r w:rsidRPr="00866D96">
        <w:rPr>
          <w:rFonts w:ascii="Arial" w:hAnsi="Arial" w:cs="Arial"/>
          <w:sz w:val="20"/>
          <w:szCs w:val="20"/>
          <w:lang w:val="en-GB"/>
        </w:rPr>
        <w:t>supplying power to about 200 households</w:t>
      </w:r>
      <w:r w:rsidR="00793F71" w:rsidRPr="00866D96">
        <w:rPr>
          <w:rFonts w:ascii="Arial" w:hAnsi="Arial" w:cs="Arial"/>
          <w:sz w:val="20"/>
          <w:szCs w:val="20"/>
          <w:lang w:val="en-GB"/>
        </w:rPr>
        <w:t>.</w:t>
      </w:r>
      <w:r w:rsidR="00CE7771" w:rsidRPr="00866D96">
        <w:rPr>
          <w:rFonts w:ascii="Arial" w:hAnsi="Arial" w:cs="Arial"/>
          <w:sz w:val="20"/>
          <w:szCs w:val="20"/>
          <w:lang w:val="en-GB"/>
        </w:rPr>
        <w:t xml:space="preserve"> Resource assessments estimate there is a 15 MW potential for small and micro hydro</w:t>
      </w:r>
      <w:r w:rsidR="0045533D" w:rsidRPr="00866D96">
        <w:rPr>
          <w:rFonts w:ascii="Arial" w:hAnsi="Arial" w:cs="Arial"/>
          <w:sz w:val="20"/>
          <w:szCs w:val="20"/>
          <w:vertAlign w:val="superscript"/>
          <w:lang w:val="en-GB"/>
        </w:rPr>
        <w:footnoteReference w:id="39"/>
      </w:r>
      <w:r w:rsidR="00CE7771" w:rsidRPr="00866D96">
        <w:rPr>
          <w:rFonts w:ascii="Arial" w:hAnsi="Arial" w:cs="Arial"/>
          <w:sz w:val="20"/>
          <w:szCs w:val="20"/>
          <w:lang w:val="en-GB"/>
        </w:rPr>
        <w:t>.</w:t>
      </w:r>
    </w:p>
    <w:p w14:paraId="7D38B21B" w14:textId="77777777" w:rsidR="00AE2005" w:rsidRPr="00866D96" w:rsidRDefault="00AE2005" w:rsidP="00B53E51">
      <w:pPr>
        <w:pStyle w:val="CSubtitle2"/>
        <w:spacing w:line="276" w:lineRule="auto"/>
        <w:rPr>
          <w:noProof w:val="0"/>
          <w:lang w:val="en-GB"/>
        </w:rPr>
      </w:pPr>
      <w:r w:rsidRPr="00866D96">
        <w:rPr>
          <w:noProof w:val="0"/>
          <w:lang w:val="en-GB"/>
        </w:rPr>
        <w:t>Geothermal</w:t>
      </w:r>
    </w:p>
    <w:p w14:paraId="0315A05C" w14:textId="77777777" w:rsidR="00E7196C" w:rsidRPr="00866D96" w:rsidRDefault="00630D60" w:rsidP="00B53E51">
      <w:pPr>
        <w:pStyle w:val="NormalWeb"/>
        <w:spacing w:after="120" w:line="276" w:lineRule="auto"/>
        <w:jc w:val="both"/>
        <w:rPr>
          <w:lang w:val="en-GB"/>
        </w:rPr>
      </w:pPr>
      <w:r w:rsidRPr="00866D96">
        <w:rPr>
          <w:rFonts w:ascii="Arial" w:hAnsi="Arial" w:cs="Arial"/>
          <w:sz w:val="20"/>
          <w:szCs w:val="20"/>
          <w:lang w:val="en-GB"/>
        </w:rPr>
        <w:t>No geothermal power projects have been developed yet, but the Government</w:t>
      </w:r>
      <w:r w:rsidR="00CA3BC1" w:rsidRPr="00866D96">
        <w:rPr>
          <w:rFonts w:ascii="Arial" w:hAnsi="Arial" w:cs="Arial"/>
          <w:sz w:val="20"/>
          <w:szCs w:val="20"/>
          <w:lang w:val="en-GB"/>
        </w:rPr>
        <w:t xml:space="preserve"> of Malawi, with World Bank support,</w:t>
      </w:r>
      <w:r w:rsidRPr="00866D96">
        <w:rPr>
          <w:rFonts w:ascii="Arial" w:hAnsi="Arial" w:cs="Arial"/>
          <w:sz w:val="20"/>
          <w:szCs w:val="20"/>
          <w:lang w:val="en-GB"/>
        </w:rPr>
        <w:t xml:space="preserve"> is</w:t>
      </w:r>
      <w:r w:rsidR="00C45FB8" w:rsidRPr="00866D96">
        <w:rPr>
          <w:rFonts w:ascii="Arial" w:hAnsi="Arial" w:cs="Arial"/>
          <w:sz w:val="20"/>
          <w:szCs w:val="20"/>
          <w:lang w:val="en-GB"/>
        </w:rPr>
        <w:t xml:space="preserve"> </w:t>
      </w:r>
      <w:r w:rsidR="00CA3BC1" w:rsidRPr="00866D96">
        <w:rPr>
          <w:rFonts w:ascii="Arial" w:hAnsi="Arial" w:cs="Arial"/>
          <w:sz w:val="20"/>
          <w:szCs w:val="20"/>
          <w:lang w:val="en-GB"/>
        </w:rPr>
        <w:t>sponsoring</w:t>
      </w:r>
      <w:r w:rsidRPr="00866D96">
        <w:rPr>
          <w:rFonts w:ascii="Arial" w:hAnsi="Arial" w:cs="Arial"/>
          <w:sz w:val="20"/>
          <w:szCs w:val="20"/>
          <w:lang w:val="en-GB"/>
        </w:rPr>
        <w:t xml:space="preserve"> a </w:t>
      </w:r>
      <w:r w:rsidR="00C45FB8" w:rsidRPr="00866D96">
        <w:rPr>
          <w:rFonts w:ascii="Arial" w:hAnsi="Arial" w:cs="Arial"/>
          <w:sz w:val="20"/>
          <w:szCs w:val="20"/>
          <w:lang w:val="en-GB"/>
        </w:rPr>
        <w:t>f</w:t>
      </w:r>
      <w:r w:rsidRPr="00866D96">
        <w:rPr>
          <w:rFonts w:ascii="Arial" w:hAnsi="Arial" w:cs="Arial"/>
          <w:sz w:val="20"/>
          <w:szCs w:val="20"/>
          <w:lang w:val="en-GB"/>
        </w:rPr>
        <w:t>easibility</w:t>
      </w:r>
      <w:r w:rsidR="00C16548" w:rsidRPr="00866D96">
        <w:rPr>
          <w:rFonts w:ascii="Arial" w:hAnsi="Arial" w:cs="Arial"/>
          <w:sz w:val="20"/>
          <w:szCs w:val="20"/>
          <w:lang w:val="en-GB"/>
        </w:rPr>
        <w:t xml:space="preserve"> </w:t>
      </w:r>
      <w:r w:rsidR="00CA3BC1" w:rsidRPr="00866D96">
        <w:rPr>
          <w:rFonts w:ascii="Arial" w:hAnsi="Arial" w:cs="Arial"/>
          <w:sz w:val="20"/>
          <w:szCs w:val="20"/>
          <w:lang w:val="en-GB"/>
        </w:rPr>
        <w:t xml:space="preserve">study </w:t>
      </w:r>
      <w:r w:rsidR="00C16548" w:rsidRPr="00866D96">
        <w:rPr>
          <w:rFonts w:ascii="Arial" w:hAnsi="Arial" w:cs="Arial"/>
          <w:sz w:val="20"/>
          <w:szCs w:val="20"/>
          <w:lang w:val="en-GB"/>
        </w:rPr>
        <w:t>that is</w:t>
      </w:r>
      <w:r w:rsidRPr="00866D96">
        <w:rPr>
          <w:rFonts w:ascii="Arial" w:hAnsi="Arial" w:cs="Arial"/>
          <w:sz w:val="20"/>
          <w:szCs w:val="20"/>
          <w:lang w:val="en-GB"/>
        </w:rPr>
        <w:t xml:space="preserve"> currently</w:t>
      </w:r>
      <w:r w:rsidR="00C45FB8" w:rsidRPr="00866D96">
        <w:rPr>
          <w:rFonts w:ascii="Arial" w:hAnsi="Arial" w:cs="Arial"/>
          <w:sz w:val="20"/>
          <w:szCs w:val="20"/>
          <w:lang w:val="en-GB"/>
        </w:rPr>
        <w:t xml:space="preserve"> </w:t>
      </w:r>
      <w:r w:rsidR="00AE2005" w:rsidRPr="00866D96">
        <w:rPr>
          <w:rFonts w:ascii="Arial" w:hAnsi="Arial" w:cs="Arial"/>
          <w:sz w:val="20"/>
          <w:szCs w:val="20"/>
          <w:lang w:val="en-GB"/>
        </w:rPr>
        <w:t>under</w:t>
      </w:r>
      <w:r w:rsidR="00C45FB8" w:rsidRPr="00866D96">
        <w:rPr>
          <w:rFonts w:ascii="Arial" w:hAnsi="Arial" w:cs="Arial"/>
          <w:sz w:val="20"/>
          <w:szCs w:val="20"/>
          <w:lang w:val="en-GB"/>
        </w:rPr>
        <w:t xml:space="preserve"> </w:t>
      </w:r>
      <w:r w:rsidR="00AE2005" w:rsidRPr="00866D96">
        <w:rPr>
          <w:rFonts w:ascii="Arial" w:hAnsi="Arial" w:cs="Arial"/>
          <w:sz w:val="20"/>
          <w:szCs w:val="20"/>
          <w:lang w:val="en-GB"/>
        </w:rPr>
        <w:t>way</w:t>
      </w:r>
      <w:r w:rsidR="00CA3BC1" w:rsidRPr="00866D96">
        <w:rPr>
          <w:rFonts w:ascii="Arial" w:hAnsi="Arial" w:cs="Arial"/>
          <w:sz w:val="20"/>
          <w:szCs w:val="20"/>
          <w:lang w:val="en-GB"/>
        </w:rPr>
        <w:t xml:space="preserve"> (</w:t>
      </w:r>
      <w:r w:rsidR="0045533D" w:rsidRPr="00866D96">
        <w:rPr>
          <w:rFonts w:ascii="Arial" w:hAnsi="Arial" w:cs="Arial"/>
          <w:sz w:val="20"/>
          <w:szCs w:val="20"/>
          <w:lang w:val="en-GB"/>
        </w:rPr>
        <w:t>fall</w:t>
      </w:r>
      <w:r w:rsidR="00CA3BC1" w:rsidRPr="00866D96">
        <w:rPr>
          <w:rFonts w:ascii="Arial" w:hAnsi="Arial" w:cs="Arial"/>
          <w:sz w:val="20"/>
          <w:szCs w:val="20"/>
          <w:lang w:val="en-GB"/>
        </w:rPr>
        <w:t xml:space="preserve"> 2016)</w:t>
      </w:r>
      <w:r w:rsidR="00793F71" w:rsidRPr="00866D96">
        <w:rPr>
          <w:rFonts w:ascii="Arial" w:hAnsi="Arial" w:cs="Arial"/>
          <w:sz w:val="20"/>
          <w:szCs w:val="20"/>
          <w:lang w:val="en-GB"/>
        </w:rPr>
        <w:t>.</w:t>
      </w:r>
      <w:bookmarkStart w:id="189" w:name="_Toc441863720"/>
    </w:p>
    <w:p w14:paraId="6FB5A849" w14:textId="77777777" w:rsidR="00AE2005" w:rsidRPr="00866D96" w:rsidRDefault="00AE2005" w:rsidP="00B53E51">
      <w:pPr>
        <w:pStyle w:val="Style1"/>
        <w:spacing w:line="276" w:lineRule="auto"/>
        <w:rPr>
          <w:rFonts w:cs="Arial"/>
          <w:szCs w:val="20"/>
        </w:rPr>
      </w:pPr>
      <w:r w:rsidRPr="006122EE">
        <w:t>Current situation with power generation</w:t>
      </w:r>
      <w:bookmarkEnd w:id="189"/>
    </w:p>
    <w:p w14:paraId="2705E193" w14:textId="77777777" w:rsidR="00AE2005" w:rsidRPr="006122EE" w:rsidRDefault="00AE2005" w:rsidP="00B53E51">
      <w:pPr>
        <w:spacing w:line="276" w:lineRule="auto"/>
      </w:pPr>
      <w:r w:rsidRPr="006122EE">
        <w:t xml:space="preserve">Malawi’s electric system is based mainly by hydropower, with 90% of the hydro capacity located on the Shire River. The installed capacity of hydro is 351 MW, of which 311 MW is operational, but not fully available due to low water levels on the Shire River. The available capacity is about 286 MW (See Fig. </w:t>
      </w:r>
      <w:r w:rsidR="009F4335" w:rsidRPr="006122EE">
        <w:t>8</w:t>
      </w:r>
      <w:r w:rsidRPr="006122EE">
        <w:t>). Only</w:t>
      </w:r>
      <w:r w:rsidR="00851B36" w:rsidRPr="006122EE">
        <w:t xml:space="preserve"> </w:t>
      </w:r>
      <w:r w:rsidRPr="006122EE">
        <w:t>4.</w:t>
      </w:r>
      <w:r w:rsidR="009F4335" w:rsidRPr="006122EE">
        <w:t xml:space="preserve">35 </w:t>
      </w:r>
      <w:r w:rsidRPr="006122EE">
        <w:t xml:space="preserve">MW of hydro is located off the Shire River (located on the Wovwe River). Such heavy reliance on the Shire River basin results in high insecurity of </w:t>
      </w:r>
      <w:r w:rsidR="00D3333D" w:rsidRPr="006122EE">
        <w:t xml:space="preserve">the </w:t>
      </w:r>
      <w:r w:rsidRPr="006122EE">
        <w:t xml:space="preserve">national power supply.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08"/>
      </w:tblGrid>
      <w:tr w:rsidR="00340160" w:rsidRPr="006122EE" w14:paraId="2693563E" w14:textId="77777777" w:rsidTr="00866D96">
        <w:trPr>
          <w:trHeight w:val="4385"/>
        </w:trPr>
        <w:tc>
          <w:tcPr>
            <w:tcW w:w="4772" w:type="dxa"/>
          </w:tcPr>
          <w:p w14:paraId="27AB81EC" w14:textId="77777777" w:rsidR="002B7514" w:rsidRPr="006122EE" w:rsidRDefault="00A6447E" w:rsidP="00883A2F">
            <w:pPr>
              <w:spacing w:before="0" w:after="240" w:line="280" w:lineRule="exact"/>
              <w:rPr>
                <w:rFonts w:cs="Arial"/>
                <w:color w:val="000000"/>
                <w:szCs w:val="20"/>
              </w:rPr>
            </w:pPr>
            <w:r w:rsidRPr="00866D96">
              <w:rPr>
                <w:rFonts w:ascii="Calibri" w:eastAsia="Calibri" w:hAnsi="Calibri"/>
                <w:noProof/>
                <w:color w:val="auto"/>
                <w:sz w:val="22"/>
                <w:szCs w:val="22"/>
                <w:lang w:val="en-US" w:eastAsia="en-US"/>
              </w:rPr>
              <w:drawing>
                <wp:anchor distT="0" distB="0" distL="114300" distR="114300" simplePos="0" relativeHeight="251656192" behindDoc="0" locked="0" layoutInCell="1" allowOverlap="1" wp14:anchorId="4BEA47A0" wp14:editId="75CAA33B">
                  <wp:simplePos x="0" y="0"/>
                  <wp:positionH relativeFrom="column">
                    <wp:posOffset>68580</wp:posOffset>
                  </wp:positionH>
                  <wp:positionV relativeFrom="paragraph">
                    <wp:posOffset>231140</wp:posOffset>
                  </wp:positionV>
                  <wp:extent cx="2771775" cy="2057400"/>
                  <wp:effectExtent l="0" t="0" r="952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340160" w:rsidRPr="00866D96">
              <w:rPr>
                <w:rFonts w:ascii="Calibri" w:eastAsia="Calibri" w:hAnsi="Calibri"/>
                <w:noProof/>
                <w:color w:val="auto"/>
                <w:sz w:val="22"/>
                <w:szCs w:val="22"/>
                <w:lang w:val="en-US" w:eastAsia="en-US"/>
              </w:rPr>
              <w:drawing>
                <wp:anchor distT="0" distB="0" distL="114300" distR="114300" simplePos="0" relativeHeight="251667456" behindDoc="0" locked="0" layoutInCell="1" allowOverlap="1" wp14:anchorId="79E51407" wp14:editId="643E4BA6">
                  <wp:simplePos x="0" y="0"/>
                  <wp:positionH relativeFrom="column">
                    <wp:posOffset>-68580</wp:posOffset>
                  </wp:positionH>
                  <wp:positionV relativeFrom="paragraph">
                    <wp:posOffset>227965</wp:posOffset>
                  </wp:positionV>
                  <wp:extent cx="2971800" cy="2057400"/>
                  <wp:effectExtent l="0" t="0" r="0" b="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40160" w:rsidRPr="00866D96">
              <w:rPr>
                <w:noProof/>
                <w:lang w:val="en-US" w:eastAsia="en-US"/>
              </w:rPr>
              <mc:AlternateContent>
                <mc:Choice Requires="wps">
                  <w:drawing>
                    <wp:anchor distT="0" distB="0" distL="114300" distR="114300" simplePos="0" relativeHeight="251663360" behindDoc="0" locked="0" layoutInCell="1" allowOverlap="1" wp14:anchorId="44E909ED" wp14:editId="3B2EB525">
                      <wp:simplePos x="0" y="0"/>
                      <wp:positionH relativeFrom="column">
                        <wp:posOffset>65405</wp:posOffset>
                      </wp:positionH>
                      <wp:positionV relativeFrom="paragraph">
                        <wp:posOffset>2304415</wp:posOffset>
                      </wp:positionV>
                      <wp:extent cx="294640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a:effectLst/>
                            </wps:spPr>
                            <wps:txbx>
                              <w:txbxContent>
                                <w:p w14:paraId="16167D2E" w14:textId="77777777" w:rsidR="00B7022D" w:rsidRPr="00560A31" w:rsidRDefault="00B7022D" w:rsidP="00883A2F">
                                  <w:pPr>
                                    <w:pStyle w:val="Caption"/>
                                    <w:keepNext w:val="0"/>
                                    <w:rPr>
                                      <w:rFonts w:ascii="Calibri" w:eastAsia="Calibri" w:hAnsi="Calibri"/>
                                      <w:noProof/>
                                    </w:rPr>
                                  </w:pPr>
                                  <w:bookmarkStart w:id="190" w:name="_Toc481614972"/>
                                  <w:r>
                                    <w:t xml:space="preserve">Figure </w:t>
                                  </w:r>
                                  <w:r w:rsidR="00DC7D8C">
                                    <w:fldChar w:fldCharType="begin"/>
                                  </w:r>
                                  <w:r w:rsidR="00DC7D8C">
                                    <w:instrText xml:space="preserve"> SEQ Figure \* ARABIC </w:instrText>
                                  </w:r>
                                  <w:r w:rsidR="00DC7D8C">
                                    <w:fldChar w:fldCharType="separate"/>
                                  </w:r>
                                  <w:r>
                                    <w:rPr>
                                      <w:noProof/>
                                    </w:rPr>
                                    <w:t>8</w:t>
                                  </w:r>
                                  <w:r w:rsidR="00DC7D8C">
                                    <w:rPr>
                                      <w:noProof/>
                                    </w:rPr>
                                    <w:fldChar w:fldCharType="end"/>
                                  </w:r>
                                  <w:r>
                                    <w:t xml:space="preserve">: </w:t>
                                  </w:r>
                                  <w:r w:rsidRPr="00340160">
                                    <w:t>Available Generating Capacity, MW, 2014</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E909ED" id="_x0000_t202" coordsize="21600,21600" o:spt="202" path="m,l,21600r21600,l21600,xe">
                      <v:stroke joinstyle="miter"/>
                      <v:path gradientshapeok="t" o:connecttype="rect"/>
                    </v:shapetype>
                    <v:shape id="Text Box 19" o:spid="_x0000_s1026" type="#_x0000_t202" style="position:absolute;left:0;text-align:left;margin-left:5.15pt;margin-top:181.45pt;width:23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" stroked="f">
                      <v:textbox style="mso-fit-shape-to-text:t" inset="0,0,0,0">
                        <w:txbxContent>
                          <w:p w14:paraId="16167D2E" w14:textId="77777777" w:rsidR="00B7022D" w:rsidRPr="00560A31" w:rsidRDefault="00B7022D" w:rsidP="00883A2F">
                            <w:pPr>
                              <w:pStyle w:val="Caption"/>
                              <w:keepNext w:val="0"/>
                              <w:rPr>
                                <w:rFonts w:ascii="Calibri" w:eastAsia="Calibri" w:hAnsi="Calibri"/>
                                <w:noProof/>
                              </w:rPr>
                            </w:pPr>
                            <w:bookmarkStart w:id="191" w:name="_Toc481614972"/>
                            <w:r>
                              <w:t xml:space="preserve">Figure </w:t>
                            </w:r>
                            <w:fldSimple w:instr=" SEQ Figure \* ARABIC ">
                              <w:r>
                                <w:rPr>
                                  <w:noProof/>
                                </w:rPr>
                                <w:t>8</w:t>
                              </w:r>
                            </w:fldSimple>
                            <w:r>
                              <w:t xml:space="preserve">: </w:t>
                            </w:r>
                            <w:r w:rsidRPr="00340160">
                              <w:t>Available Generating Capacity, MW, 2014</w:t>
                            </w:r>
                            <w:bookmarkEnd w:id="191"/>
                          </w:p>
                        </w:txbxContent>
                      </v:textbox>
                      <w10:wrap type="square"/>
                    </v:shape>
                  </w:pict>
                </mc:Fallback>
              </mc:AlternateContent>
            </w:r>
          </w:p>
        </w:tc>
        <w:tc>
          <w:tcPr>
            <w:tcW w:w="4772" w:type="dxa"/>
          </w:tcPr>
          <w:p w14:paraId="79A3F314" w14:textId="77777777" w:rsidR="002B7514" w:rsidRPr="006122EE" w:rsidRDefault="002B7514" w:rsidP="00B53E51">
            <w:pPr>
              <w:spacing w:before="0" w:after="240" w:line="276" w:lineRule="auto"/>
              <w:rPr>
                <w:rFonts w:cs="Arial"/>
                <w:color w:val="auto"/>
                <w:szCs w:val="20"/>
              </w:rPr>
            </w:pPr>
            <w:r w:rsidRPr="006122EE">
              <w:rPr>
                <w:rFonts w:cs="Arial"/>
                <w:color w:val="000000"/>
                <w:szCs w:val="20"/>
              </w:rPr>
              <w:t>Two small diesel units are</w:t>
            </w:r>
            <w:r w:rsidR="00560DC3" w:rsidRPr="006122EE">
              <w:rPr>
                <w:rFonts w:cs="Arial"/>
                <w:color w:val="000000"/>
                <w:szCs w:val="20"/>
              </w:rPr>
              <w:t xml:space="preserve"> connected</w:t>
            </w:r>
            <w:r w:rsidRPr="006122EE">
              <w:rPr>
                <w:rFonts w:cs="Arial"/>
                <w:color w:val="000000"/>
                <w:szCs w:val="20"/>
              </w:rPr>
              <w:t xml:space="preserve"> on the national grid. Likoma Island is powered by diesel generators </w:t>
            </w:r>
            <w:r w:rsidR="00560DC3" w:rsidRPr="006122EE">
              <w:rPr>
                <w:rFonts w:cs="Arial"/>
                <w:color w:val="000000"/>
                <w:szCs w:val="20"/>
              </w:rPr>
              <w:t>with a capacity of</w:t>
            </w:r>
            <w:r w:rsidRPr="006122EE">
              <w:rPr>
                <w:rFonts w:cs="Arial"/>
                <w:color w:val="000000"/>
                <w:szCs w:val="20"/>
              </w:rPr>
              <w:t xml:space="preserve"> 250</w:t>
            </w:r>
            <w:r w:rsidR="00851B36" w:rsidRPr="006122EE">
              <w:rPr>
                <w:rFonts w:cs="Arial"/>
                <w:color w:val="000000"/>
                <w:szCs w:val="20"/>
              </w:rPr>
              <w:t xml:space="preserve"> </w:t>
            </w:r>
            <w:r w:rsidRPr="006122EE">
              <w:rPr>
                <w:rFonts w:cs="Arial"/>
                <w:color w:val="000000"/>
                <w:szCs w:val="20"/>
              </w:rPr>
              <w:t>kW</w:t>
            </w:r>
            <w:r w:rsidR="00A6447E" w:rsidRPr="006122EE">
              <w:rPr>
                <w:rFonts w:cs="Arial"/>
                <w:color w:val="000000"/>
                <w:szCs w:val="20"/>
              </w:rPr>
              <w:t xml:space="preserve">. </w:t>
            </w:r>
            <w:r w:rsidRPr="006122EE">
              <w:rPr>
                <w:rFonts w:cs="Arial"/>
                <w:color w:val="000000"/>
                <w:szCs w:val="20"/>
              </w:rPr>
              <w:t xml:space="preserve">The total </w:t>
            </w:r>
            <w:r w:rsidR="00585DEF" w:rsidRPr="006122EE">
              <w:rPr>
                <w:rFonts w:cs="Arial"/>
                <w:color w:val="000000"/>
                <w:szCs w:val="20"/>
              </w:rPr>
              <w:t>electricity</w:t>
            </w:r>
            <w:r w:rsidR="00280997" w:rsidRPr="006122EE">
              <w:rPr>
                <w:rFonts w:cs="Arial"/>
                <w:color w:val="000000"/>
                <w:szCs w:val="20"/>
              </w:rPr>
              <w:t xml:space="preserve"> </w:t>
            </w:r>
            <w:r w:rsidRPr="006122EE">
              <w:rPr>
                <w:rFonts w:cs="Arial"/>
                <w:color w:val="000000"/>
                <w:szCs w:val="20"/>
              </w:rPr>
              <w:t xml:space="preserve">generated in 2014 </w:t>
            </w:r>
            <w:r w:rsidR="00280997" w:rsidRPr="006122EE">
              <w:rPr>
                <w:rFonts w:cs="Arial"/>
                <w:color w:val="000000"/>
                <w:szCs w:val="20"/>
              </w:rPr>
              <w:t xml:space="preserve">was </w:t>
            </w:r>
            <w:r w:rsidRPr="006122EE">
              <w:rPr>
                <w:rFonts w:cs="Arial"/>
                <w:color w:val="000000"/>
                <w:szCs w:val="20"/>
              </w:rPr>
              <w:t>1,906.51</w:t>
            </w:r>
            <w:r w:rsidR="00851B36" w:rsidRPr="006122EE">
              <w:rPr>
                <w:rFonts w:cs="Arial"/>
                <w:color w:val="000000"/>
                <w:szCs w:val="20"/>
              </w:rPr>
              <w:t xml:space="preserve"> </w:t>
            </w:r>
            <w:r w:rsidRPr="006122EE">
              <w:rPr>
                <w:rFonts w:cs="Arial"/>
                <w:color w:val="000000"/>
                <w:szCs w:val="20"/>
              </w:rPr>
              <w:t>GWh</w:t>
            </w:r>
            <w:r w:rsidR="00560DC3" w:rsidRPr="006122EE">
              <w:rPr>
                <w:rFonts w:cs="Arial"/>
                <w:color w:val="000000"/>
                <w:szCs w:val="20"/>
              </w:rPr>
              <w:t xml:space="preserve">, </w:t>
            </w:r>
            <w:r w:rsidRPr="006122EE">
              <w:rPr>
                <w:rFonts w:cs="Arial"/>
                <w:color w:val="000000"/>
                <w:szCs w:val="20"/>
              </w:rPr>
              <w:t>of which 797.46</w:t>
            </w:r>
            <w:r w:rsidR="00851B36" w:rsidRPr="006122EE">
              <w:rPr>
                <w:rFonts w:cs="Arial"/>
                <w:color w:val="000000"/>
                <w:szCs w:val="20"/>
              </w:rPr>
              <w:t xml:space="preserve"> </w:t>
            </w:r>
            <w:r w:rsidRPr="006122EE">
              <w:rPr>
                <w:rFonts w:cs="Arial"/>
                <w:color w:val="000000"/>
                <w:szCs w:val="20"/>
              </w:rPr>
              <w:t>GWh were consumed</w:t>
            </w:r>
            <w:r w:rsidR="00A6447E" w:rsidRPr="006122EE">
              <w:rPr>
                <w:rFonts w:cs="Arial"/>
                <w:color w:val="000000"/>
                <w:szCs w:val="20"/>
              </w:rPr>
              <w:t xml:space="preserve">. </w:t>
            </w:r>
            <w:r w:rsidRPr="006122EE">
              <w:rPr>
                <w:rFonts w:cs="Arial"/>
                <w:color w:val="000000"/>
                <w:szCs w:val="20"/>
              </w:rPr>
              <w:t xml:space="preserve">All grid-connected power plants are listed in </w:t>
            </w:r>
            <w:r w:rsidR="0045533D" w:rsidRPr="006122EE">
              <w:rPr>
                <w:rFonts w:cs="Arial"/>
                <w:color w:val="000000"/>
                <w:szCs w:val="20"/>
              </w:rPr>
              <w:fldChar w:fldCharType="begin"/>
            </w:r>
            <w:r w:rsidR="0045533D" w:rsidRPr="006122EE">
              <w:rPr>
                <w:rFonts w:cs="Arial"/>
                <w:color w:val="000000"/>
                <w:szCs w:val="20"/>
              </w:rPr>
              <w:instrText xml:space="preserve"> REF _Ref469944286 \h </w:instrText>
            </w:r>
            <w:r w:rsidR="006F1ABF" w:rsidRPr="006122EE">
              <w:rPr>
                <w:rFonts w:cs="Arial"/>
                <w:color w:val="000000"/>
                <w:szCs w:val="20"/>
              </w:rPr>
              <w:instrText xml:space="preserve"> \* MERGEFORMAT </w:instrText>
            </w:r>
            <w:r w:rsidR="0045533D" w:rsidRPr="006122EE">
              <w:rPr>
                <w:rFonts w:cs="Arial"/>
                <w:color w:val="000000"/>
                <w:szCs w:val="20"/>
              </w:rPr>
            </w:r>
            <w:r w:rsidR="0045533D" w:rsidRPr="006122EE">
              <w:rPr>
                <w:rFonts w:cs="Arial"/>
                <w:color w:val="000000"/>
                <w:szCs w:val="20"/>
              </w:rPr>
              <w:fldChar w:fldCharType="separate"/>
            </w:r>
            <w:r w:rsidR="00866D96" w:rsidRPr="006122EE">
              <w:t xml:space="preserve">Table </w:t>
            </w:r>
            <w:r w:rsidR="00866D96">
              <w:t>19</w:t>
            </w:r>
            <w:r w:rsidR="0045533D" w:rsidRPr="006122EE">
              <w:rPr>
                <w:rFonts w:cs="Arial"/>
                <w:color w:val="000000"/>
                <w:szCs w:val="20"/>
              </w:rPr>
              <w:fldChar w:fldCharType="end"/>
            </w:r>
            <w:r w:rsidR="0032083D" w:rsidRPr="006122EE">
              <w:rPr>
                <w:rFonts w:cs="Arial"/>
                <w:color w:val="000000"/>
                <w:szCs w:val="20"/>
              </w:rPr>
              <w:t>.</w:t>
            </w:r>
          </w:p>
          <w:p w14:paraId="21B136E3" w14:textId="77777777" w:rsidR="002B7514" w:rsidRPr="006122EE" w:rsidRDefault="002B7514" w:rsidP="00B53E51">
            <w:pPr>
              <w:spacing w:before="0" w:after="240" w:line="276" w:lineRule="auto"/>
              <w:rPr>
                <w:rFonts w:cs="Arial"/>
                <w:color w:val="000000"/>
                <w:szCs w:val="20"/>
              </w:rPr>
            </w:pPr>
            <w:r w:rsidRPr="006122EE">
              <w:rPr>
                <w:rFonts w:cs="Arial"/>
                <w:color w:val="000000"/>
                <w:szCs w:val="20"/>
              </w:rPr>
              <w:t>The country experiences regular power outages, and nationwide suppressed demand is estimated at 350 MW. If all the potential domestic and industrial customers were connected, the demand would roughly triple.</w:t>
            </w:r>
          </w:p>
        </w:tc>
      </w:tr>
    </w:tbl>
    <w:p w14:paraId="7D604FB4" w14:textId="77777777" w:rsidR="00AE2005" w:rsidRPr="006122EE" w:rsidRDefault="00AE2005" w:rsidP="00B53E51">
      <w:pPr>
        <w:spacing w:line="360" w:lineRule="auto"/>
      </w:pPr>
      <w:r w:rsidRPr="006122EE">
        <w:t xml:space="preserve">Currently, the </w:t>
      </w:r>
      <w:r w:rsidR="00983ED1" w:rsidRPr="006122EE">
        <w:t>g</w:t>
      </w:r>
      <w:r w:rsidRPr="006122EE">
        <w:t xml:space="preserve">overnment is negotiating to import electricity from Mozambique. This would tap into the Southern Africa Power Pool (SAPP) and would allow for the connection of new customers as well as substantially reduce power outages and rationing. It </w:t>
      </w:r>
      <w:r w:rsidR="00CC7AEB" w:rsidRPr="006122EE">
        <w:t>has also</w:t>
      </w:r>
      <w:r w:rsidRPr="006122EE">
        <w:t xml:space="preserve"> install</w:t>
      </w:r>
      <w:r w:rsidR="00CC7AEB" w:rsidRPr="006122EE">
        <w:t>ed</w:t>
      </w:r>
      <w:r w:rsidRPr="006122EE">
        <w:t xml:space="preserve"> a diesel</w:t>
      </w:r>
      <w:r w:rsidR="00325B0C" w:rsidRPr="006122EE">
        <w:t xml:space="preserve"> power</w:t>
      </w:r>
      <w:r w:rsidRPr="006122EE">
        <w:t xml:space="preserve"> peak</w:t>
      </w:r>
      <w:r w:rsidR="00CC7AEB" w:rsidRPr="006122EE">
        <w:t>ing</w:t>
      </w:r>
      <w:r w:rsidRPr="006122EE">
        <w:t xml:space="preserve"> plant.</w:t>
      </w:r>
    </w:p>
    <w:p w14:paraId="72DE9BA8" w14:textId="77777777" w:rsidR="00603DE0" w:rsidRPr="006122EE" w:rsidRDefault="00603DE0" w:rsidP="00603DE0">
      <w:pPr>
        <w:pStyle w:val="Caption"/>
      </w:pPr>
      <w:bookmarkStart w:id="191" w:name="_Ref469944286"/>
      <w:bookmarkStart w:id="192" w:name="_Toc481615004"/>
      <w:r w:rsidRPr="006122EE">
        <w:t xml:space="preserve">Table </w:t>
      </w:r>
      <w:r w:rsidR="00DC7D8C">
        <w:fldChar w:fldCharType="begin"/>
      </w:r>
      <w:r w:rsidR="00DC7D8C">
        <w:instrText xml:space="preserve"> SEQ Table \* ARABIC </w:instrText>
      </w:r>
      <w:r w:rsidR="00DC7D8C">
        <w:fldChar w:fldCharType="separate"/>
      </w:r>
      <w:r w:rsidR="00866D96">
        <w:rPr>
          <w:noProof/>
        </w:rPr>
        <w:t>19</w:t>
      </w:r>
      <w:r w:rsidR="00DC7D8C">
        <w:rPr>
          <w:noProof/>
        </w:rPr>
        <w:fldChar w:fldCharType="end"/>
      </w:r>
      <w:bookmarkEnd w:id="191"/>
      <w:r w:rsidRPr="006122EE">
        <w:t>: Installed Electric Generation Units, MW, 2014</w:t>
      </w:r>
      <w:bookmarkEnd w:id="192"/>
    </w:p>
    <w:tbl>
      <w:tblPr>
        <w:tblStyle w:val="GridTable4-Accent31"/>
        <w:tblW w:w="5000" w:type="pct"/>
        <w:tblLook w:val="04A0" w:firstRow="1" w:lastRow="0" w:firstColumn="1" w:lastColumn="0" w:noHBand="0" w:noVBand="1"/>
      </w:tblPr>
      <w:tblGrid>
        <w:gridCol w:w="4194"/>
        <w:gridCol w:w="3650"/>
        <w:gridCol w:w="1550"/>
      </w:tblGrid>
      <w:tr w:rsidR="00876823" w:rsidRPr="006122EE" w14:paraId="3624F77E" w14:textId="77777777" w:rsidTr="00897A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1" w:type="pct"/>
            <w:noWrap/>
          </w:tcPr>
          <w:p w14:paraId="61067231" w14:textId="77777777" w:rsidR="00876823" w:rsidRPr="006122EE" w:rsidRDefault="00876823" w:rsidP="00876823">
            <w:pPr>
              <w:spacing w:before="60" w:after="60" w:line="240" w:lineRule="auto"/>
              <w:jc w:val="left"/>
              <w:rPr>
                <w:rFonts w:eastAsia="Times New Roman" w:cs="Arial"/>
                <w:szCs w:val="20"/>
                <w:lang w:eastAsia="en-US"/>
              </w:rPr>
            </w:pPr>
            <w:r w:rsidRPr="006122EE">
              <w:rPr>
                <w:rFonts w:eastAsia="Times New Roman" w:cs="Arial"/>
                <w:szCs w:val="20"/>
                <w:lang w:eastAsia="en-US"/>
              </w:rPr>
              <w:t>Project</w:t>
            </w:r>
          </w:p>
        </w:tc>
        <w:tc>
          <w:tcPr>
            <w:tcW w:w="1826" w:type="pct"/>
            <w:noWrap/>
          </w:tcPr>
          <w:p w14:paraId="4F57ACDF" w14:textId="77777777" w:rsidR="00876823" w:rsidRPr="006122EE" w:rsidRDefault="00876823" w:rsidP="00876823">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US"/>
              </w:rPr>
            </w:pPr>
            <w:r w:rsidRPr="006122EE">
              <w:rPr>
                <w:rFonts w:eastAsia="Times New Roman" w:cs="Arial"/>
                <w:szCs w:val="20"/>
                <w:lang w:eastAsia="en-US"/>
              </w:rPr>
              <w:t>Description</w:t>
            </w:r>
          </w:p>
        </w:tc>
        <w:tc>
          <w:tcPr>
            <w:tcW w:w="773" w:type="pct"/>
            <w:noWrap/>
          </w:tcPr>
          <w:p w14:paraId="718FD681" w14:textId="77777777" w:rsidR="00876823" w:rsidRPr="006122EE" w:rsidRDefault="00876823" w:rsidP="00876823">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US"/>
              </w:rPr>
            </w:pPr>
            <w:r w:rsidRPr="006122EE">
              <w:rPr>
                <w:rFonts w:eastAsia="Times New Roman" w:cs="Arial"/>
                <w:szCs w:val="20"/>
                <w:lang w:eastAsia="en-US"/>
              </w:rPr>
              <w:t>Total capacity</w:t>
            </w:r>
          </w:p>
        </w:tc>
      </w:tr>
      <w:tr w:rsidR="00AE2005" w:rsidRPr="006122EE" w14:paraId="3DFB6EFD" w14:textId="77777777" w:rsidTr="00897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1" w:type="pct"/>
            <w:noWrap/>
            <w:hideMark/>
          </w:tcPr>
          <w:p w14:paraId="43377484"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Nkula Falls A</w:t>
            </w:r>
          </w:p>
        </w:tc>
        <w:tc>
          <w:tcPr>
            <w:tcW w:w="1826" w:type="pct"/>
            <w:noWrap/>
            <w:hideMark/>
          </w:tcPr>
          <w:p w14:paraId="417DBA54" w14:textId="77777777" w:rsidR="00AE2005" w:rsidRPr="006122EE" w:rsidRDefault="00AE2005" w:rsidP="00876823">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 units at 8 MW each</w:t>
            </w:r>
          </w:p>
        </w:tc>
        <w:tc>
          <w:tcPr>
            <w:tcW w:w="773" w:type="pct"/>
            <w:noWrap/>
            <w:hideMark/>
          </w:tcPr>
          <w:p w14:paraId="0F620235" w14:textId="77777777" w:rsidR="00AE2005" w:rsidRPr="006122EE" w:rsidRDefault="00AE2005" w:rsidP="0087682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24.00</w:t>
            </w:r>
          </w:p>
        </w:tc>
      </w:tr>
      <w:tr w:rsidR="00AE2005" w:rsidRPr="006122EE" w14:paraId="38E6312E" w14:textId="77777777" w:rsidTr="00876823">
        <w:trPr>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71DDC18A"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Nkula Falls B</w:t>
            </w:r>
          </w:p>
        </w:tc>
        <w:tc>
          <w:tcPr>
            <w:tcW w:w="2111" w:type="pct"/>
            <w:noWrap/>
            <w:hideMark/>
          </w:tcPr>
          <w:p w14:paraId="6356BEF8" w14:textId="77777777" w:rsidR="00AE2005" w:rsidRPr="006122EE" w:rsidRDefault="00AE2005" w:rsidP="0087682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5 units at 20 MW each</w:t>
            </w:r>
          </w:p>
        </w:tc>
        <w:tc>
          <w:tcPr>
            <w:tcW w:w="889" w:type="pct"/>
            <w:noWrap/>
            <w:hideMark/>
          </w:tcPr>
          <w:p w14:paraId="11E92968" w14:textId="77777777" w:rsidR="00AE2005" w:rsidRPr="006122EE" w:rsidRDefault="00AE2005" w:rsidP="0087682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100.00</w:t>
            </w:r>
          </w:p>
        </w:tc>
      </w:tr>
      <w:tr w:rsidR="00AE2005" w:rsidRPr="006122EE" w14:paraId="4C9D6FF9" w14:textId="77777777" w:rsidTr="008768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71F9869A"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Tedzani Falls I</w:t>
            </w:r>
          </w:p>
        </w:tc>
        <w:tc>
          <w:tcPr>
            <w:tcW w:w="2111" w:type="pct"/>
            <w:noWrap/>
            <w:hideMark/>
          </w:tcPr>
          <w:p w14:paraId="0CADBA6F" w14:textId="77777777" w:rsidR="00AE2005" w:rsidRPr="006122EE" w:rsidRDefault="00AE2005" w:rsidP="00876823">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 units at 10 MW each</w:t>
            </w:r>
          </w:p>
        </w:tc>
        <w:tc>
          <w:tcPr>
            <w:tcW w:w="889" w:type="pct"/>
            <w:noWrap/>
            <w:hideMark/>
          </w:tcPr>
          <w:p w14:paraId="7FD5EACB" w14:textId="77777777" w:rsidR="00AE2005" w:rsidRPr="006122EE" w:rsidRDefault="00AE2005" w:rsidP="0087682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20.00</w:t>
            </w:r>
          </w:p>
        </w:tc>
      </w:tr>
      <w:tr w:rsidR="00AE2005" w:rsidRPr="006122EE" w14:paraId="3D872E74" w14:textId="77777777" w:rsidTr="00876823">
        <w:trPr>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4EDD719B"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Tedzani Falls II</w:t>
            </w:r>
          </w:p>
        </w:tc>
        <w:tc>
          <w:tcPr>
            <w:tcW w:w="2111" w:type="pct"/>
            <w:noWrap/>
            <w:hideMark/>
          </w:tcPr>
          <w:p w14:paraId="205C3275" w14:textId="77777777" w:rsidR="00AE2005" w:rsidRPr="006122EE" w:rsidRDefault="00AE2005" w:rsidP="0087682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 units at 10 MW each</w:t>
            </w:r>
          </w:p>
        </w:tc>
        <w:tc>
          <w:tcPr>
            <w:tcW w:w="889" w:type="pct"/>
            <w:noWrap/>
            <w:hideMark/>
          </w:tcPr>
          <w:p w14:paraId="0C08829B" w14:textId="77777777" w:rsidR="00AE2005" w:rsidRPr="006122EE" w:rsidRDefault="00AE2005" w:rsidP="0087682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20.00</w:t>
            </w:r>
          </w:p>
        </w:tc>
      </w:tr>
      <w:tr w:rsidR="00AE2005" w:rsidRPr="006122EE" w14:paraId="403888A3" w14:textId="77777777" w:rsidTr="008768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060DF02F"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Tedzani Falls III</w:t>
            </w:r>
          </w:p>
        </w:tc>
        <w:tc>
          <w:tcPr>
            <w:tcW w:w="2111" w:type="pct"/>
            <w:noWrap/>
            <w:hideMark/>
          </w:tcPr>
          <w:p w14:paraId="5FC3FEF5" w14:textId="77777777" w:rsidR="00AE2005" w:rsidRPr="006122EE" w:rsidRDefault="00AE2005" w:rsidP="00876823">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 units at 26.35 MW each</w:t>
            </w:r>
          </w:p>
        </w:tc>
        <w:tc>
          <w:tcPr>
            <w:tcW w:w="889" w:type="pct"/>
            <w:noWrap/>
            <w:hideMark/>
          </w:tcPr>
          <w:p w14:paraId="7D18EC92" w14:textId="77777777" w:rsidR="00AE2005" w:rsidRPr="006122EE" w:rsidRDefault="00AE2005" w:rsidP="0087682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52.70</w:t>
            </w:r>
          </w:p>
        </w:tc>
      </w:tr>
      <w:tr w:rsidR="00AE2005" w:rsidRPr="006122EE" w14:paraId="4DC945D7" w14:textId="77777777" w:rsidTr="00876823">
        <w:trPr>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53DEA8C2"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Wovwe Mini Hydro</w:t>
            </w:r>
          </w:p>
        </w:tc>
        <w:tc>
          <w:tcPr>
            <w:tcW w:w="2111" w:type="pct"/>
            <w:noWrap/>
            <w:hideMark/>
          </w:tcPr>
          <w:p w14:paraId="1FFD08A0" w14:textId="77777777" w:rsidR="00AE2005" w:rsidRPr="006122EE" w:rsidRDefault="00AE2005" w:rsidP="0087682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 units at 1.45 MW each</w:t>
            </w:r>
          </w:p>
        </w:tc>
        <w:tc>
          <w:tcPr>
            <w:tcW w:w="889" w:type="pct"/>
            <w:noWrap/>
            <w:hideMark/>
          </w:tcPr>
          <w:p w14:paraId="4940960D" w14:textId="77777777" w:rsidR="00AE2005" w:rsidRPr="006122EE" w:rsidRDefault="00AE2005" w:rsidP="0087682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4.35</w:t>
            </w:r>
          </w:p>
        </w:tc>
      </w:tr>
      <w:tr w:rsidR="00AE2005" w:rsidRPr="006122EE" w14:paraId="17151E04" w14:textId="77777777" w:rsidTr="008768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pct"/>
            <w:noWrap/>
            <w:hideMark/>
          </w:tcPr>
          <w:p w14:paraId="3D893022" w14:textId="77777777" w:rsidR="00AE2005" w:rsidRPr="006122EE" w:rsidRDefault="00AE2005"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Kapichara Falls Phase I</w:t>
            </w:r>
          </w:p>
        </w:tc>
        <w:tc>
          <w:tcPr>
            <w:tcW w:w="2111" w:type="pct"/>
            <w:noWrap/>
            <w:hideMark/>
          </w:tcPr>
          <w:p w14:paraId="530858D3" w14:textId="77777777" w:rsidR="00AE2005" w:rsidRPr="006122EE" w:rsidRDefault="00AE2005" w:rsidP="00876823">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 units at 32.4 MW each</w:t>
            </w:r>
          </w:p>
        </w:tc>
        <w:tc>
          <w:tcPr>
            <w:tcW w:w="889" w:type="pct"/>
            <w:noWrap/>
            <w:hideMark/>
          </w:tcPr>
          <w:p w14:paraId="024473A4" w14:textId="77777777" w:rsidR="00AE2005" w:rsidRPr="006122EE" w:rsidRDefault="00AE2005" w:rsidP="0087682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64.80</w:t>
            </w:r>
          </w:p>
        </w:tc>
      </w:tr>
      <w:tr w:rsidR="00226A74" w:rsidRPr="006122EE" w14:paraId="4C309828" w14:textId="77777777" w:rsidTr="00876823">
        <w:trPr>
          <w:trHeight w:val="288"/>
        </w:trPr>
        <w:tc>
          <w:tcPr>
            <w:cnfStyle w:val="001000000000" w:firstRow="0" w:lastRow="0" w:firstColumn="1" w:lastColumn="0" w:oddVBand="0" w:evenVBand="0" w:oddHBand="0" w:evenHBand="0" w:firstRowFirstColumn="0" w:firstRowLastColumn="0" w:lastRowFirstColumn="0" w:lastRowLastColumn="0"/>
            <w:tcW w:w="2000" w:type="pct"/>
            <w:noWrap/>
          </w:tcPr>
          <w:p w14:paraId="202D4537" w14:textId="77777777" w:rsidR="00226A74" w:rsidRPr="006122EE" w:rsidRDefault="00226A74" w:rsidP="00876823">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Kapichara Falls Phase II</w:t>
            </w:r>
          </w:p>
        </w:tc>
        <w:tc>
          <w:tcPr>
            <w:tcW w:w="2111" w:type="pct"/>
            <w:noWrap/>
          </w:tcPr>
          <w:p w14:paraId="03C51D96" w14:textId="77777777" w:rsidR="00226A74" w:rsidRPr="006122EE" w:rsidRDefault="00226A74" w:rsidP="0087682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 units at 43.4 MW each</w:t>
            </w:r>
          </w:p>
        </w:tc>
        <w:tc>
          <w:tcPr>
            <w:tcW w:w="889" w:type="pct"/>
            <w:noWrap/>
          </w:tcPr>
          <w:p w14:paraId="3C0CA55C" w14:textId="77777777" w:rsidR="00226A74" w:rsidRPr="006122EE" w:rsidRDefault="00226A74" w:rsidP="0087682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64.80</w:t>
            </w:r>
          </w:p>
        </w:tc>
      </w:tr>
      <w:tr w:rsidR="00897AA2" w:rsidRPr="006122EE" w14:paraId="2A32ED75" w14:textId="77777777" w:rsidTr="00897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pct"/>
            <w:noWrap/>
          </w:tcPr>
          <w:p w14:paraId="7F4A1948" w14:textId="77777777" w:rsidR="00897AA2" w:rsidRPr="006122EE" w:rsidRDefault="00897AA2" w:rsidP="00897AA2">
            <w:pPr>
              <w:spacing w:before="60" w:after="60" w:line="240" w:lineRule="auto"/>
              <w:jc w:val="left"/>
              <w:rPr>
                <w:rFonts w:eastAsia="Times New Roman" w:cs="Arial"/>
                <w:color w:val="000000"/>
                <w:szCs w:val="20"/>
                <w:lang w:eastAsia="en-US"/>
              </w:rPr>
            </w:pPr>
            <w:r w:rsidRPr="006122EE">
              <w:rPr>
                <w:rFonts w:eastAsia="Times New Roman" w:cs="Arial"/>
                <w:color w:val="000000"/>
                <w:szCs w:val="20"/>
                <w:lang w:eastAsia="en-US"/>
              </w:rPr>
              <w:t>Kanengo Lilongwe Diesel</w:t>
            </w:r>
          </w:p>
        </w:tc>
        <w:tc>
          <w:tcPr>
            <w:tcW w:w="2111" w:type="pct"/>
            <w:noWrap/>
          </w:tcPr>
          <w:p w14:paraId="58B8EECB" w14:textId="77777777" w:rsidR="00897AA2" w:rsidRPr="006122EE" w:rsidRDefault="00897AA2" w:rsidP="00897AA2">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 unit at 10 MW</w:t>
            </w:r>
          </w:p>
        </w:tc>
        <w:tc>
          <w:tcPr>
            <w:tcW w:w="889" w:type="pct"/>
            <w:noWrap/>
          </w:tcPr>
          <w:p w14:paraId="49ADC387" w14:textId="77777777" w:rsidR="00897AA2" w:rsidRPr="006122EE" w:rsidRDefault="00897AA2" w:rsidP="00897AA2">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10.00</w:t>
            </w:r>
          </w:p>
        </w:tc>
      </w:tr>
      <w:tr w:rsidR="00897AA2" w:rsidRPr="006122EE" w14:paraId="39463AB2" w14:textId="77777777" w:rsidTr="00897AA2">
        <w:trPr>
          <w:trHeight w:val="288"/>
        </w:trPr>
        <w:tc>
          <w:tcPr>
            <w:cnfStyle w:val="001000000000" w:firstRow="0" w:lastRow="0" w:firstColumn="1" w:lastColumn="0" w:oddVBand="0" w:evenVBand="0" w:oddHBand="0" w:evenHBand="0" w:firstRowFirstColumn="0" w:firstRowLastColumn="0" w:lastRowFirstColumn="0" w:lastRowLastColumn="0"/>
            <w:tcW w:w="2401" w:type="pct"/>
            <w:shd w:val="clear" w:color="auto" w:fill="00A1DE" w:themeFill="accent3"/>
            <w:noWrap/>
            <w:hideMark/>
          </w:tcPr>
          <w:p w14:paraId="7ECC6C0E" w14:textId="77777777" w:rsidR="00897AA2" w:rsidRPr="006122EE" w:rsidRDefault="00897AA2" w:rsidP="00897AA2">
            <w:pPr>
              <w:spacing w:before="60" w:after="60" w:line="240" w:lineRule="auto"/>
              <w:jc w:val="left"/>
              <w:rPr>
                <w:rFonts w:eastAsia="Times New Roman" w:cs="Arial"/>
                <w:color w:val="FFFFFF" w:themeColor="background1"/>
                <w:szCs w:val="20"/>
                <w:lang w:eastAsia="en-US"/>
              </w:rPr>
            </w:pPr>
            <w:r w:rsidRPr="006122EE">
              <w:rPr>
                <w:rFonts w:eastAsia="Times New Roman" w:cs="Arial"/>
                <w:color w:val="FFFFFF" w:themeColor="background1"/>
                <w:szCs w:val="20"/>
                <w:lang w:eastAsia="en-US"/>
              </w:rPr>
              <w:t>TOTAL</w:t>
            </w:r>
          </w:p>
        </w:tc>
        <w:tc>
          <w:tcPr>
            <w:tcW w:w="1826" w:type="pct"/>
            <w:shd w:val="clear" w:color="auto" w:fill="00A1DE" w:themeFill="accent3"/>
            <w:noWrap/>
            <w:hideMark/>
          </w:tcPr>
          <w:p w14:paraId="035A4B07" w14:textId="77777777" w:rsidR="00897AA2" w:rsidRPr="006122EE" w:rsidRDefault="00897AA2" w:rsidP="00897AA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en-US"/>
              </w:rPr>
            </w:pPr>
            <w:r w:rsidRPr="006122EE">
              <w:rPr>
                <w:rFonts w:eastAsia="Times New Roman" w:cs="Arial"/>
                <w:color w:val="FFFFFF" w:themeColor="background1"/>
                <w:szCs w:val="20"/>
                <w:lang w:eastAsia="en-US"/>
              </w:rPr>
              <w:t> </w:t>
            </w:r>
          </w:p>
        </w:tc>
        <w:tc>
          <w:tcPr>
            <w:tcW w:w="773" w:type="pct"/>
            <w:shd w:val="clear" w:color="auto" w:fill="00A1DE" w:themeFill="accent3"/>
            <w:noWrap/>
            <w:hideMark/>
          </w:tcPr>
          <w:p w14:paraId="39FCFB6C" w14:textId="77777777" w:rsidR="00897AA2" w:rsidRPr="006122EE" w:rsidRDefault="00897AA2" w:rsidP="00897AA2">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en-US"/>
              </w:rPr>
            </w:pPr>
            <w:r w:rsidRPr="006122EE">
              <w:rPr>
                <w:rFonts w:eastAsia="Times New Roman" w:cs="Arial"/>
                <w:color w:val="FFFFFF" w:themeColor="background1"/>
                <w:szCs w:val="20"/>
                <w:lang w:eastAsia="en-US"/>
              </w:rPr>
              <w:t xml:space="preserve">360.65 </w:t>
            </w:r>
          </w:p>
        </w:tc>
      </w:tr>
    </w:tbl>
    <w:p w14:paraId="56469E0C" w14:textId="77777777" w:rsidR="0082018A" w:rsidRDefault="0082018A" w:rsidP="00B53E51">
      <w:pPr>
        <w:spacing w:line="276" w:lineRule="auto"/>
      </w:pPr>
    </w:p>
    <w:p w14:paraId="6E2A14F6" w14:textId="77777777" w:rsidR="00AE2005" w:rsidRPr="006122EE" w:rsidRDefault="00340160" w:rsidP="00B53E51">
      <w:pPr>
        <w:spacing w:line="276" w:lineRule="auto"/>
        <w:rPr>
          <w:lang w:eastAsia="fr-FR"/>
        </w:rPr>
      </w:pPr>
      <w:r w:rsidRPr="006122EE">
        <w:t>Currently</w:t>
      </w:r>
      <w:r w:rsidR="0082018A">
        <w:t>,</w:t>
      </w:r>
      <w:r w:rsidR="00AE2005" w:rsidRPr="006122EE">
        <w:rPr>
          <w:lang w:eastAsia="fr-FR"/>
        </w:rPr>
        <w:t xml:space="preserve"> the construction of new North-South 220-330 kV backbone transmission lines</w:t>
      </w:r>
      <w:r w:rsidR="00560DC3" w:rsidRPr="006122EE">
        <w:rPr>
          <w:lang w:eastAsia="fr-FR"/>
        </w:rPr>
        <w:t xml:space="preserve"> </w:t>
      </w:r>
      <w:r w:rsidR="00280997" w:rsidRPr="006122EE">
        <w:rPr>
          <w:lang w:eastAsia="fr-FR"/>
        </w:rPr>
        <w:t>are</w:t>
      </w:r>
      <w:r w:rsidR="00560DC3" w:rsidRPr="006122EE">
        <w:rPr>
          <w:lang w:eastAsia="fr-FR"/>
        </w:rPr>
        <w:t xml:space="preserve"> underway</w:t>
      </w:r>
      <w:r w:rsidR="000E1C13" w:rsidRPr="006122EE">
        <w:rPr>
          <w:lang w:eastAsia="fr-FR"/>
        </w:rPr>
        <w:t xml:space="preserve"> with support from the Millennium Challenge Corporation</w:t>
      </w:r>
      <w:r w:rsidR="00597DEB" w:rsidRPr="006122EE">
        <w:rPr>
          <w:lang w:eastAsia="fr-FR"/>
        </w:rPr>
        <w:t xml:space="preserve"> (MCC)</w:t>
      </w:r>
      <w:r w:rsidR="00AE2005" w:rsidRPr="006122EE">
        <w:rPr>
          <w:lang w:eastAsia="fr-FR"/>
        </w:rPr>
        <w:t xml:space="preserve">. These will improve the reliability of the electricity grid and allow it to more readily accommodate </w:t>
      </w:r>
      <w:r w:rsidR="00932F2D" w:rsidRPr="006122EE">
        <w:rPr>
          <w:lang w:eastAsia="fr-FR"/>
        </w:rPr>
        <w:t>intermittent</w:t>
      </w:r>
      <w:r w:rsidR="00AE2005" w:rsidRPr="006122EE">
        <w:rPr>
          <w:lang w:eastAsia="fr-FR"/>
        </w:rPr>
        <w:t xml:space="preserve"> power generatio</w:t>
      </w:r>
      <w:r w:rsidRPr="006122EE">
        <w:rPr>
          <w:lang w:eastAsia="fr-FR"/>
        </w:rPr>
        <w:t>n sources like solar and wind.</w:t>
      </w:r>
      <w:r w:rsidR="00597DEB" w:rsidRPr="006122EE">
        <w:rPr>
          <w:lang w:eastAsia="fr-FR"/>
        </w:rPr>
        <w:t xml:space="preserve"> The MCC’s improvem</w:t>
      </w:r>
      <w:r w:rsidR="00597DEB" w:rsidRPr="006122EE">
        <w:t>e</w:t>
      </w:r>
      <w:r w:rsidR="00597DEB" w:rsidRPr="006122EE">
        <w:rPr>
          <w:lang w:eastAsia="fr-FR"/>
        </w:rPr>
        <w:t>nts to the transmission and distribution grids are expected to increase grid throughput capacity by at least 300 MW.</w:t>
      </w:r>
      <w:r w:rsidR="00597DEB" w:rsidRPr="006122EE">
        <w:rPr>
          <w:rStyle w:val="FootnoteReference"/>
          <w:lang w:eastAsia="fr-FR"/>
        </w:rPr>
        <w:footnoteReference w:id="40"/>
      </w:r>
    </w:p>
    <w:p w14:paraId="5F732311" w14:textId="77777777" w:rsidR="00AE2005" w:rsidRPr="006122EE" w:rsidRDefault="00AE2005" w:rsidP="00B53E51">
      <w:pPr>
        <w:pStyle w:val="Style1"/>
        <w:spacing w:line="276" w:lineRule="auto"/>
      </w:pPr>
      <w:r w:rsidRPr="006122EE">
        <w:t>Current situation with government policy</w:t>
      </w:r>
    </w:p>
    <w:p w14:paraId="5F152D33" w14:textId="77777777" w:rsidR="00AE2005" w:rsidRPr="006122EE" w:rsidRDefault="00AE2005" w:rsidP="00B53E51">
      <w:pPr>
        <w:spacing w:line="276" w:lineRule="auto"/>
      </w:pPr>
      <w:r w:rsidRPr="006122EE">
        <w:t>The main legislation guiding energy sector development are the following:</w:t>
      </w:r>
    </w:p>
    <w:p w14:paraId="4A73D831" w14:textId="77777777" w:rsidR="00AE2005" w:rsidRPr="00866D96" w:rsidRDefault="00AE2005" w:rsidP="00B53E51">
      <w:pPr>
        <w:pStyle w:val="DBulletlevel1"/>
        <w:spacing w:line="276" w:lineRule="auto"/>
        <w:rPr>
          <w:noProof w:val="0"/>
        </w:rPr>
      </w:pPr>
      <w:r w:rsidRPr="00866D96">
        <w:rPr>
          <w:noProof w:val="0"/>
        </w:rPr>
        <w:t>National Energy Policy 2003</w:t>
      </w:r>
      <w:r w:rsidR="0045533D" w:rsidRPr="00866D96">
        <w:rPr>
          <w:noProof w:val="0"/>
        </w:rPr>
        <w:t>.</w:t>
      </w:r>
    </w:p>
    <w:p w14:paraId="5939A165" w14:textId="77777777" w:rsidR="00AE2005" w:rsidRPr="00866D96" w:rsidRDefault="00AE2005" w:rsidP="00B53E51">
      <w:pPr>
        <w:pStyle w:val="DBulletlevel1"/>
        <w:spacing w:line="276" w:lineRule="auto"/>
        <w:rPr>
          <w:noProof w:val="0"/>
        </w:rPr>
      </w:pPr>
      <w:r w:rsidRPr="00866D96">
        <w:rPr>
          <w:noProof w:val="0"/>
        </w:rPr>
        <w:t>The Electricity Act 2004</w:t>
      </w:r>
      <w:r w:rsidR="0045533D" w:rsidRPr="00866D96">
        <w:rPr>
          <w:noProof w:val="0"/>
        </w:rPr>
        <w:t>.</w:t>
      </w:r>
      <w:r w:rsidRPr="00866D96">
        <w:rPr>
          <w:noProof w:val="0"/>
        </w:rPr>
        <w:t xml:space="preserve"> </w:t>
      </w:r>
    </w:p>
    <w:p w14:paraId="12F1987B" w14:textId="77777777" w:rsidR="00AE2005" w:rsidRPr="00866D96" w:rsidRDefault="00AE2005" w:rsidP="00B53E51">
      <w:pPr>
        <w:pStyle w:val="DBulletlevel1"/>
        <w:spacing w:line="276" w:lineRule="auto"/>
        <w:rPr>
          <w:noProof w:val="0"/>
        </w:rPr>
      </w:pPr>
      <w:r w:rsidRPr="00866D96">
        <w:rPr>
          <w:noProof w:val="0"/>
        </w:rPr>
        <w:t>Rural Electrification Act 2004</w:t>
      </w:r>
      <w:r w:rsidR="0045533D" w:rsidRPr="00866D96">
        <w:rPr>
          <w:noProof w:val="0"/>
        </w:rPr>
        <w:t>.</w:t>
      </w:r>
    </w:p>
    <w:p w14:paraId="597352AA" w14:textId="77777777" w:rsidR="00AE2005" w:rsidRPr="00866D96" w:rsidRDefault="00AE2005" w:rsidP="00B53E51">
      <w:pPr>
        <w:pStyle w:val="DBulletlevel1"/>
        <w:spacing w:line="276" w:lineRule="auto"/>
        <w:rPr>
          <w:noProof w:val="0"/>
        </w:rPr>
      </w:pPr>
      <w:r w:rsidRPr="00866D96">
        <w:rPr>
          <w:noProof w:val="0"/>
        </w:rPr>
        <w:t>Energy Regulation Act 2004</w:t>
      </w:r>
      <w:r w:rsidR="0045533D" w:rsidRPr="00866D96">
        <w:rPr>
          <w:noProof w:val="0"/>
        </w:rPr>
        <w:t>.</w:t>
      </w:r>
    </w:p>
    <w:p w14:paraId="38373580" w14:textId="77777777" w:rsidR="00EA598D" w:rsidRPr="00866D96" w:rsidRDefault="00EA598D" w:rsidP="00B53E51">
      <w:pPr>
        <w:pStyle w:val="DBulletlevel1"/>
        <w:spacing w:line="276" w:lineRule="auto"/>
        <w:rPr>
          <w:noProof w:val="0"/>
        </w:rPr>
      </w:pPr>
      <w:r w:rsidRPr="00866D96">
        <w:rPr>
          <w:noProof w:val="0"/>
        </w:rPr>
        <w:t>Liquid Fuels and Gas Act</w:t>
      </w:r>
      <w:r w:rsidR="00556286" w:rsidRPr="00866D96">
        <w:rPr>
          <w:noProof w:val="0"/>
        </w:rPr>
        <w:t xml:space="preserve"> 2004</w:t>
      </w:r>
      <w:r w:rsidR="0045533D" w:rsidRPr="00866D96">
        <w:rPr>
          <w:noProof w:val="0"/>
        </w:rPr>
        <w:t>.</w:t>
      </w:r>
    </w:p>
    <w:p w14:paraId="390C3F00" w14:textId="77777777" w:rsidR="00AE2005" w:rsidRPr="00866D96" w:rsidRDefault="00AE2005" w:rsidP="00B53E51">
      <w:pPr>
        <w:pStyle w:val="DBulletlevel1"/>
        <w:spacing w:line="276" w:lineRule="auto"/>
        <w:rPr>
          <w:noProof w:val="0"/>
        </w:rPr>
      </w:pPr>
      <w:r w:rsidRPr="00866D96">
        <w:rPr>
          <w:noProof w:val="0"/>
        </w:rPr>
        <w:t>No specific RE law but RE is embedded in pieces in above laws.</w:t>
      </w:r>
    </w:p>
    <w:p w14:paraId="25D9B220" w14:textId="77777777" w:rsidR="00C44213" w:rsidRPr="006122EE" w:rsidRDefault="00352D62" w:rsidP="00B53E51">
      <w:pPr>
        <w:spacing w:line="276" w:lineRule="auto"/>
      </w:pPr>
      <w:r w:rsidRPr="006122EE">
        <w:t xml:space="preserve">The Government of Malawi has </w:t>
      </w:r>
      <w:r w:rsidR="008A358B" w:rsidRPr="006122EE">
        <w:t>approv</w:t>
      </w:r>
      <w:r w:rsidRPr="006122EE">
        <w:t xml:space="preserve">ed a new National </w:t>
      </w:r>
      <w:r w:rsidR="008A358B" w:rsidRPr="006122EE">
        <w:t>Energy Policy in 2016 that focuses on power sector restructuring and reform of oil import policy. The policy addresses renewable energy, mainly off-grid RE.</w:t>
      </w:r>
    </w:p>
    <w:p w14:paraId="2B934846" w14:textId="77777777" w:rsidR="00AE2005" w:rsidRPr="00866D96" w:rsidRDefault="00AE2005" w:rsidP="00B53E51">
      <w:pPr>
        <w:pStyle w:val="CSubtitle2"/>
        <w:spacing w:line="276" w:lineRule="auto"/>
        <w:rPr>
          <w:noProof w:val="0"/>
          <w:lang w:val="en-GB"/>
        </w:rPr>
      </w:pPr>
      <w:r w:rsidRPr="00866D96">
        <w:rPr>
          <w:noProof w:val="0"/>
          <w:lang w:val="en-GB"/>
        </w:rPr>
        <w:t>Incentives/Disincentives/Taxation</w:t>
      </w:r>
    </w:p>
    <w:p w14:paraId="4C486651" w14:textId="77777777" w:rsidR="00AE2005" w:rsidRPr="006122EE" w:rsidRDefault="00AE2005" w:rsidP="00B53E51">
      <w:pPr>
        <w:spacing w:line="276" w:lineRule="auto"/>
      </w:pPr>
      <w:r w:rsidRPr="006122EE">
        <w:t xml:space="preserve">Current government policy allows RE products to be exempt from import and excise duty. However, during the </w:t>
      </w:r>
      <w:r w:rsidR="00327938" w:rsidRPr="006122EE">
        <w:rPr>
          <w:lang w:eastAsia="en-US"/>
        </w:rPr>
        <w:t>SE4ALL</w:t>
      </w:r>
      <w:r w:rsidRPr="006122EE">
        <w:t xml:space="preserve"> stakeholder consultations, stakeholders stated that some MRA officials are not knowledgeable about what constitutes a renewable energy product. As a result, some importers have consistently had problems clearing their RE merchandise into the country. This appears to be a particular problem with turbines and generators used for hydro projects as well as batteries used in solar home systems.</w:t>
      </w:r>
    </w:p>
    <w:p w14:paraId="108A16CF" w14:textId="77777777" w:rsidR="00AE2005" w:rsidRPr="006122EE" w:rsidRDefault="00AE2005" w:rsidP="00B53E51">
      <w:pPr>
        <w:spacing w:line="276" w:lineRule="auto"/>
      </w:pPr>
      <w:r w:rsidRPr="006122EE">
        <w:t>The government has quality standards on imported RE products, but another problem is that even when MBS officials waive the import fees on RE products, they can go too far and waive the fees on low-</w:t>
      </w:r>
      <w:r w:rsidR="00340160" w:rsidRPr="006122EE">
        <w:t>quality products</w:t>
      </w:r>
      <w:r w:rsidRPr="006122EE">
        <w:t xml:space="preserve">, thereby allowing cheap, inferior products into the country. </w:t>
      </w:r>
    </w:p>
    <w:p w14:paraId="1C99AD76" w14:textId="77777777" w:rsidR="00E7196C" w:rsidRPr="006122EE" w:rsidRDefault="00AE2005" w:rsidP="00B53E51">
      <w:pPr>
        <w:spacing w:line="276" w:lineRule="auto"/>
      </w:pPr>
      <w:r w:rsidRPr="006122EE">
        <w:t xml:space="preserve">Although RE products are exempt from import duties, they are not exempt from </w:t>
      </w:r>
      <w:r w:rsidR="00280997" w:rsidRPr="006122EE">
        <w:t xml:space="preserve">the standard </w:t>
      </w:r>
      <w:r w:rsidRPr="006122EE">
        <w:t xml:space="preserve">VAT, which is set at 16.5%. </w:t>
      </w:r>
      <w:r w:rsidR="00F02128" w:rsidRPr="006122EE">
        <w:t xml:space="preserve">Additional disincentives include </w:t>
      </w:r>
      <w:r w:rsidRPr="006122EE">
        <w:t xml:space="preserve">licensing fees and the </w:t>
      </w:r>
      <w:r w:rsidR="00F02128" w:rsidRPr="006122EE">
        <w:t xml:space="preserve">long time it takes to </w:t>
      </w:r>
      <w:r w:rsidRPr="006122EE">
        <w:t xml:space="preserve">process </w:t>
      </w:r>
      <w:r w:rsidR="00F02128" w:rsidRPr="006122EE">
        <w:t>a license application</w:t>
      </w:r>
      <w:r w:rsidRPr="006122EE">
        <w:t xml:space="preserve">. </w:t>
      </w:r>
    </w:p>
    <w:p w14:paraId="4EA04C6D" w14:textId="77777777" w:rsidR="00D738D6" w:rsidRPr="006122EE" w:rsidRDefault="00D738D6" w:rsidP="00B53E51">
      <w:pPr>
        <w:pStyle w:val="Style1"/>
        <w:spacing w:line="276" w:lineRule="auto"/>
      </w:pPr>
      <w:r w:rsidRPr="006122EE">
        <w:t>Existing plans and projections to 2030</w:t>
      </w:r>
    </w:p>
    <w:p w14:paraId="76A0D327" w14:textId="77777777" w:rsidR="00AE2005" w:rsidRPr="006122EE" w:rsidRDefault="00AE2005" w:rsidP="0082018A">
      <w:pPr>
        <w:spacing w:line="276" w:lineRule="auto"/>
      </w:pPr>
      <w:r w:rsidRPr="006122EE">
        <w:t>According to the INDC that Malawi submitted to the UNFCCC, “Recent electricity projections show that Malawi has to rapidly increase its generation capacity to between 1,200</w:t>
      </w:r>
      <w:r w:rsidR="00AB2226" w:rsidRPr="006122EE">
        <w:t xml:space="preserve"> </w:t>
      </w:r>
      <w:r w:rsidRPr="006122EE">
        <w:t>MW and 1,500</w:t>
      </w:r>
      <w:r w:rsidR="00AB2226" w:rsidRPr="006122EE">
        <w:t xml:space="preserve"> </w:t>
      </w:r>
      <w:r w:rsidRPr="006122EE">
        <w:t xml:space="preserve">MW by 2020 in order to meet demand.” The government’s </w:t>
      </w:r>
      <w:r w:rsidR="00CB3E2D">
        <w:t xml:space="preserve">2016 </w:t>
      </w:r>
      <w:r w:rsidRPr="006122EE">
        <w:t>energy policy paper has projections that could reach 1,900 MW by 2025, mainly through construction of large hydro plants, which keep large hydro as the dominant power source in Malawi, at 75%</w:t>
      </w:r>
      <w:r w:rsidR="00A50F3F" w:rsidRPr="006122EE">
        <w:t xml:space="preserve"> of total installed capacity</w:t>
      </w:r>
      <w:r w:rsidRPr="006122EE">
        <w:t>.</w:t>
      </w:r>
      <w:r w:rsidR="00A50F3F" w:rsidRPr="006122EE">
        <w:t xml:space="preserve"> </w:t>
      </w:r>
    </w:p>
    <w:p w14:paraId="12D16C0B" w14:textId="77777777" w:rsidR="00556286" w:rsidRPr="006122EE" w:rsidRDefault="00AE2005" w:rsidP="0082018A">
      <w:pPr>
        <w:spacing w:line="276" w:lineRule="auto"/>
        <w:rPr>
          <w:vertAlign w:val="superscript"/>
        </w:rPr>
      </w:pPr>
      <w:r w:rsidRPr="006122EE">
        <w:t>The government’s proposed energy policy update references a discussion in August 2015 in which MNREM, in consultation with MERA, ESCOM, and the Public Private Partnership Commission, came up with a list of projects to be</w:t>
      </w:r>
      <w:r w:rsidR="000F15E2" w:rsidRPr="006122EE">
        <w:t xml:space="preserve"> implemented (</w:t>
      </w:r>
      <w:r w:rsidR="00BE31B9" w:rsidRPr="006122EE">
        <w:t xml:space="preserve">shown in </w:t>
      </w:r>
      <w:r w:rsidR="0032083D" w:rsidRPr="006122EE">
        <w:fldChar w:fldCharType="begin"/>
      </w:r>
      <w:r w:rsidR="0032083D" w:rsidRPr="006122EE">
        <w:instrText xml:space="preserve"> REF _Ref481600567 \h </w:instrText>
      </w:r>
      <w:r w:rsidR="0082018A">
        <w:instrText xml:space="preserve"> \* MERGEFORMAT </w:instrText>
      </w:r>
      <w:r w:rsidR="0032083D" w:rsidRPr="006122EE">
        <w:fldChar w:fldCharType="separate"/>
      </w:r>
      <w:r w:rsidR="00866D96" w:rsidRPr="006122EE">
        <w:t xml:space="preserve">Table </w:t>
      </w:r>
      <w:r w:rsidR="00866D96">
        <w:rPr>
          <w:noProof/>
        </w:rPr>
        <w:t>20</w:t>
      </w:r>
      <w:r w:rsidR="0032083D" w:rsidRPr="006122EE">
        <w:fldChar w:fldCharType="end"/>
      </w:r>
      <w:r w:rsidR="000F15E2" w:rsidRPr="006122EE">
        <w:t>)</w:t>
      </w:r>
      <w:r w:rsidRPr="006122EE">
        <w:t xml:space="preserve">. These parties believed that, due to fears of grid instability, </w:t>
      </w:r>
      <w:r w:rsidR="0089762C" w:rsidRPr="006122EE">
        <w:t>a total</w:t>
      </w:r>
      <w:r w:rsidRPr="006122EE">
        <w:t xml:space="preserve"> of 15 MW (5 MW in each region) from solar could be added in the short term and 99 MW </w:t>
      </w:r>
      <w:r w:rsidR="008A358B" w:rsidRPr="006122EE">
        <w:t>c</w:t>
      </w:r>
      <w:r w:rsidRPr="006122EE">
        <w:t>ould be added in the medium term</w:t>
      </w:r>
      <w:r w:rsidR="0045533D" w:rsidRPr="006122EE">
        <w:rPr>
          <w:vertAlign w:val="superscript"/>
        </w:rPr>
        <w:footnoteReference w:id="41"/>
      </w:r>
      <w:r w:rsidRPr="006122EE">
        <w:t>.</w:t>
      </w:r>
      <w:r w:rsidRPr="006122EE">
        <w:rPr>
          <w:vertAlign w:val="superscript"/>
        </w:rPr>
        <w:t xml:space="preserve"> </w:t>
      </w:r>
    </w:p>
    <w:p w14:paraId="072A92A1" w14:textId="77777777" w:rsidR="00AE2005" w:rsidRPr="006122EE" w:rsidRDefault="00AE2005" w:rsidP="0082018A">
      <w:pPr>
        <w:spacing w:line="276" w:lineRule="auto"/>
      </w:pPr>
      <w:r w:rsidRPr="006122EE">
        <w:t xml:space="preserve">The list does not specify any wind or geothermal power projects, </w:t>
      </w:r>
      <w:r w:rsidR="00630D60" w:rsidRPr="006122EE">
        <w:t xml:space="preserve">although those are certainly possible once the resource mapping exercise is completed and feasibility studies are conducted for specific projects. The list includes </w:t>
      </w:r>
      <w:r w:rsidRPr="006122EE">
        <w:t>two s</w:t>
      </w:r>
      <w:r w:rsidR="00630D60" w:rsidRPr="006122EE">
        <w:t xml:space="preserve">ugarcane bagasse power projects, but no other biomass-type projects. There could in the future be solid biomass or biomass gasification projects fuelled by crop residues or animal waste. </w:t>
      </w:r>
      <w:r w:rsidR="00556286" w:rsidRPr="006122EE">
        <w:t xml:space="preserve"> </w:t>
      </w:r>
    </w:p>
    <w:p w14:paraId="0747D98C" w14:textId="77777777" w:rsidR="00325B0C" w:rsidRPr="006122EE" w:rsidRDefault="00325B0C" w:rsidP="007201F2">
      <w:pPr>
        <w:pStyle w:val="Caption"/>
      </w:pPr>
      <w:bookmarkStart w:id="193" w:name="_Ref481600567"/>
      <w:bookmarkStart w:id="194" w:name="_Toc481615005"/>
      <w:r w:rsidRPr="006122EE">
        <w:t xml:space="preserve">Table </w:t>
      </w:r>
      <w:r w:rsidR="00DC7D8C">
        <w:fldChar w:fldCharType="begin"/>
      </w:r>
      <w:r w:rsidR="00DC7D8C">
        <w:instrText xml:space="preserve"> SEQ Table \* ARABIC </w:instrText>
      </w:r>
      <w:r w:rsidR="00DC7D8C">
        <w:fldChar w:fldCharType="separate"/>
      </w:r>
      <w:r w:rsidR="00866D96">
        <w:rPr>
          <w:noProof/>
        </w:rPr>
        <w:t>20</w:t>
      </w:r>
      <w:r w:rsidR="00DC7D8C">
        <w:rPr>
          <w:noProof/>
        </w:rPr>
        <w:fldChar w:fldCharType="end"/>
      </w:r>
      <w:bookmarkEnd w:id="193"/>
      <w:r w:rsidR="007C41F5" w:rsidRPr="00866D96">
        <w:t>:</w:t>
      </w:r>
      <w:r w:rsidRPr="006122EE">
        <w:t xml:space="preserve"> Government-Planned Electricity Generation Projects Planned for 2015 - 2025</w:t>
      </w:r>
      <w:bookmarkEnd w:id="194"/>
    </w:p>
    <w:tbl>
      <w:tblPr>
        <w:tblStyle w:val="GridTable4-Accent31"/>
        <w:tblW w:w="4736" w:type="pct"/>
        <w:tblLook w:val="04A0" w:firstRow="1" w:lastRow="0" w:firstColumn="1" w:lastColumn="0" w:noHBand="0" w:noVBand="1"/>
      </w:tblPr>
      <w:tblGrid>
        <w:gridCol w:w="2096"/>
        <w:gridCol w:w="84"/>
        <w:gridCol w:w="2255"/>
        <w:gridCol w:w="1418"/>
        <w:gridCol w:w="3045"/>
      </w:tblGrid>
      <w:tr w:rsidR="00AE2005" w:rsidRPr="006122EE" w14:paraId="47366B31" w14:textId="77777777" w:rsidTr="00E665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6A718608" w14:textId="77777777" w:rsidR="00AE2005" w:rsidRPr="006122EE" w:rsidRDefault="0045533D" w:rsidP="00AE2005">
            <w:pPr>
              <w:spacing w:before="0" w:after="0" w:line="240" w:lineRule="auto"/>
              <w:rPr>
                <w:rFonts w:eastAsia="Times New Roman" w:cs="Arial"/>
                <w:b w:val="0"/>
                <w:bCs w:val="0"/>
                <w:szCs w:val="20"/>
                <w:lang w:eastAsia="en-US"/>
              </w:rPr>
            </w:pPr>
            <w:r w:rsidRPr="006122EE">
              <w:rPr>
                <w:rFonts w:eastAsia="Times New Roman" w:cs="Arial"/>
                <w:szCs w:val="20"/>
                <w:lang w:eastAsia="en-US"/>
              </w:rPr>
              <w:t>Project</w:t>
            </w:r>
          </w:p>
        </w:tc>
        <w:tc>
          <w:tcPr>
            <w:tcW w:w="1266" w:type="pct"/>
            <w:hideMark/>
          </w:tcPr>
          <w:p w14:paraId="202FC743" w14:textId="77777777" w:rsidR="00AE2005" w:rsidRPr="006122EE" w:rsidRDefault="0045533D" w:rsidP="00AE2005">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Technology</w:t>
            </w:r>
          </w:p>
        </w:tc>
        <w:tc>
          <w:tcPr>
            <w:tcW w:w="797" w:type="pct"/>
            <w:hideMark/>
          </w:tcPr>
          <w:p w14:paraId="63FC0D76" w14:textId="77777777" w:rsidR="00AE2005" w:rsidRPr="006122EE" w:rsidRDefault="0045533D" w:rsidP="00AE2005">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Capacity (Mw)</w:t>
            </w:r>
          </w:p>
        </w:tc>
        <w:tc>
          <w:tcPr>
            <w:tcW w:w="1711" w:type="pct"/>
            <w:hideMark/>
          </w:tcPr>
          <w:p w14:paraId="579D4394" w14:textId="77777777" w:rsidR="00AE2005" w:rsidRPr="006122EE" w:rsidRDefault="0045533D" w:rsidP="00AE2005">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Current Status</w:t>
            </w:r>
          </w:p>
        </w:tc>
      </w:tr>
      <w:tr w:rsidR="00AE2005" w:rsidRPr="006122EE" w14:paraId="5E37C134" w14:textId="77777777" w:rsidTr="00E665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72C7E7" w:themeFill="accent5"/>
            <w:hideMark/>
          </w:tcPr>
          <w:p w14:paraId="0DBB1C42" w14:textId="77777777" w:rsidR="00AE2005" w:rsidRPr="006122EE" w:rsidRDefault="00AE2005" w:rsidP="00AE2005">
            <w:pPr>
              <w:spacing w:before="0" w:after="0" w:line="240" w:lineRule="auto"/>
              <w:rPr>
                <w:rFonts w:eastAsia="Times New Roman" w:cs="Arial"/>
                <w:b w:val="0"/>
                <w:bCs w:val="0"/>
                <w:i/>
                <w:iCs/>
                <w:color w:val="000000"/>
                <w:szCs w:val="20"/>
                <w:lang w:eastAsia="en-US"/>
              </w:rPr>
            </w:pPr>
            <w:r w:rsidRPr="006122EE">
              <w:rPr>
                <w:rFonts w:eastAsia="Times New Roman" w:cs="Arial"/>
                <w:i/>
                <w:iCs/>
                <w:color w:val="000000"/>
                <w:szCs w:val="20"/>
                <w:lang w:eastAsia="en-US"/>
              </w:rPr>
              <w:t>NEAR- TERM (2015 – 2020)</w:t>
            </w:r>
          </w:p>
        </w:tc>
      </w:tr>
      <w:tr w:rsidR="00AE2005" w:rsidRPr="006122EE" w14:paraId="5B614033"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1BFBCEB2"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solar</w:t>
            </w:r>
          </w:p>
        </w:tc>
        <w:tc>
          <w:tcPr>
            <w:tcW w:w="1314" w:type="pct"/>
            <w:gridSpan w:val="2"/>
            <w:hideMark/>
          </w:tcPr>
          <w:p w14:paraId="26353E3C"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797" w:type="pct"/>
            <w:hideMark/>
          </w:tcPr>
          <w:p w14:paraId="63A146C8"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15</w:t>
            </w:r>
          </w:p>
        </w:tc>
        <w:tc>
          <w:tcPr>
            <w:tcW w:w="1711" w:type="pct"/>
            <w:hideMark/>
          </w:tcPr>
          <w:p w14:paraId="3D254F55"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 mapping in progress</w:t>
            </w:r>
          </w:p>
        </w:tc>
      </w:tr>
      <w:tr w:rsidR="00AE2005" w:rsidRPr="006122EE" w14:paraId="50E5233B" w14:textId="77777777" w:rsidTr="00E6652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8" w:type="pct"/>
            <w:hideMark/>
          </w:tcPr>
          <w:p w14:paraId="3CE8D9F1"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Diesel (ESCOM)</w:t>
            </w:r>
          </w:p>
        </w:tc>
        <w:tc>
          <w:tcPr>
            <w:tcW w:w="1314" w:type="pct"/>
            <w:gridSpan w:val="2"/>
            <w:hideMark/>
          </w:tcPr>
          <w:p w14:paraId="4BFDBE3A"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Diesel</w:t>
            </w:r>
          </w:p>
        </w:tc>
        <w:tc>
          <w:tcPr>
            <w:tcW w:w="797" w:type="pct"/>
            <w:hideMark/>
          </w:tcPr>
          <w:p w14:paraId="6077A271"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w:t>
            </w:r>
          </w:p>
        </w:tc>
        <w:tc>
          <w:tcPr>
            <w:tcW w:w="1711" w:type="pct"/>
            <w:hideMark/>
          </w:tcPr>
          <w:p w14:paraId="689FAE0D"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Installation in progress</w:t>
            </w:r>
          </w:p>
        </w:tc>
      </w:tr>
      <w:tr w:rsidR="00AE2005" w:rsidRPr="006122EE" w14:paraId="0D05B39D" w14:textId="77777777" w:rsidTr="00E66521">
        <w:trPr>
          <w:trHeight w:val="540"/>
        </w:trPr>
        <w:tc>
          <w:tcPr>
            <w:cnfStyle w:val="001000000000" w:firstRow="0" w:lastRow="0" w:firstColumn="1" w:lastColumn="0" w:oddVBand="0" w:evenVBand="0" w:oddHBand="0" w:evenHBand="0" w:firstRowFirstColumn="0" w:firstRowLastColumn="0" w:lastRowFirstColumn="0" w:lastRowLastColumn="0"/>
            <w:tcW w:w="1178" w:type="pct"/>
            <w:hideMark/>
          </w:tcPr>
          <w:p w14:paraId="0185679A"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Diesel (ESCOM)</w:t>
            </w:r>
          </w:p>
        </w:tc>
        <w:tc>
          <w:tcPr>
            <w:tcW w:w="1314" w:type="pct"/>
            <w:gridSpan w:val="2"/>
            <w:hideMark/>
          </w:tcPr>
          <w:p w14:paraId="75E43843"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Diesel</w:t>
            </w:r>
          </w:p>
        </w:tc>
        <w:tc>
          <w:tcPr>
            <w:tcW w:w="797" w:type="pct"/>
            <w:hideMark/>
          </w:tcPr>
          <w:p w14:paraId="4F4F60D2"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w:t>
            </w:r>
          </w:p>
        </w:tc>
        <w:tc>
          <w:tcPr>
            <w:tcW w:w="1711" w:type="pct"/>
            <w:hideMark/>
          </w:tcPr>
          <w:p w14:paraId="33422EAF"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Procurement in progress</w:t>
            </w:r>
          </w:p>
        </w:tc>
      </w:tr>
      <w:tr w:rsidR="00AE2005" w:rsidRPr="006122EE" w14:paraId="2F6F365D" w14:textId="77777777" w:rsidTr="00E6652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178" w:type="pct"/>
            <w:hideMark/>
          </w:tcPr>
          <w:p w14:paraId="2EC83ED1"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Diesel (ESCOM)</w:t>
            </w:r>
          </w:p>
        </w:tc>
        <w:tc>
          <w:tcPr>
            <w:tcW w:w="1314" w:type="pct"/>
            <w:gridSpan w:val="2"/>
            <w:hideMark/>
          </w:tcPr>
          <w:p w14:paraId="531E94EB"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Diesel</w:t>
            </w:r>
          </w:p>
        </w:tc>
        <w:tc>
          <w:tcPr>
            <w:tcW w:w="797" w:type="pct"/>
            <w:hideMark/>
          </w:tcPr>
          <w:p w14:paraId="5743CFAA"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30</w:t>
            </w:r>
          </w:p>
        </w:tc>
        <w:tc>
          <w:tcPr>
            <w:tcW w:w="1711" w:type="pct"/>
            <w:hideMark/>
          </w:tcPr>
          <w:p w14:paraId="5F8293DC"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Procurement in progress</w:t>
            </w:r>
          </w:p>
        </w:tc>
      </w:tr>
      <w:tr w:rsidR="00AE2005" w:rsidRPr="006122EE" w14:paraId="7FC45886" w14:textId="77777777" w:rsidTr="00E66521">
        <w:trPr>
          <w:trHeight w:val="564"/>
        </w:trPr>
        <w:tc>
          <w:tcPr>
            <w:cnfStyle w:val="001000000000" w:firstRow="0" w:lastRow="0" w:firstColumn="1" w:lastColumn="0" w:oddVBand="0" w:evenVBand="0" w:oddHBand="0" w:evenHBand="0" w:firstRowFirstColumn="0" w:firstRowLastColumn="0" w:lastRowFirstColumn="0" w:lastRowLastColumn="0"/>
            <w:tcW w:w="1178" w:type="pct"/>
            <w:hideMark/>
          </w:tcPr>
          <w:p w14:paraId="588566A6"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Illovo</w:t>
            </w:r>
          </w:p>
        </w:tc>
        <w:tc>
          <w:tcPr>
            <w:tcW w:w="1314" w:type="pct"/>
            <w:gridSpan w:val="2"/>
            <w:hideMark/>
          </w:tcPr>
          <w:p w14:paraId="10BFD87B"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Bagasse</w:t>
            </w:r>
          </w:p>
        </w:tc>
        <w:tc>
          <w:tcPr>
            <w:tcW w:w="797" w:type="pct"/>
            <w:hideMark/>
          </w:tcPr>
          <w:p w14:paraId="2AE0A8EC"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w:t>
            </w:r>
          </w:p>
        </w:tc>
        <w:tc>
          <w:tcPr>
            <w:tcW w:w="1711" w:type="pct"/>
            <w:hideMark/>
          </w:tcPr>
          <w:p w14:paraId="07BD2F18"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Engineering studies in progress</w:t>
            </w:r>
          </w:p>
        </w:tc>
      </w:tr>
      <w:tr w:rsidR="00AE2005" w:rsidRPr="006122EE" w14:paraId="19CBDBD3" w14:textId="77777777" w:rsidTr="00E6652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8" w:type="pct"/>
            <w:hideMark/>
          </w:tcPr>
          <w:p w14:paraId="2A84FE59"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Illovo</w:t>
            </w:r>
          </w:p>
        </w:tc>
        <w:tc>
          <w:tcPr>
            <w:tcW w:w="1314" w:type="pct"/>
            <w:gridSpan w:val="2"/>
            <w:hideMark/>
          </w:tcPr>
          <w:p w14:paraId="4B1E64F0"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Bagasse</w:t>
            </w:r>
          </w:p>
        </w:tc>
        <w:tc>
          <w:tcPr>
            <w:tcW w:w="797" w:type="pct"/>
            <w:hideMark/>
          </w:tcPr>
          <w:p w14:paraId="68132566"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40</w:t>
            </w:r>
          </w:p>
        </w:tc>
        <w:tc>
          <w:tcPr>
            <w:tcW w:w="1711" w:type="pct"/>
            <w:hideMark/>
          </w:tcPr>
          <w:p w14:paraId="418EAE92"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Feasibility Study  in progress</w:t>
            </w:r>
          </w:p>
        </w:tc>
      </w:tr>
      <w:tr w:rsidR="00AE2005" w:rsidRPr="006122EE" w14:paraId="65BDC098"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3CBCFDC0"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 xml:space="preserve">Unspecified DSM </w:t>
            </w:r>
          </w:p>
        </w:tc>
        <w:tc>
          <w:tcPr>
            <w:tcW w:w="1314" w:type="pct"/>
            <w:gridSpan w:val="2"/>
            <w:hideMark/>
          </w:tcPr>
          <w:p w14:paraId="395F8F42"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EE &amp; conservation</w:t>
            </w:r>
          </w:p>
        </w:tc>
        <w:tc>
          <w:tcPr>
            <w:tcW w:w="797" w:type="pct"/>
            <w:hideMark/>
          </w:tcPr>
          <w:p w14:paraId="2207AF05"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105</w:t>
            </w:r>
          </w:p>
        </w:tc>
        <w:tc>
          <w:tcPr>
            <w:tcW w:w="1711" w:type="pct"/>
            <w:hideMark/>
          </w:tcPr>
          <w:p w14:paraId="1BD216B4"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Concept stage</w:t>
            </w:r>
          </w:p>
        </w:tc>
      </w:tr>
      <w:tr w:rsidR="00AE2005" w:rsidRPr="006122EE" w14:paraId="5C2FB736" w14:textId="77777777" w:rsidTr="00E6652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78" w:type="pct"/>
            <w:hideMark/>
          </w:tcPr>
          <w:p w14:paraId="3B9272D1"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Tadzani IV (ESCOM)</w:t>
            </w:r>
          </w:p>
        </w:tc>
        <w:tc>
          <w:tcPr>
            <w:tcW w:w="1314" w:type="pct"/>
            <w:gridSpan w:val="2"/>
            <w:hideMark/>
          </w:tcPr>
          <w:p w14:paraId="7C4B8F78"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79CBDCBC"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22</w:t>
            </w:r>
          </w:p>
        </w:tc>
        <w:tc>
          <w:tcPr>
            <w:tcW w:w="1711" w:type="pct"/>
            <w:hideMark/>
          </w:tcPr>
          <w:p w14:paraId="1CE0191A"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Funding ready (JICA)</w:t>
            </w:r>
          </w:p>
        </w:tc>
      </w:tr>
      <w:tr w:rsidR="00AE2005" w:rsidRPr="006122EE" w14:paraId="6D29B0E3" w14:textId="77777777" w:rsidTr="00E66521">
        <w:trPr>
          <w:trHeight w:val="371"/>
        </w:trPr>
        <w:tc>
          <w:tcPr>
            <w:cnfStyle w:val="001000000000" w:firstRow="0" w:lastRow="0" w:firstColumn="1" w:lastColumn="0" w:oddVBand="0" w:evenVBand="0" w:oddHBand="0" w:evenHBand="0" w:firstRowFirstColumn="0" w:firstRowLastColumn="0" w:lastRowFirstColumn="0" w:lastRowLastColumn="0"/>
            <w:tcW w:w="1178" w:type="pct"/>
            <w:hideMark/>
          </w:tcPr>
          <w:p w14:paraId="2D94785F"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Kammwamba (GVT)</w:t>
            </w:r>
          </w:p>
        </w:tc>
        <w:tc>
          <w:tcPr>
            <w:tcW w:w="1314" w:type="pct"/>
            <w:gridSpan w:val="2"/>
            <w:hideMark/>
          </w:tcPr>
          <w:p w14:paraId="33DAA19D"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Coal</w:t>
            </w:r>
          </w:p>
        </w:tc>
        <w:tc>
          <w:tcPr>
            <w:tcW w:w="797" w:type="pct"/>
            <w:hideMark/>
          </w:tcPr>
          <w:p w14:paraId="6576DA5A"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300</w:t>
            </w:r>
          </w:p>
        </w:tc>
        <w:tc>
          <w:tcPr>
            <w:tcW w:w="1711" w:type="pct"/>
            <w:hideMark/>
          </w:tcPr>
          <w:p w14:paraId="1BA39221"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Awaiting financing</w:t>
            </w:r>
          </w:p>
        </w:tc>
      </w:tr>
      <w:tr w:rsidR="00AE2005" w:rsidRPr="006122EE" w14:paraId="54DA7B7D" w14:textId="77777777" w:rsidTr="00E6652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178" w:type="pct"/>
            <w:hideMark/>
          </w:tcPr>
          <w:p w14:paraId="7373D771"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Mpatamanga (ESCOM)</w:t>
            </w:r>
          </w:p>
        </w:tc>
        <w:tc>
          <w:tcPr>
            <w:tcW w:w="1314" w:type="pct"/>
            <w:gridSpan w:val="2"/>
            <w:hideMark/>
          </w:tcPr>
          <w:p w14:paraId="3E1D084E"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7AD474B8"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350</w:t>
            </w:r>
          </w:p>
        </w:tc>
        <w:tc>
          <w:tcPr>
            <w:tcW w:w="1711" w:type="pct"/>
            <w:hideMark/>
          </w:tcPr>
          <w:p w14:paraId="438EB59F"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Feasibility Study  in progress</w:t>
            </w:r>
          </w:p>
        </w:tc>
      </w:tr>
      <w:tr w:rsidR="00AE2005" w:rsidRPr="006122EE" w14:paraId="402E657C"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5CC0455F"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 xml:space="preserve">Karonga </w:t>
            </w:r>
          </w:p>
        </w:tc>
        <w:tc>
          <w:tcPr>
            <w:tcW w:w="1314" w:type="pct"/>
            <w:gridSpan w:val="2"/>
            <w:hideMark/>
          </w:tcPr>
          <w:p w14:paraId="57323AFB"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Coal</w:t>
            </w:r>
          </w:p>
        </w:tc>
        <w:tc>
          <w:tcPr>
            <w:tcW w:w="797" w:type="pct"/>
            <w:hideMark/>
          </w:tcPr>
          <w:p w14:paraId="3D0D977C"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w:t>
            </w:r>
          </w:p>
        </w:tc>
        <w:tc>
          <w:tcPr>
            <w:tcW w:w="1711" w:type="pct"/>
            <w:hideMark/>
          </w:tcPr>
          <w:p w14:paraId="4D7943E4"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Concept Stage</w:t>
            </w:r>
          </w:p>
        </w:tc>
      </w:tr>
      <w:tr w:rsidR="00AE2005" w:rsidRPr="006122EE" w14:paraId="1926A30F" w14:textId="77777777" w:rsidTr="00E6652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8" w:type="pct"/>
            <w:hideMark/>
          </w:tcPr>
          <w:p w14:paraId="4EF80FDA"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Kholombidzo</w:t>
            </w:r>
          </w:p>
        </w:tc>
        <w:tc>
          <w:tcPr>
            <w:tcW w:w="1314" w:type="pct"/>
            <w:gridSpan w:val="2"/>
            <w:hideMark/>
          </w:tcPr>
          <w:p w14:paraId="1D84F4D1"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10B0A881"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w:t>
            </w:r>
          </w:p>
        </w:tc>
        <w:tc>
          <w:tcPr>
            <w:tcW w:w="1711" w:type="pct"/>
            <w:hideMark/>
          </w:tcPr>
          <w:p w14:paraId="643D27A4"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Feasibility Study in progress</w:t>
            </w:r>
          </w:p>
        </w:tc>
      </w:tr>
      <w:tr w:rsidR="00AE2005" w:rsidRPr="006122EE" w14:paraId="58BF2AD1"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7A4A402D"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solar</w:t>
            </w:r>
          </w:p>
        </w:tc>
        <w:tc>
          <w:tcPr>
            <w:tcW w:w="1314" w:type="pct"/>
            <w:gridSpan w:val="2"/>
            <w:hideMark/>
          </w:tcPr>
          <w:p w14:paraId="0D8CF45D"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797" w:type="pct"/>
            <w:hideMark/>
          </w:tcPr>
          <w:p w14:paraId="73874A8E"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99</w:t>
            </w:r>
          </w:p>
        </w:tc>
        <w:tc>
          <w:tcPr>
            <w:tcW w:w="1711" w:type="pct"/>
            <w:hideMark/>
          </w:tcPr>
          <w:p w14:paraId="28442153"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Financing ready</w:t>
            </w:r>
          </w:p>
        </w:tc>
      </w:tr>
      <w:tr w:rsidR="00AE2005" w:rsidRPr="006122EE" w14:paraId="6704F154" w14:textId="77777777" w:rsidTr="00E6652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78" w:type="pct"/>
            <w:hideMark/>
          </w:tcPr>
          <w:p w14:paraId="38DA8093"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 xml:space="preserve">Malawi-Mozambique </w:t>
            </w:r>
          </w:p>
        </w:tc>
        <w:tc>
          <w:tcPr>
            <w:tcW w:w="1314" w:type="pct"/>
            <w:gridSpan w:val="2"/>
            <w:hideMark/>
          </w:tcPr>
          <w:p w14:paraId="3183496A"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Imports</w:t>
            </w:r>
          </w:p>
        </w:tc>
        <w:tc>
          <w:tcPr>
            <w:tcW w:w="797" w:type="pct"/>
            <w:hideMark/>
          </w:tcPr>
          <w:p w14:paraId="14A44253"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50</w:t>
            </w:r>
          </w:p>
        </w:tc>
        <w:tc>
          <w:tcPr>
            <w:tcW w:w="1711" w:type="pct"/>
            <w:hideMark/>
          </w:tcPr>
          <w:p w14:paraId="7C912352"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MOU signed</w:t>
            </w:r>
          </w:p>
        </w:tc>
      </w:tr>
      <w:tr w:rsidR="00AE2005" w:rsidRPr="006122EE" w14:paraId="06217773" w14:textId="77777777" w:rsidTr="00E66521">
        <w:trPr>
          <w:trHeight w:val="540"/>
        </w:trPr>
        <w:tc>
          <w:tcPr>
            <w:cnfStyle w:val="001000000000" w:firstRow="0" w:lastRow="0" w:firstColumn="1" w:lastColumn="0" w:oddVBand="0" w:evenVBand="0" w:oddHBand="0" w:evenHBand="0" w:firstRowFirstColumn="0" w:firstRowLastColumn="0" w:lastRowFirstColumn="0" w:lastRowLastColumn="0"/>
            <w:tcW w:w="1178" w:type="pct"/>
            <w:hideMark/>
          </w:tcPr>
          <w:p w14:paraId="43AB1D20"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Mbongozi (HE Power)</w:t>
            </w:r>
          </w:p>
        </w:tc>
        <w:tc>
          <w:tcPr>
            <w:tcW w:w="1314" w:type="pct"/>
            <w:gridSpan w:val="2"/>
            <w:hideMark/>
          </w:tcPr>
          <w:p w14:paraId="168926E6"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26A609F7"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41</w:t>
            </w:r>
          </w:p>
        </w:tc>
        <w:tc>
          <w:tcPr>
            <w:tcW w:w="1711" w:type="pct"/>
            <w:hideMark/>
          </w:tcPr>
          <w:p w14:paraId="4AD91C5A"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Awaiting PPA</w:t>
            </w:r>
          </w:p>
        </w:tc>
      </w:tr>
      <w:tr w:rsidR="00AE2005" w:rsidRPr="006122EE" w14:paraId="4D3DBBAF" w14:textId="77777777" w:rsidTr="00E6652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78" w:type="pct"/>
            <w:hideMark/>
          </w:tcPr>
          <w:p w14:paraId="4CF02695"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 xml:space="preserve">Nkula A </w:t>
            </w:r>
          </w:p>
        </w:tc>
        <w:tc>
          <w:tcPr>
            <w:tcW w:w="1314" w:type="pct"/>
            <w:gridSpan w:val="2"/>
            <w:hideMark/>
          </w:tcPr>
          <w:p w14:paraId="3404F7A0"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 upgrade</w:t>
            </w:r>
          </w:p>
        </w:tc>
        <w:tc>
          <w:tcPr>
            <w:tcW w:w="797" w:type="pct"/>
            <w:hideMark/>
          </w:tcPr>
          <w:p w14:paraId="3D9C7244"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12</w:t>
            </w:r>
          </w:p>
        </w:tc>
        <w:tc>
          <w:tcPr>
            <w:tcW w:w="1711" w:type="pct"/>
            <w:hideMark/>
          </w:tcPr>
          <w:p w14:paraId="35D87CEF"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w:t>
            </w:r>
          </w:p>
        </w:tc>
      </w:tr>
      <w:tr w:rsidR="00AE2005" w:rsidRPr="006122EE" w14:paraId="75F28232"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545600C4"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 xml:space="preserve">Tedzani III </w:t>
            </w:r>
          </w:p>
        </w:tc>
        <w:tc>
          <w:tcPr>
            <w:tcW w:w="1314" w:type="pct"/>
            <w:gridSpan w:val="2"/>
            <w:hideMark/>
          </w:tcPr>
          <w:p w14:paraId="02683107"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 upgrade</w:t>
            </w:r>
          </w:p>
        </w:tc>
        <w:tc>
          <w:tcPr>
            <w:tcW w:w="797" w:type="pct"/>
            <w:hideMark/>
          </w:tcPr>
          <w:p w14:paraId="722D9A81"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w:t>
            </w:r>
          </w:p>
        </w:tc>
        <w:tc>
          <w:tcPr>
            <w:tcW w:w="1711" w:type="pct"/>
            <w:hideMark/>
          </w:tcPr>
          <w:p w14:paraId="5A8D3336"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w:t>
            </w:r>
          </w:p>
        </w:tc>
      </w:tr>
      <w:tr w:rsidR="00AE2005" w:rsidRPr="006122EE" w14:paraId="6605C90D" w14:textId="77777777" w:rsidTr="00E6652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178" w:type="pct"/>
            <w:hideMark/>
          </w:tcPr>
          <w:p w14:paraId="7379A15C"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Chizuma(SINO hydro)</w:t>
            </w:r>
          </w:p>
        </w:tc>
        <w:tc>
          <w:tcPr>
            <w:tcW w:w="1314" w:type="pct"/>
            <w:gridSpan w:val="2"/>
            <w:hideMark/>
          </w:tcPr>
          <w:p w14:paraId="1C304787"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0334B853"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50</w:t>
            </w:r>
          </w:p>
        </w:tc>
        <w:tc>
          <w:tcPr>
            <w:tcW w:w="1711" w:type="pct"/>
            <w:hideMark/>
          </w:tcPr>
          <w:p w14:paraId="188FF70F"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Awaiting financing</w:t>
            </w:r>
          </w:p>
        </w:tc>
      </w:tr>
      <w:tr w:rsidR="00AE2005" w:rsidRPr="006122EE" w14:paraId="33EDC7B3" w14:textId="77777777" w:rsidTr="00E66521">
        <w:trPr>
          <w:trHeight w:val="804"/>
        </w:trPr>
        <w:tc>
          <w:tcPr>
            <w:cnfStyle w:val="001000000000" w:firstRow="0" w:lastRow="0" w:firstColumn="1" w:lastColumn="0" w:oddVBand="0" w:evenVBand="0" w:oddHBand="0" w:evenHBand="0" w:firstRowFirstColumn="0" w:firstRowLastColumn="0" w:lastRowFirstColumn="0" w:lastRowLastColumn="0"/>
            <w:tcW w:w="1178" w:type="pct"/>
            <w:hideMark/>
          </w:tcPr>
          <w:p w14:paraId="06FED6F6"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geothermal</w:t>
            </w:r>
          </w:p>
        </w:tc>
        <w:tc>
          <w:tcPr>
            <w:tcW w:w="1314" w:type="pct"/>
            <w:gridSpan w:val="2"/>
            <w:hideMark/>
          </w:tcPr>
          <w:p w14:paraId="798949AB"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 Geothermal</w:t>
            </w:r>
          </w:p>
        </w:tc>
        <w:tc>
          <w:tcPr>
            <w:tcW w:w="797" w:type="pct"/>
            <w:hideMark/>
          </w:tcPr>
          <w:p w14:paraId="22DC2F11"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 </w:t>
            </w:r>
          </w:p>
        </w:tc>
        <w:tc>
          <w:tcPr>
            <w:tcW w:w="1711" w:type="pct"/>
            <w:hideMark/>
          </w:tcPr>
          <w:p w14:paraId="74066215"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Consultancy put on hold due to funs. Awaiting WB review in September.</w:t>
            </w:r>
          </w:p>
        </w:tc>
      </w:tr>
      <w:tr w:rsidR="00AE2005" w:rsidRPr="006122EE" w14:paraId="330E6A60" w14:textId="77777777" w:rsidTr="00E665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8" w:type="pct"/>
            <w:hideMark/>
          </w:tcPr>
          <w:p w14:paraId="4412F279" w14:textId="77777777" w:rsidR="00AE2005" w:rsidRPr="006122EE" w:rsidRDefault="00AE2005" w:rsidP="00AE2005">
            <w:pPr>
              <w:spacing w:before="0" w:after="0" w:line="240" w:lineRule="auto"/>
              <w:jc w:val="left"/>
              <w:rPr>
                <w:rFonts w:eastAsia="Times New Roman" w:cs="Arial"/>
                <w:bCs w:val="0"/>
                <w:color w:val="000000"/>
                <w:szCs w:val="20"/>
                <w:lang w:eastAsia="en-US"/>
              </w:rPr>
            </w:pPr>
            <w:r w:rsidRPr="006122EE">
              <w:rPr>
                <w:rFonts w:eastAsia="Times New Roman" w:cs="Arial"/>
                <w:color w:val="000000"/>
                <w:szCs w:val="20"/>
                <w:lang w:eastAsia="en-US"/>
              </w:rPr>
              <w:t>SUB TOTAL</w:t>
            </w:r>
          </w:p>
        </w:tc>
        <w:tc>
          <w:tcPr>
            <w:tcW w:w="1314" w:type="pct"/>
            <w:gridSpan w:val="2"/>
            <w:hideMark/>
          </w:tcPr>
          <w:p w14:paraId="25ECDAA2"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 xml:space="preserve"> </w:t>
            </w:r>
          </w:p>
        </w:tc>
        <w:tc>
          <w:tcPr>
            <w:tcW w:w="797" w:type="pct"/>
            <w:hideMark/>
          </w:tcPr>
          <w:p w14:paraId="0A8C480E"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1,546</w:t>
            </w:r>
          </w:p>
        </w:tc>
        <w:tc>
          <w:tcPr>
            <w:tcW w:w="1711" w:type="pct"/>
            <w:hideMark/>
          </w:tcPr>
          <w:p w14:paraId="42B4F456"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 </w:t>
            </w:r>
          </w:p>
        </w:tc>
      </w:tr>
      <w:tr w:rsidR="00AE2005" w:rsidRPr="006122EE" w14:paraId="4B9191CE"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72C7E7" w:themeFill="accent5"/>
            <w:hideMark/>
          </w:tcPr>
          <w:p w14:paraId="4B13A444" w14:textId="77777777" w:rsidR="00AE2005" w:rsidRPr="006122EE" w:rsidRDefault="00AE2005" w:rsidP="00AE2005">
            <w:pPr>
              <w:spacing w:before="0" w:after="0" w:line="240" w:lineRule="auto"/>
              <w:jc w:val="left"/>
              <w:rPr>
                <w:rFonts w:eastAsia="Times New Roman" w:cs="Arial"/>
                <w:b w:val="0"/>
                <w:bCs w:val="0"/>
                <w:i/>
                <w:iCs/>
                <w:color w:val="000000"/>
                <w:szCs w:val="20"/>
                <w:lang w:eastAsia="en-US"/>
              </w:rPr>
            </w:pPr>
            <w:r w:rsidRPr="006122EE">
              <w:rPr>
                <w:rFonts w:eastAsia="Times New Roman" w:cs="Arial"/>
                <w:i/>
                <w:iCs/>
                <w:color w:val="000000"/>
                <w:szCs w:val="20"/>
                <w:lang w:eastAsia="en-US"/>
              </w:rPr>
              <w:t>Medium-term (2020 – 2025)</w:t>
            </w:r>
          </w:p>
        </w:tc>
      </w:tr>
      <w:tr w:rsidR="00AE2005" w:rsidRPr="006122EE" w14:paraId="3D312156" w14:textId="77777777" w:rsidTr="00E6652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2A936228"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RUO</w:t>
            </w:r>
          </w:p>
        </w:tc>
        <w:tc>
          <w:tcPr>
            <w:tcW w:w="1266" w:type="pct"/>
            <w:hideMark/>
          </w:tcPr>
          <w:p w14:paraId="73295598"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13C5A9D9"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23</w:t>
            </w:r>
          </w:p>
        </w:tc>
        <w:tc>
          <w:tcPr>
            <w:tcW w:w="1711" w:type="pct"/>
            <w:hideMark/>
          </w:tcPr>
          <w:p w14:paraId="2111A69A"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Review of feasibility study, ESIA and designs required</w:t>
            </w:r>
          </w:p>
        </w:tc>
      </w:tr>
      <w:tr w:rsidR="00AE2005" w:rsidRPr="006122EE" w14:paraId="0273A81E" w14:textId="77777777" w:rsidTr="00E66521">
        <w:trPr>
          <w:trHeight w:val="300"/>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20D8AD58"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Songwe 1</w:t>
            </w:r>
          </w:p>
        </w:tc>
        <w:tc>
          <w:tcPr>
            <w:tcW w:w="1266" w:type="pct"/>
            <w:hideMark/>
          </w:tcPr>
          <w:p w14:paraId="337EDF4A"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2548D6F4"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90</w:t>
            </w:r>
          </w:p>
        </w:tc>
        <w:tc>
          <w:tcPr>
            <w:tcW w:w="1711" w:type="pct"/>
            <w:hideMark/>
          </w:tcPr>
          <w:p w14:paraId="766B0389"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Detailed designing</w:t>
            </w:r>
          </w:p>
        </w:tc>
      </w:tr>
      <w:tr w:rsidR="00AE2005" w:rsidRPr="006122EE" w14:paraId="1730B3EA" w14:textId="77777777" w:rsidTr="00E6652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2A05386D"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Songwe 2</w:t>
            </w:r>
          </w:p>
        </w:tc>
        <w:tc>
          <w:tcPr>
            <w:tcW w:w="1266" w:type="pct"/>
            <w:hideMark/>
          </w:tcPr>
          <w:p w14:paraId="255289EA"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6A819818"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60</w:t>
            </w:r>
          </w:p>
        </w:tc>
        <w:tc>
          <w:tcPr>
            <w:tcW w:w="1711" w:type="pct"/>
            <w:hideMark/>
          </w:tcPr>
          <w:p w14:paraId="08B4B281"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Detailed designing in progress</w:t>
            </w:r>
          </w:p>
        </w:tc>
      </w:tr>
      <w:tr w:rsidR="00AE2005" w:rsidRPr="006122EE" w14:paraId="56EE7095" w14:textId="77777777" w:rsidTr="00E66521">
        <w:trPr>
          <w:trHeight w:val="552"/>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4272E290"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Fufu (ESCOM)</w:t>
            </w:r>
          </w:p>
        </w:tc>
        <w:tc>
          <w:tcPr>
            <w:tcW w:w="1266" w:type="pct"/>
            <w:hideMark/>
          </w:tcPr>
          <w:p w14:paraId="4C6A7DE3"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797" w:type="pct"/>
            <w:hideMark/>
          </w:tcPr>
          <w:p w14:paraId="2C6C438F"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140</w:t>
            </w:r>
          </w:p>
        </w:tc>
        <w:tc>
          <w:tcPr>
            <w:tcW w:w="1711" w:type="pct"/>
            <w:hideMark/>
          </w:tcPr>
          <w:p w14:paraId="50689379"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Feasibility Study in progress</w:t>
            </w:r>
          </w:p>
        </w:tc>
      </w:tr>
      <w:tr w:rsidR="00AE2005" w:rsidRPr="006122EE" w14:paraId="64C352A6" w14:textId="77777777" w:rsidTr="00E665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1461E5FD" w14:textId="77777777" w:rsidR="00AE2005" w:rsidRPr="006122EE" w:rsidRDefault="00AE2005" w:rsidP="00AE2005">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Unspecified wind</w:t>
            </w:r>
          </w:p>
        </w:tc>
        <w:tc>
          <w:tcPr>
            <w:tcW w:w="1266" w:type="pct"/>
            <w:hideMark/>
          </w:tcPr>
          <w:p w14:paraId="0AC0D6EE"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 </w:t>
            </w:r>
          </w:p>
        </w:tc>
        <w:tc>
          <w:tcPr>
            <w:tcW w:w="797" w:type="pct"/>
            <w:hideMark/>
          </w:tcPr>
          <w:p w14:paraId="23022EE5" w14:textId="77777777" w:rsidR="00AE2005" w:rsidRPr="006122EE" w:rsidRDefault="00AE2005" w:rsidP="00AE200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w:t>
            </w:r>
          </w:p>
        </w:tc>
        <w:tc>
          <w:tcPr>
            <w:tcW w:w="1711" w:type="pct"/>
            <w:hideMark/>
          </w:tcPr>
          <w:p w14:paraId="25CDD724"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Procuring wind musts</w:t>
            </w:r>
          </w:p>
        </w:tc>
      </w:tr>
      <w:tr w:rsidR="00AE2005" w:rsidRPr="006122EE" w14:paraId="76396DA3" w14:textId="77777777" w:rsidTr="00E66521">
        <w:trPr>
          <w:trHeight w:val="288"/>
        </w:trPr>
        <w:tc>
          <w:tcPr>
            <w:cnfStyle w:val="001000000000" w:firstRow="0" w:lastRow="0" w:firstColumn="1" w:lastColumn="0" w:oddVBand="0" w:evenVBand="0" w:oddHBand="0" w:evenHBand="0" w:firstRowFirstColumn="0" w:firstRowLastColumn="0" w:lastRowFirstColumn="0" w:lastRowLastColumn="0"/>
            <w:tcW w:w="1225" w:type="pct"/>
            <w:gridSpan w:val="2"/>
            <w:vMerge w:val="restart"/>
            <w:hideMark/>
          </w:tcPr>
          <w:p w14:paraId="34468A97" w14:textId="77777777" w:rsidR="00AE2005" w:rsidRPr="006122EE" w:rsidRDefault="00AE2005" w:rsidP="00AE2005">
            <w:pPr>
              <w:spacing w:before="0" w:after="0" w:line="240" w:lineRule="auto"/>
              <w:jc w:val="left"/>
              <w:rPr>
                <w:rFonts w:eastAsia="Times New Roman" w:cs="Arial"/>
                <w:bCs w:val="0"/>
                <w:color w:val="000000"/>
                <w:szCs w:val="20"/>
                <w:lang w:eastAsia="en-US"/>
              </w:rPr>
            </w:pPr>
            <w:r w:rsidRPr="006122EE">
              <w:rPr>
                <w:rFonts w:eastAsia="Times New Roman" w:cs="Arial"/>
                <w:color w:val="000000"/>
                <w:szCs w:val="20"/>
                <w:lang w:eastAsia="en-US"/>
              </w:rPr>
              <w:t>SUB TOTAL</w:t>
            </w:r>
          </w:p>
        </w:tc>
        <w:tc>
          <w:tcPr>
            <w:tcW w:w="1266" w:type="pct"/>
            <w:vMerge w:val="restart"/>
            <w:hideMark/>
          </w:tcPr>
          <w:p w14:paraId="113F85FF"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 xml:space="preserve"> </w:t>
            </w:r>
          </w:p>
        </w:tc>
        <w:tc>
          <w:tcPr>
            <w:tcW w:w="797" w:type="pct"/>
            <w:vMerge w:val="restart"/>
            <w:hideMark/>
          </w:tcPr>
          <w:p w14:paraId="4D043185" w14:textId="77777777" w:rsidR="00AE2005" w:rsidRPr="006122EE" w:rsidRDefault="00AE2005" w:rsidP="00AE200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313</w:t>
            </w:r>
          </w:p>
        </w:tc>
        <w:tc>
          <w:tcPr>
            <w:tcW w:w="1711" w:type="pct"/>
            <w:vMerge w:val="restart"/>
            <w:hideMark/>
          </w:tcPr>
          <w:p w14:paraId="34ECA9C3" w14:textId="77777777" w:rsidR="00AE2005" w:rsidRPr="006122EE" w:rsidRDefault="00AE2005" w:rsidP="00AE200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n-US"/>
              </w:rPr>
            </w:pPr>
            <w:r w:rsidRPr="006122EE">
              <w:rPr>
                <w:rFonts w:eastAsia="Times New Roman" w:cs="Arial"/>
                <w:b/>
                <w:bCs/>
                <w:color w:val="000000"/>
                <w:szCs w:val="20"/>
                <w:lang w:eastAsia="en-US"/>
              </w:rPr>
              <w:t> </w:t>
            </w:r>
          </w:p>
        </w:tc>
      </w:tr>
      <w:tr w:rsidR="00AE2005" w:rsidRPr="006122EE" w14:paraId="253083A1" w14:textId="77777777" w:rsidTr="00E6652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25" w:type="pct"/>
            <w:gridSpan w:val="2"/>
            <w:vMerge/>
            <w:hideMark/>
          </w:tcPr>
          <w:p w14:paraId="142FF137" w14:textId="77777777" w:rsidR="00AE2005" w:rsidRPr="006122EE" w:rsidRDefault="00AE2005" w:rsidP="00AE2005">
            <w:pPr>
              <w:spacing w:before="0" w:after="0" w:line="240" w:lineRule="auto"/>
              <w:jc w:val="left"/>
              <w:rPr>
                <w:rFonts w:eastAsia="Times New Roman" w:cs="Arial"/>
                <w:b w:val="0"/>
                <w:bCs w:val="0"/>
                <w:color w:val="000000"/>
                <w:szCs w:val="20"/>
                <w:lang w:eastAsia="en-US"/>
              </w:rPr>
            </w:pPr>
          </w:p>
        </w:tc>
        <w:tc>
          <w:tcPr>
            <w:tcW w:w="1266" w:type="pct"/>
            <w:vMerge/>
            <w:hideMark/>
          </w:tcPr>
          <w:p w14:paraId="0E458D25"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p>
        </w:tc>
        <w:tc>
          <w:tcPr>
            <w:tcW w:w="797" w:type="pct"/>
            <w:vMerge/>
            <w:hideMark/>
          </w:tcPr>
          <w:p w14:paraId="1D4486D5"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p>
        </w:tc>
        <w:tc>
          <w:tcPr>
            <w:tcW w:w="1711" w:type="pct"/>
            <w:vMerge/>
            <w:hideMark/>
          </w:tcPr>
          <w:p w14:paraId="68F54A4E" w14:textId="77777777" w:rsidR="00AE2005" w:rsidRPr="006122EE" w:rsidRDefault="00AE2005" w:rsidP="00AE200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n-US"/>
              </w:rPr>
            </w:pPr>
          </w:p>
        </w:tc>
      </w:tr>
      <w:tr w:rsidR="00AE2005" w:rsidRPr="006122EE" w14:paraId="533EF461" w14:textId="77777777" w:rsidTr="00E66521">
        <w:trPr>
          <w:trHeight w:val="319"/>
        </w:trPr>
        <w:tc>
          <w:tcPr>
            <w:cnfStyle w:val="001000000000" w:firstRow="0" w:lastRow="0" w:firstColumn="1" w:lastColumn="0" w:oddVBand="0" w:evenVBand="0" w:oddHBand="0" w:evenHBand="0" w:firstRowFirstColumn="0" w:firstRowLastColumn="0" w:lastRowFirstColumn="0" w:lastRowLastColumn="0"/>
            <w:tcW w:w="1225" w:type="pct"/>
            <w:gridSpan w:val="2"/>
            <w:hideMark/>
          </w:tcPr>
          <w:p w14:paraId="5136838A" w14:textId="77777777" w:rsidR="00AE2005" w:rsidRPr="006122EE" w:rsidRDefault="00AE2005" w:rsidP="00967C14">
            <w:pPr>
              <w:jc w:val="right"/>
            </w:pPr>
            <w:r w:rsidRPr="006122EE">
              <w:t>GRAND TOTAL</w:t>
            </w:r>
          </w:p>
        </w:tc>
        <w:tc>
          <w:tcPr>
            <w:tcW w:w="1266" w:type="pct"/>
            <w:hideMark/>
          </w:tcPr>
          <w:p w14:paraId="33612CFC" w14:textId="77777777" w:rsidR="00AE2005" w:rsidRPr="006122EE" w:rsidRDefault="00AE2005" w:rsidP="00967C14">
            <w:pPr>
              <w:jc w:val="right"/>
              <w:cnfStyle w:val="000000000000" w:firstRow="0" w:lastRow="0" w:firstColumn="0" w:lastColumn="0" w:oddVBand="0" w:evenVBand="0" w:oddHBand="0" w:evenHBand="0" w:firstRowFirstColumn="0" w:firstRowLastColumn="0" w:lastRowFirstColumn="0" w:lastRowLastColumn="0"/>
              <w:rPr>
                <w:b/>
              </w:rPr>
            </w:pPr>
            <w:r w:rsidRPr="006122EE">
              <w:rPr>
                <w:b/>
              </w:rPr>
              <w:t xml:space="preserve"> </w:t>
            </w:r>
          </w:p>
        </w:tc>
        <w:tc>
          <w:tcPr>
            <w:tcW w:w="797" w:type="pct"/>
            <w:hideMark/>
          </w:tcPr>
          <w:p w14:paraId="32078FF2" w14:textId="77777777" w:rsidR="00AE2005" w:rsidRPr="006122EE" w:rsidRDefault="00AE2005" w:rsidP="00967C14">
            <w:pPr>
              <w:jc w:val="right"/>
              <w:cnfStyle w:val="000000000000" w:firstRow="0" w:lastRow="0" w:firstColumn="0" w:lastColumn="0" w:oddVBand="0" w:evenVBand="0" w:oddHBand="0" w:evenHBand="0" w:firstRowFirstColumn="0" w:firstRowLastColumn="0" w:lastRowFirstColumn="0" w:lastRowLastColumn="0"/>
              <w:rPr>
                <w:b/>
              </w:rPr>
            </w:pPr>
            <w:r w:rsidRPr="006122EE">
              <w:rPr>
                <w:b/>
              </w:rPr>
              <w:t>1,859</w:t>
            </w:r>
          </w:p>
        </w:tc>
        <w:tc>
          <w:tcPr>
            <w:tcW w:w="1711" w:type="pct"/>
            <w:hideMark/>
          </w:tcPr>
          <w:p w14:paraId="672A0CEE" w14:textId="77777777" w:rsidR="00AE2005" w:rsidRPr="006122EE" w:rsidRDefault="00AE2005" w:rsidP="00967C14">
            <w:pPr>
              <w:keepNext/>
              <w:jc w:val="right"/>
              <w:cnfStyle w:val="000000000000" w:firstRow="0" w:lastRow="0" w:firstColumn="0" w:lastColumn="0" w:oddVBand="0" w:evenVBand="0" w:oddHBand="0" w:evenHBand="0" w:firstRowFirstColumn="0" w:firstRowLastColumn="0" w:lastRowFirstColumn="0" w:lastRowLastColumn="0"/>
              <w:rPr>
                <w:b/>
              </w:rPr>
            </w:pPr>
            <w:r w:rsidRPr="006122EE">
              <w:rPr>
                <w:b/>
              </w:rPr>
              <w:t> </w:t>
            </w:r>
          </w:p>
        </w:tc>
      </w:tr>
    </w:tbl>
    <w:p w14:paraId="313218FD" w14:textId="77777777" w:rsidR="0082018A" w:rsidRDefault="0082018A" w:rsidP="0082018A">
      <w:pPr>
        <w:spacing w:line="276" w:lineRule="auto"/>
      </w:pPr>
    </w:p>
    <w:p w14:paraId="69F55D07" w14:textId="77777777" w:rsidR="00AE2005" w:rsidRPr="006122EE" w:rsidRDefault="00AE2005" w:rsidP="0082018A">
      <w:pPr>
        <w:spacing w:line="276" w:lineRule="auto"/>
      </w:pPr>
      <w:r w:rsidRPr="006122EE">
        <w:t xml:space="preserve">According to the referenced energy policy paper, these figures were generated from a rule of the thumb that a grid can accommodate only 6% of its total capacity from intermittent sources like solar and wind. But </w:t>
      </w:r>
      <w:r w:rsidR="00C70F86" w:rsidRPr="006122EE">
        <w:t>this rule of thumb is incorrect. Wind already supplies 24% of Denmark’s electricity generation and over 14% of Spain and Portugal’s.</w:t>
      </w:r>
      <w:r w:rsidR="0080540C" w:rsidRPr="006122EE">
        <w:rPr>
          <w:rStyle w:val="FootnoteReference"/>
        </w:rPr>
        <w:footnoteReference w:id="42"/>
      </w:r>
      <w:r w:rsidR="0045533D" w:rsidRPr="006122EE">
        <w:t>,</w:t>
      </w:r>
      <w:r w:rsidR="0080540C" w:rsidRPr="006122EE">
        <w:rPr>
          <w:rStyle w:val="FootnoteReference"/>
        </w:rPr>
        <w:footnoteReference w:id="43"/>
      </w:r>
      <w:r w:rsidR="00C70F86" w:rsidRPr="006122EE">
        <w:t xml:space="preserve"> </w:t>
      </w:r>
      <w:r w:rsidR="0080540C" w:rsidRPr="006122EE">
        <w:t xml:space="preserve"> Germany generates more than 30% of its electricity from renewable sources. Its goal is at least 80% by 2050. </w:t>
      </w:r>
      <w:r w:rsidRPr="006122EE">
        <w:t xml:space="preserve">A number of </w:t>
      </w:r>
      <w:r w:rsidR="0080540C" w:rsidRPr="006122EE">
        <w:t xml:space="preserve">other </w:t>
      </w:r>
      <w:r w:rsidRPr="006122EE">
        <w:t>grid operators in the world plan to generate far more than 6% of their power from intermittent RE sources</w:t>
      </w:r>
      <w:r w:rsidR="0080540C" w:rsidRPr="006122EE">
        <w:t>, and many studies show how various countries can derive 100% of their power generation from renewable energy</w:t>
      </w:r>
      <w:r w:rsidR="0080540C" w:rsidRPr="006122EE">
        <w:rPr>
          <w:rStyle w:val="FootnoteReference"/>
        </w:rPr>
        <w:footnoteReference w:id="44"/>
      </w:r>
      <w:r w:rsidR="00A6447E" w:rsidRPr="006122EE">
        <w:t xml:space="preserve">. </w:t>
      </w:r>
      <w:r w:rsidR="00087517" w:rsidRPr="006122EE">
        <w:t xml:space="preserve">While the examples cited are all industrialized countries, the future of electricity grids around the world is one of </w:t>
      </w:r>
      <w:r w:rsidR="008536A0" w:rsidRPr="006122EE">
        <w:t xml:space="preserve">the </w:t>
      </w:r>
      <w:r w:rsidR="00087517" w:rsidRPr="006122EE">
        <w:t xml:space="preserve">greater </w:t>
      </w:r>
      <w:r w:rsidR="00AF48CC" w:rsidRPr="006122EE">
        <w:t>reliance</w:t>
      </w:r>
      <w:r w:rsidR="00087517" w:rsidRPr="006122EE">
        <w:t xml:space="preserve"> on renewable energy. Malawi can move in that direction.</w:t>
      </w:r>
    </w:p>
    <w:p w14:paraId="04FEBB73" w14:textId="77777777" w:rsidR="009E47E3" w:rsidRPr="006122EE" w:rsidRDefault="009E47E3" w:rsidP="0082018A">
      <w:pPr>
        <w:spacing w:line="276" w:lineRule="auto"/>
      </w:pPr>
      <w:r w:rsidRPr="006122EE">
        <w:t>The amount of renewable energy a grid can accommodate is based on the quality of the grid, its interconnection with other grids via the SAPP, and regulatory measures like time-of-use tariffs that can incentivize users to switch their electricity usage to times when renewables are generating the most power.</w:t>
      </w:r>
      <w:r w:rsidR="00B035EC" w:rsidRPr="006122EE">
        <w:t xml:space="preserve"> The </w:t>
      </w:r>
      <w:r w:rsidR="008536A0" w:rsidRPr="006122EE">
        <w:t>Millennium</w:t>
      </w:r>
      <w:r w:rsidR="00B035EC" w:rsidRPr="006122EE">
        <w:t xml:space="preserve"> Challenge Corporation is supporting the upgrade and capacity expansion of Malawi’s transmission infrastructure.</w:t>
      </w:r>
    </w:p>
    <w:p w14:paraId="3B69DF74" w14:textId="77777777" w:rsidR="00883A2F" w:rsidRPr="006122EE" w:rsidRDefault="00AE2005" w:rsidP="0082018A">
      <w:pPr>
        <w:spacing w:line="276" w:lineRule="auto"/>
      </w:pPr>
      <w:r w:rsidRPr="006122EE">
        <w:t>We have included energy policy paper’s conservative solar figures - 5 MW of solar added by 2020 and 99 MW added by 2025 - in our BAU power sector trajectory for Malawi</w:t>
      </w:r>
      <w:r w:rsidR="00E50444" w:rsidRPr="006122EE">
        <w:t xml:space="preserve"> </w:t>
      </w:r>
      <w:r w:rsidRPr="006122EE">
        <w:t>(</w:t>
      </w:r>
      <w:r w:rsidR="0045473D" w:rsidRPr="006122EE">
        <w:t>s</w:t>
      </w:r>
      <w:r w:rsidRPr="006122EE">
        <w:t>ee</w:t>
      </w:r>
      <w:r w:rsidR="008A4B3C" w:rsidRPr="006122EE">
        <w:t xml:space="preserve"> </w:t>
      </w:r>
      <w:r w:rsidR="0089762C" w:rsidRPr="006122EE">
        <w:fldChar w:fldCharType="begin"/>
      </w:r>
      <w:r w:rsidR="0089762C" w:rsidRPr="006122EE">
        <w:instrText xml:space="preserve"> REF _Ref448422569 \h </w:instrText>
      </w:r>
      <w:r w:rsidR="00474991" w:rsidRPr="006122EE">
        <w:instrText xml:space="preserve"> \* MERGEFORMAT </w:instrText>
      </w:r>
      <w:r w:rsidR="0089762C" w:rsidRPr="006122EE">
        <w:fldChar w:fldCharType="separate"/>
      </w:r>
      <w:r w:rsidR="00866D96" w:rsidRPr="006122EE">
        <w:t xml:space="preserve">Figure </w:t>
      </w:r>
      <w:r w:rsidR="00866D96">
        <w:t>10</w:t>
      </w:r>
      <w:r w:rsidR="0089762C" w:rsidRPr="006122EE">
        <w:fldChar w:fldCharType="end"/>
      </w:r>
      <w:r w:rsidRPr="006122EE">
        <w:t>). The BAU trajectory also includes an additional 1,190 MW of large hydro, which would result in large hydro continuing to dominate Malawi’s installed capacity. This can be seen even more dramatically in th</w:t>
      </w:r>
      <w:r w:rsidR="00BE31B9" w:rsidRPr="006122EE">
        <w:t xml:space="preserve">e trajectory shown in </w:t>
      </w:r>
      <w:r w:rsidR="0089762C" w:rsidRPr="006122EE">
        <w:fldChar w:fldCharType="begin"/>
      </w:r>
      <w:r w:rsidR="0089762C" w:rsidRPr="006122EE">
        <w:instrText xml:space="preserve"> REF _Ref448422569 \h </w:instrText>
      </w:r>
      <w:r w:rsidR="00474991" w:rsidRPr="006122EE">
        <w:instrText xml:space="preserve"> \* MERGEFORMAT </w:instrText>
      </w:r>
      <w:r w:rsidR="0089762C" w:rsidRPr="006122EE">
        <w:fldChar w:fldCharType="separate"/>
      </w:r>
      <w:r w:rsidR="00866D96" w:rsidRPr="006122EE">
        <w:t xml:space="preserve">Figure </w:t>
      </w:r>
      <w:r w:rsidR="00866D96">
        <w:t>10</w:t>
      </w:r>
      <w:r w:rsidR="0089762C" w:rsidRPr="006122EE">
        <w:fldChar w:fldCharType="end"/>
      </w:r>
      <w:r w:rsidRPr="006122EE">
        <w:t>. Even though proposed energy policy shows an increasing diversity of generation resources, large hydro will account for 75% of capacity.</w:t>
      </w:r>
      <w:r w:rsidR="00CB3E2D">
        <w:t xml:space="preserve"> A continued reliance mainly on large hydro, particularly on hydro plants on a single river - the Shire River, will maintain, if not increase, Malawi’s vulnerability to inadequate water flows for hydropower generation brought on by drought. With climate change, the likelihood of drought will only increase. Large hydro plants also can cause serious environmental damage. While the SE4ALL power generation targets in the following section include an expansion of large hydro, there is a major emphasis on </w:t>
      </w:r>
      <w:r w:rsidR="0002273C">
        <w:t xml:space="preserve">increasing the </w:t>
      </w:r>
      <w:r w:rsidR="00CB3E2D">
        <w:t>diversification of power</w:t>
      </w:r>
      <w:r w:rsidR="0002273C">
        <w:t xml:space="preserve"> sources, with particular focus on solar power.</w:t>
      </w:r>
      <w:r w:rsidR="00CB3E2D">
        <w:t xml:space="preserve">  </w:t>
      </w:r>
    </w:p>
    <w:p w14:paraId="67AE3337" w14:textId="77777777" w:rsidR="00603DE0" w:rsidRPr="006122EE" w:rsidRDefault="00603DE0" w:rsidP="00603DE0">
      <w:pPr>
        <w:pStyle w:val="Caption"/>
      </w:pPr>
      <w:bookmarkStart w:id="195" w:name="_Toc481614973"/>
      <w:r w:rsidRPr="006122EE">
        <w:t xml:space="preserve">Figure </w:t>
      </w:r>
      <w:r w:rsidR="00DC7D8C">
        <w:fldChar w:fldCharType="begin"/>
      </w:r>
      <w:r w:rsidR="00DC7D8C">
        <w:instrText xml:space="preserve"> SEQ Figure \* ARABIC </w:instrText>
      </w:r>
      <w:r w:rsidR="00DC7D8C">
        <w:fldChar w:fldCharType="separate"/>
      </w:r>
      <w:r w:rsidR="00866D96">
        <w:rPr>
          <w:noProof/>
        </w:rPr>
        <w:t>9</w:t>
      </w:r>
      <w:r w:rsidR="00DC7D8C">
        <w:rPr>
          <w:noProof/>
        </w:rPr>
        <w:fldChar w:fldCharType="end"/>
      </w:r>
      <w:r w:rsidRPr="006122EE">
        <w:t>: Anticipated 2025 Capacity from Energy Policy Paper, Year 2025</w:t>
      </w:r>
      <w:bookmarkEnd w:id="195"/>
    </w:p>
    <w:p w14:paraId="20EFA929" w14:textId="77777777" w:rsidR="00340160" w:rsidRPr="006122EE" w:rsidRDefault="00AE2005" w:rsidP="00340160">
      <w:pPr>
        <w:jc w:val="center"/>
      </w:pPr>
      <w:r w:rsidRPr="00866D96">
        <w:rPr>
          <w:noProof/>
          <w:lang w:val="en-US" w:eastAsia="en-US"/>
        </w:rPr>
        <w:drawing>
          <wp:inline distT="0" distB="0" distL="0" distR="0" wp14:anchorId="09E82370" wp14:editId="29A42EBF">
            <wp:extent cx="4015740" cy="2217420"/>
            <wp:effectExtent l="0" t="0" r="2286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395E1E" w14:textId="77777777" w:rsidR="0045473D" w:rsidRPr="006122EE" w:rsidRDefault="0045473D" w:rsidP="00024F70"/>
    <w:p w14:paraId="24DC5EAC" w14:textId="77777777" w:rsidR="00603DE0" w:rsidRPr="006122EE" w:rsidRDefault="00603DE0" w:rsidP="00603DE0">
      <w:pPr>
        <w:pStyle w:val="Caption"/>
      </w:pPr>
      <w:bookmarkStart w:id="196" w:name="_Ref448422569"/>
      <w:bookmarkStart w:id="197" w:name="_Toc481614974"/>
      <w:r w:rsidRPr="006122EE">
        <w:t xml:space="preserve">Figure </w:t>
      </w:r>
      <w:r w:rsidR="00DC7D8C">
        <w:fldChar w:fldCharType="begin"/>
      </w:r>
      <w:r w:rsidR="00DC7D8C">
        <w:instrText xml:space="preserve"> SEQ Figure \* ARABIC </w:instrText>
      </w:r>
      <w:r w:rsidR="00DC7D8C">
        <w:fldChar w:fldCharType="separate"/>
      </w:r>
      <w:r w:rsidR="00866D96">
        <w:rPr>
          <w:noProof/>
        </w:rPr>
        <w:t>10</w:t>
      </w:r>
      <w:r w:rsidR="00DC7D8C">
        <w:rPr>
          <w:noProof/>
        </w:rPr>
        <w:fldChar w:fldCharType="end"/>
      </w:r>
      <w:bookmarkEnd w:id="196"/>
      <w:r w:rsidRPr="006122EE">
        <w:t>: Anticipated Trajectory of New Power Supplies from Energy Policy Paper, MW</w:t>
      </w:r>
      <w:bookmarkEnd w:id="197"/>
    </w:p>
    <w:p w14:paraId="3528A1AF" w14:textId="77777777" w:rsidR="00340160" w:rsidRPr="006122EE" w:rsidRDefault="00AE2005" w:rsidP="00340160">
      <w:pPr>
        <w:keepNext/>
        <w:jc w:val="center"/>
      </w:pPr>
      <w:r w:rsidRPr="00866D96">
        <w:rPr>
          <w:noProof/>
          <w:lang w:val="en-US" w:eastAsia="en-US"/>
        </w:rPr>
        <w:drawing>
          <wp:inline distT="0" distB="0" distL="0" distR="0" wp14:anchorId="1AA20B90" wp14:editId="55A2534D">
            <wp:extent cx="4084320" cy="2423160"/>
            <wp:effectExtent l="0" t="0" r="11430" b="152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CF8F10" w14:textId="77777777" w:rsidR="001046C5" w:rsidRPr="006122EE" w:rsidRDefault="009D2F6B" w:rsidP="001046C5">
      <w:pPr>
        <w:pStyle w:val="BTitle3"/>
        <w:rPr>
          <w:noProof w:val="0"/>
          <w:lang w:val="en-GB"/>
        </w:rPr>
      </w:pPr>
      <w:bookmarkStart w:id="198" w:name="_Toc481599337"/>
      <w:bookmarkStart w:id="199" w:name="_Toc481600924"/>
      <w:bookmarkStart w:id="200" w:name="_Toc481609547"/>
      <w:bookmarkStart w:id="201" w:name="_Toc481611194"/>
      <w:bookmarkStart w:id="202" w:name="_Toc481599338"/>
      <w:bookmarkStart w:id="203" w:name="_Toc481600925"/>
      <w:bookmarkStart w:id="204" w:name="_Toc481609548"/>
      <w:bookmarkStart w:id="205" w:name="_Toc481611195"/>
      <w:bookmarkStart w:id="206" w:name="_Toc481599339"/>
      <w:bookmarkStart w:id="207" w:name="_Toc481600926"/>
      <w:bookmarkStart w:id="208" w:name="_Toc481609549"/>
      <w:bookmarkStart w:id="209" w:name="_Toc481611196"/>
      <w:bookmarkStart w:id="210" w:name="_Toc441762600"/>
      <w:bookmarkStart w:id="211" w:name="_Toc481614905"/>
      <w:bookmarkEnd w:id="198"/>
      <w:bookmarkEnd w:id="199"/>
      <w:bookmarkEnd w:id="200"/>
      <w:bookmarkEnd w:id="201"/>
      <w:bookmarkEnd w:id="202"/>
      <w:bookmarkEnd w:id="203"/>
      <w:bookmarkEnd w:id="204"/>
      <w:bookmarkEnd w:id="205"/>
      <w:bookmarkEnd w:id="206"/>
      <w:bookmarkEnd w:id="207"/>
      <w:bookmarkEnd w:id="208"/>
      <w:bookmarkEnd w:id="209"/>
      <w:bookmarkEnd w:id="210"/>
      <w:r w:rsidRPr="006122EE">
        <w:rPr>
          <w:noProof w:val="0"/>
          <w:lang w:val="en-GB"/>
        </w:rPr>
        <w:t>What is the target for 2030?</w:t>
      </w:r>
      <w:bookmarkEnd w:id="211"/>
    </w:p>
    <w:p w14:paraId="1FB04683" w14:textId="77777777" w:rsidR="0089762C" w:rsidRPr="006122EE" w:rsidRDefault="00AE2005" w:rsidP="0082018A">
      <w:pPr>
        <w:spacing w:line="276" w:lineRule="auto"/>
      </w:pPr>
      <w:r w:rsidRPr="006122EE">
        <w:t xml:space="preserve">As mentioned, both the INDC and energy policy paper include projections for a major expansion of large-scale hydro. There is indeed a great potential for such expansion. However, given the low water levels at the existing Shire River hydro plants, the uncertain impact of climate change on future water flows, </w:t>
      </w:r>
      <w:r w:rsidR="00682209" w:rsidRPr="006122EE">
        <w:t xml:space="preserve">and the negative environmental impacts of large dams, </w:t>
      </w:r>
      <w:r w:rsidRPr="006122EE">
        <w:t xml:space="preserve">a diversification of generation resources may be a more prudent path. There is also good potential for development of coal, solar and wind power resources. </w:t>
      </w:r>
      <w:r w:rsidR="0032083D" w:rsidRPr="006122EE">
        <w:rPr>
          <w:highlight w:val="yellow"/>
        </w:rPr>
        <w:fldChar w:fldCharType="begin"/>
      </w:r>
      <w:r w:rsidR="0032083D" w:rsidRPr="006122EE">
        <w:instrText xml:space="preserve"> REF _Ref481600597 \h </w:instrText>
      </w:r>
      <w:r w:rsidR="0082018A">
        <w:rPr>
          <w:highlight w:val="yellow"/>
        </w:rPr>
        <w:instrText xml:space="preserve"> \* MERGEFORMAT </w:instrText>
      </w:r>
      <w:r w:rsidR="0032083D" w:rsidRPr="006122EE">
        <w:rPr>
          <w:highlight w:val="yellow"/>
        </w:rPr>
      </w:r>
      <w:r w:rsidR="0032083D" w:rsidRPr="006122EE">
        <w:rPr>
          <w:highlight w:val="yellow"/>
        </w:rPr>
        <w:fldChar w:fldCharType="separate"/>
      </w:r>
      <w:r w:rsidR="00866D96" w:rsidRPr="006122EE">
        <w:t xml:space="preserve">Table </w:t>
      </w:r>
      <w:r w:rsidR="00866D96">
        <w:rPr>
          <w:noProof/>
        </w:rPr>
        <w:t>21</w:t>
      </w:r>
      <w:r w:rsidR="0032083D" w:rsidRPr="006122EE">
        <w:rPr>
          <w:highlight w:val="yellow"/>
        </w:rPr>
        <w:fldChar w:fldCharType="end"/>
      </w:r>
      <w:r w:rsidR="0032083D" w:rsidRPr="006122EE">
        <w:t xml:space="preserve"> </w:t>
      </w:r>
      <w:r w:rsidRPr="006122EE">
        <w:t>shows the</w:t>
      </w:r>
      <w:r w:rsidR="00780FD5" w:rsidRPr="006122EE">
        <w:t xml:space="preserve"> first 15 </w:t>
      </w:r>
      <w:r w:rsidRPr="006122EE">
        <w:t>IPP projects that have MOUs with the Government of Malawi</w:t>
      </w:r>
      <w:r w:rsidR="00FB7379" w:rsidRPr="006122EE">
        <w:t xml:space="preserve"> as of November 2015</w:t>
      </w:r>
      <w:r w:rsidR="00AA030E" w:rsidRPr="006122EE">
        <w:t xml:space="preserve"> (There </w:t>
      </w:r>
      <w:r w:rsidR="00780FD5" w:rsidRPr="006122EE">
        <w:t>are over</w:t>
      </w:r>
      <w:r w:rsidR="00AA030E" w:rsidRPr="006122EE">
        <w:t xml:space="preserve"> 30 projects with signed MOUs as of </w:t>
      </w:r>
      <w:r w:rsidR="00A753EB">
        <w:t>February 2017</w:t>
      </w:r>
      <w:r w:rsidR="00AA030E" w:rsidRPr="006122EE">
        <w:t>)</w:t>
      </w:r>
      <w:r w:rsidRPr="006122EE">
        <w:t xml:space="preserve">. They represent roughly 3,500 MW worth of installed capacity, although none </w:t>
      </w:r>
      <w:r w:rsidR="00FB7379" w:rsidRPr="006122EE">
        <w:t xml:space="preserve">have </w:t>
      </w:r>
      <w:r w:rsidRPr="006122EE">
        <w:t xml:space="preserve">begun construction </w:t>
      </w:r>
      <w:r w:rsidR="00780FD5" w:rsidRPr="006122EE">
        <w:t>and just one has a</w:t>
      </w:r>
      <w:r w:rsidRPr="006122EE">
        <w:t xml:space="preserve"> signed PPA. Many are still at a very preliminary conceptual stage, while others</w:t>
      </w:r>
      <w:r w:rsidR="00A41C3E" w:rsidRPr="006122EE">
        <w:t xml:space="preserve"> </w:t>
      </w:r>
      <w:r w:rsidRPr="006122EE">
        <w:t xml:space="preserve">have completed all studies and licensing and are simply waiting for ESCOM to sign the PPA. </w:t>
      </w:r>
      <w:r w:rsidR="00FB7379" w:rsidRPr="006122EE">
        <w:t>The numbers of MOUs are constantly changing, but as far as the number of projects in place, none have been built yet.</w:t>
      </w:r>
    </w:p>
    <w:p w14:paraId="488DC011" w14:textId="77777777" w:rsidR="0082018A" w:rsidRDefault="0082018A">
      <w:pPr>
        <w:spacing w:before="0" w:after="0" w:line="240" w:lineRule="auto"/>
        <w:jc w:val="left"/>
      </w:pPr>
      <w:r>
        <w:br w:type="page"/>
      </w:r>
    </w:p>
    <w:p w14:paraId="010E3A06" w14:textId="77777777" w:rsidR="00E7196C" w:rsidRPr="006122EE" w:rsidRDefault="00E7196C" w:rsidP="002B7514"/>
    <w:p w14:paraId="19D4B699" w14:textId="77777777" w:rsidR="00515520" w:rsidRPr="006122EE" w:rsidRDefault="00515520" w:rsidP="00603DE0">
      <w:pPr>
        <w:pStyle w:val="Caption"/>
      </w:pPr>
      <w:bookmarkStart w:id="212" w:name="_Ref481600597"/>
      <w:bookmarkStart w:id="213" w:name="_Toc481615006"/>
      <w:r w:rsidRPr="006122EE">
        <w:t xml:space="preserve">Table </w:t>
      </w:r>
      <w:r w:rsidR="00DC7D8C">
        <w:fldChar w:fldCharType="begin"/>
      </w:r>
      <w:r w:rsidR="00DC7D8C">
        <w:instrText xml:space="preserve"> SEQ Table \* ARABIC </w:instrText>
      </w:r>
      <w:r w:rsidR="00DC7D8C">
        <w:fldChar w:fldCharType="separate"/>
      </w:r>
      <w:r w:rsidR="00866D96">
        <w:rPr>
          <w:noProof/>
        </w:rPr>
        <w:t>21</w:t>
      </w:r>
      <w:r w:rsidR="00DC7D8C">
        <w:rPr>
          <w:noProof/>
        </w:rPr>
        <w:fldChar w:fldCharType="end"/>
      </w:r>
      <w:bookmarkEnd w:id="212"/>
      <w:r w:rsidRPr="006122EE">
        <w:t>: Pipeline of Independent Power Projects</w:t>
      </w:r>
      <w:r w:rsidR="00202AAA" w:rsidRPr="006122EE">
        <w:t xml:space="preserve"> (</w:t>
      </w:r>
      <w:r w:rsidRPr="006122EE">
        <w:t>November 2015</w:t>
      </w:r>
      <w:r w:rsidR="00202AAA" w:rsidRPr="006122EE">
        <w:t>)</w:t>
      </w:r>
      <w:r w:rsidR="00202AAA" w:rsidRPr="006122EE">
        <w:rPr>
          <w:rStyle w:val="FootnoteReference"/>
        </w:rPr>
        <w:footnoteReference w:id="45"/>
      </w:r>
      <w:bookmarkEnd w:id="213"/>
    </w:p>
    <w:tbl>
      <w:tblPr>
        <w:tblStyle w:val="GridTable4-Accent32"/>
        <w:tblW w:w="9606" w:type="dxa"/>
        <w:tblLook w:val="04A0" w:firstRow="1" w:lastRow="0" w:firstColumn="1" w:lastColumn="0" w:noHBand="0" w:noVBand="1"/>
      </w:tblPr>
      <w:tblGrid>
        <w:gridCol w:w="2600"/>
        <w:gridCol w:w="1619"/>
        <w:gridCol w:w="1050"/>
        <w:gridCol w:w="1360"/>
        <w:gridCol w:w="2977"/>
      </w:tblGrid>
      <w:tr w:rsidR="00876823" w:rsidRPr="006122EE" w14:paraId="7F7BD065" w14:textId="77777777" w:rsidTr="00726AF3">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06DCAD3" w14:textId="77777777" w:rsidR="00876823" w:rsidRPr="006122EE" w:rsidRDefault="00876823" w:rsidP="008536A0">
            <w:pPr>
              <w:spacing w:before="0" w:after="0" w:line="240" w:lineRule="auto"/>
              <w:jc w:val="center"/>
              <w:rPr>
                <w:rFonts w:eastAsia="Times New Roman" w:cs="Arial"/>
                <w:b w:val="0"/>
                <w:bCs w:val="0"/>
                <w:szCs w:val="20"/>
                <w:lang w:eastAsia="en-US"/>
              </w:rPr>
            </w:pPr>
            <w:r w:rsidRPr="006122EE">
              <w:rPr>
                <w:rFonts w:eastAsia="Times New Roman" w:cs="Arial"/>
                <w:szCs w:val="20"/>
                <w:lang w:eastAsia="en-US"/>
              </w:rPr>
              <w:t>Company</w:t>
            </w:r>
          </w:p>
        </w:tc>
        <w:tc>
          <w:tcPr>
            <w:tcW w:w="1619" w:type="dxa"/>
            <w:noWrap/>
            <w:hideMark/>
          </w:tcPr>
          <w:p w14:paraId="5F0ACB51" w14:textId="77777777" w:rsidR="00876823" w:rsidRPr="006122EE" w:rsidRDefault="00876823" w:rsidP="008536A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Technology</w:t>
            </w:r>
          </w:p>
        </w:tc>
        <w:tc>
          <w:tcPr>
            <w:tcW w:w="1050" w:type="dxa"/>
            <w:hideMark/>
          </w:tcPr>
          <w:p w14:paraId="3C26CFA2" w14:textId="77777777" w:rsidR="00876823" w:rsidRPr="006122EE" w:rsidRDefault="00876823" w:rsidP="008536A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Capacity (MW)</w:t>
            </w:r>
          </w:p>
        </w:tc>
        <w:tc>
          <w:tcPr>
            <w:tcW w:w="1360" w:type="dxa"/>
            <w:hideMark/>
          </w:tcPr>
          <w:p w14:paraId="37F85CE8" w14:textId="77777777" w:rsidR="00876823" w:rsidRPr="006122EE" w:rsidRDefault="00876823" w:rsidP="008536A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Date MOU Signed</w:t>
            </w:r>
          </w:p>
        </w:tc>
        <w:tc>
          <w:tcPr>
            <w:tcW w:w="2977" w:type="dxa"/>
            <w:noWrap/>
            <w:hideMark/>
          </w:tcPr>
          <w:p w14:paraId="4E110F11" w14:textId="77777777" w:rsidR="00876823" w:rsidRPr="006122EE" w:rsidRDefault="00876823" w:rsidP="008536A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en-US"/>
              </w:rPr>
            </w:pPr>
            <w:r w:rsidRPr="006122EE">
              <w:rPr>
                <w:rFonts w:eastAsia="Times New Roman" w:cs="Arial"/>
                <w:szCs w:val="20"/>
                <w:lang w:eastAsia="en-US"/>
              </w:rPr>
              <w:t>Status</w:t>
            </w:r>
          </w:p>
        </w:tc>
      </w:tr>
      <w:tr w:rsidR="00876823" w:rsidRPr="006122EE" w14:paraId="6AA0FF3E"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BF6AEFF"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Mbongozi (HE Power)</w:t>
            </w:r>
          </w:p>
        </w:tc>
        <w:tc>
          <w:tcPr>
            <w:tcW w:w="1619" w:type="dxa"/>
            <w:noWrap/>
            <w:hideMark/>
          </w:tcPr>
          <w:p w14:paraId="51A453AA"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1050" w:type="dxa"/>
            <w:noWrap/>
            <w:hideMark/>
          </w:tcPr>
          <w:p w14:paraId="282A713C"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41</w:t>
            </w:r>
          </w:p>
        </w:tc>
        <w:tc>
          <w:tcPr>
            <w:tcW w:w="1360" w:type="dxa"/>
            <w:noWrap/>
            <w:hideMark/>
          </w:tcPr>
          <w:p w14:paraId="7F46C16B"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24-Jun-11</w:t>
            </w:r>
          </w:p>
        </w:tc>
        <w:tc>
          <w:tcPr>
            <w:tcW w:w="2977" w:type="dxa"/>
            <w:noWrap/>
            <w:hideMark/>
          </w:tcPr>
          <w:p w14:paraId="58770FAB"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Financial closure stage</w:t>
            </w:r>
          </w:p>
        </w:tc>
      </w:tr>
      <w:tr w:rsidR="00876823" w:rsidRPr="006122EE" w14:paraId="49A731F5"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D6CCB7C"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Bua Hydro Power Ltd.</w:t>
            </w:r>
          </w:p>
        </w:tc>
        <w:tc>
          <w:tcPr>
            <w:tcW w:w="1619" w:type="dxa"/>
            <w:noWrap/>
            <w:hideMark/>
          </w:tcPr>
          <w:p w14:paraId="11C72559"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1050" w:type="dxa"/>
            <w:noWrap/>
            <w:hideMark/>
          </w:tcPr>
          <w:p w14:paraId="1FF07DE2"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60</w:t>
            </w:r>
          </w:p>
        </w:tc>
        <w:tc>
          <w:tcPr>
            <w:tcW w:w="1360" w:type="dxa"/>
            <w:noWrap/>
            <w:hideMark/>
          </w:tcPr>
          <w:p w14:paraId="681A0391"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04-Apr-12</w:t>
            </w:r>
          </w:p>
        </w:tc>
        <w:tc>
          <w:tcPr>
            <w:tcW w:w="2977" w:type="dxa"/>
            <w:noWrap/>
            <w:hideMark/>
          </w:tcPr>
          <w:p w14:paraId="4907C1EB"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Negotiating term sheet with ESCOM</w:t>
            </w:r>
          </w:p>
        </w:tc>
      </w:tr>
      <w:tr w:rsidR="00876823" w:rsidRPr="006122EE" w14:paraId="46CDF33E"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2E3458D3"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Maple Ltd.</w:t>
            </w:r>
          </w:p>
        </w:tc>
        <w:tc>
          <w:tcPr>
            <w:tcW w:w="1619" w:type="dxa"/>
            <w:noWrap/>
            <w:hideMark/>
          </w:tcPr>
          <w:p w14:paraId="294061CF"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Coal</w:t>
            </w:r>
          </w:p>
        </w:tc>
        <w:tc>
          <w:tcPr>
            <w:tcW w:w="1050" w:type="dxa"/>
            <w:noWrap/>
            <w:hideMark/>
          </w:tcPr>
          <w:p w14:paraId="25F4FCCC"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190</w:t>
            </w:r>
          </w:p>
        </w:tc>
        <w:tc>
          <w:tcPr>
            <w:tcW w:w="1360" w:type="dxa"/>
            <w:noWrap/>
            <w:hideMark/>
          </w:tcPr>
          <w:p w14:paraId="4292D33C"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Jan-15</w:t>
            </w:r>
          </w:p>
        </w:tc>
        <w:tc>
          <w:tcPr>
            <w:tcW w:w="2977" w:type="dxa"/>
            <w:noWrap/>
            <w:hideMark/>
          </w:tcPr>
          <w:p w14:paraId="15BE7652"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Seeking feasibility study funding</w:t>
            </w:r>
          </w:p>
        </w:tc>
      </w:tr>
      <w:tr w:rsidR="00876823" w:rsidRPr="006122EE" w14:paraId="4C58E376"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5F967FD"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Atlas Energy Malawi</w:t>
            </w:r>
          </w:p>
        </w:tc>
        <w:tc>
          <w:tcPr>
            <w:tcW w:w="1619" w:type="dxa"/>
            <w:noWrap/>
            <w:hideMark/>
          </w:tcPr>
          <w:p w14:paraId="2C174647"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1050" w:type="dxa"/>
            <w:noWrap/>
            <w:hideMark/>
          </w:tcPr>
          <w:p w14:paraId="13EFE4D1"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w:t>
            </w:r>
          </w:p>
        </w:tc>
        <w:tc>
          <w:tcPr>
            <w:tcW w:w="1360" w:type="dxa"/>
            <w:noWrap/>
            <w:hideMark/>
          </w:tcPr>
          <w:p w14:paraId="7529E34A"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10-Feb-15</w:t>
            </w:r>
          </w:p>
        </w:tc>
        <w:tc>
          <w:tcPr>
            <w:tcW w:w="2977" w:type="dxa"/>
            <w:noWrap/>
            <w:hideMark/>
          </w:tcPr>
          <w:p w14:paraId="63018504"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Waiting for ESCOM to sign PPA</w:t>
            </w:r>
          </w:p>
        </w:tc>
      </w:tr>
      <w:tr w:rsidR="00876823" w:rsidRPr="006122EE" w14:paraId="00AA63D4" w14:textId="77777777" w:rsidTr="00726A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91B0D1F"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CTI Africa LLC</w:t>
            </w:r>
          </w:p>
        </w:tc>
        <w:tc>
          <w:tcPr>
            <w:tcW w:w="1619" w:type="dxa"/>
            <w:noWrap/>
            <w:hideMark/>
          </w:tcPr>
          <w:p w14:paraId="6DD31D46"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1050" w:type="dxa"/>
            <w:noWrap/>
            <w:hideMark/>
          </w:tcPr>
          <w:p w14:paraId="5716FD6A"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120</w:t>
            </w:r>
          </w:p>
        </w:tc>
        <w:tc>
          <w:tcPr>
            <w:tcW w:w="1360" w:type="dxa"/>
            <w:noWrap/>
            <w:hideMark/>
          </w:tcPr>
          <w:p w14:paraId="2804B66F"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02-Aug-15</w:t>
            </w:r>
          </w:p>
        </w:tc>
        <w:tc>
          <w:tcPr>
            <w:tcW w:w="2977" w:type="dxa"/>
            <w:hideMark/>
          </w:tcPr>
          <w:p w14:paraId="57D77B84"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Under discussion with ESCOM &amp; Ministry</w:t>
            </w:r>
          </w:p>
        </w:tc>
      </w:tr>
      <w:tr w:rsidR="00876823" w:rsidRPr="006122EE" w14:paraId="7D46657A" w14:textId="77777777" w:rsidTr="00726AF3">
        <w:trPr>
          <w:trHeight w:val="864"/>
        </w:trPr>
        <w:tc>
          <w:tcPr>
            <w:cnfStyle w:val="001000000000" w:firstRow="0" w:lastRow="0" w:firstColumn="1" w:lastColumn="0" w:oddVBand="0" w:evenVBand="0" w:oddHBand="0" w:evenHBand="0" w:firstRowFirstColumn="0" w:firstRowLastColumn="0" w:lastRowFirstColumn="0" w:lastRowLastColumn="0"/>
            <w:tcW w:w="2600" w:type="dxa"/>
            <w:noWrap/>
            <w:hideMark/>
          </w:tcPr>
          <w:p w14:paraId="23C46C92"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Sinohydro</w:t>
            </w:r>
          </w:p>
        </w:tc>
        <w:tc>
          <w:tcPr>
            <w:tcW w:w="1619" w:type="dxa"/>
            <w:hideMark/>
          </w:tcPr>
          <w:p w14:paraId="4185EB7E"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 (Chizuma)                   Coal                      Solar</w:t>
            </w:r>
          </w:p>
        </w:tc>
        <w:tc>
          <w:tcPr>
            <w:tcW w:w="1050" w:type="dxa"/>
            <w:hideMark/>
          </w:tcPr>
          <w:p w14:paraId="49A80692"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80          300        125 </w:t>
            </w:r>
          </w:p>
        </w:tc>
        <w:tc>
          <w:tcPr>
            <w:tcW w:w="1360" w:type="dxa"/>
            <w:noWrap/>
            <w:hideMark/>
          </w:tcPr>
          <w:p w14:paraId="4E10DD43"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05-Aug-15</w:t>
            </w:r>
          </w:p>
        </w:tc>
        <w:tc>
          <w:tcPr>
            <w:tcW w:w="2977" w:type="dxa"/>
            <w:noWrap/>
            <w:hideMark/>
          </w:tcPr>
          <w:p w14:paraId="78054574"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Preparing project proposal</w:t>
            </w:r>
          </w:p>
        </w:tc>
      </w:tr>
      <w:tr w:rsidR="00876823" w:rsidRPr="006122EE" w14:paraId="57952C51" w14:textId="77777777" w:rsidTr="00726A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0B000B8"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Airon Green Energy</w:t>
            </w:r>
          </w:p>
        </w:tc>
        <w:tc>
          <w:tcPr>
            <w:tcW w:w="1619" w:type="dxa"/>
            <w:noWrap/>
            <w:hideMark/>
          </w:tcPr>
          <w:p w14:paraId="4B184F03"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Wind, solar &amp; hydro</w:t>
            </w:r>
          </w:p>
        </w:tc>
        <w:tc>
          <w:tcPr>
            <w:tcW w:w="1050" w:type="dxa"/>
            <w:noWrap/>
            <w:hideMark/>
          </w:tcPr>
          <w:p w14:paraId="7E9BFA75"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tbd</w:t>
            </w:r>
          </w:p>
        </w:tc>
        <w:tc>
          <w:tcPr>
            <w:tcW w:w="1360" w:type="dxa"/>
            <w:noWrap/>
            <w:hideMark/>
          </w:tcPr>
          <w:p w14:paraId="40E44893"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09-Aug-15</w:t>
            </w:r>
          </w:p>
        </w:tc>
        <w:tc>
          <w:tcPr>
            <w:tcW w:w="2977" w:type="dxa"/>
            <w:noWrap/>
            <w:hideMark/>
          </w:tcPr>
          <w:p w14:paraId="10C102CD"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Preparing to invest 1st Q, 2016</w:t>
            </w:r>
          </w:p>
        </w:tc>
      </w:tr>
      <w:tr w:rsidR="00876823" w:rsidRPr="006122EE" w14:paraId="215BFA1B"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0D201F6"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Water Wheel Int'l Inc.</w:t>
            </w:r>
          </w:p>
        </w:tc>
        <w:tc>
          <w:tcPr>
            <w:tcW w:w="1619" w:type="dxa"/>
            <w:noWrap/>
            <w:hideMark/>
          </w:tcPr>
          <w:p w14:paraId="63A1E85F"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Hydro</w:t>
            </w:r>
          </w:p>
        </w:tc>
        <w:tc>
          <w:tcPr>
            <w:tcW w:w="1050" w:type="dxa"/>
            <w:noWrap/>
            <w:hideMark/>
          </w:tcPr>
          <w:p w14:paraId="555C7295"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30</w:t>
            </w:r>
          </w:p>
        </w:tc>
        <w:tc>
          <w:tcPr>
            <w:tcW w:w="1360" w:type="dxa"/>
            <w:noWrap/>
            <w:hideMark/>
          </w:tcPr>
          <w:p w14:paraId="56A49173"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04-Sep-15</w:t>
            </w:r>
          </w:p>
        </w:tc>
        <w:tc>
          <w:tcPr>
            <w:tcW w:w="2977" w:type="dxa"/>
            <w:noWrap/>
            <w:hideMark/>
          </w:tcPr>
          <w:p w14:paraId="026CC205"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Conducting feasibility study</w:t>
            </w:r>
          </w:p>
        </w:tc>
      </w:tr>
      <w:tr w:rsidR="00876823" w:rsidRPr="006122EE" w14:paraId="544FC543" w14:textId="77777777" w:rsidTr="00726A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096B1CE"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JCM Clean Power Dev.</w:t>
            </w:r>
          </w:p>
        </w:tc>
        <w:tc>
          <w:tcPr>
            <w:tcW w:w="1619" w:type="dxa"/>
            <w:noWrap/>
            <w:hideMark/>
          </w:tcPr>
          <w:p w14:paraId="10300E12"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1050" w:type="dxa"/>
            <w:noWrap/>
            <w:hideMark/>
          </w:tcPr>
          <w:p w14:paraId="1E98810A"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20-25</w:t>
            </w:r>
          </w:p>
        </w:tc>
        <w:tc>
          <w:tcPr>
            <w:tcW w:w="1360" w:type="dxa"/>
            <w:noWrap/>
            <w:hideMark/>
          </w:tcPr>
          <w:p w14:paraId="5B9B0E75"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10-Sep-15</w:t>
            </w:r>
          </w:p>
        </w:tc>
        <w:tc>
          <w:tcPr>
            <w:tcW w:w="2977" w:type="dxa"/>
            <w:hideMark/>
          </w:tcPr>
          <w:p w14:paraId="668696B0"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Feasibility study &amp; PPA negotiation underway</w:t>
            </w:r>
          </w:p>
        </w:tc>
      </w:tr>
      <w:tr w:rsidR="00876823" w:rsidRPr="006122EE" w14:paraId="45E7C67B"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34F87B0"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Africa Energy &amp; Power Corp.</w:t>
            </w:r>
          </w:p>
        </w:tc>
        <w:tc>
          <w:tcPr>
            <w:tcW w:w="1619" w:type="dxa"/>
            <w:noWrap/>
            <w:hideMark/>
          </w:tcPr>
          <w:p w14:paraId="6D153770"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1050" w:type="dxa"/>
            <w:noWrap/>
            <w:hideMark/>
          </w:tcPr>
          <w:p w14:paraId="61FCAEFC"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350</w:t>
            </w:r>
          </w:p>
        </w:tc>
        <w:tc>
          <w:tcPr>
            <w:tcW w:w="1360" w:type="dxa"/>
            <w:noWrap/>
            <w:hideMark/>
          </w:tcPr>
          <w:p w14:paraId="35D1D795"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15-Sep-15</w:t>
            </w:r>
          </w:p>
        </w:tc>
        <w:tc>
          <w:tcPr>
            <w:tcW w:w="2977" w:type="dxa"/>
            <w:noWrap/>
            <w:hideMark/>
          </w:tcPr>
          <w:p w14:paraId="4E484765"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Negotiating PPA</w:t>
            </w:r>
          </w:p>
        </w:tc>
      </w:tr>
      <w:tr w:rsidR="00876823" w:rsidRPr="006122EE" w14:paraId="201C623D" w14:textId="77777777" w:rsidTr="00726AF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7B63FE3"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AX-ON Africa Holdings</w:t>
            </w:r>
          </w:p>
        </w:tc>
        <w:tc>
          <w:tcPr>
            <w:tcW w:w="1619" w:type="dxa"/>
            <w:hideMark/>
          </w:tcPr>
          <w:p w14:paraId="55BDD42F"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Solar     </w:t>
            </w:r>
          </w:p>
        </w:tc>
        <w:tc>
          <w:tcPr>
            <w:tcW w:w="1050" w:type="dxa"/>
            <w:hideMark/>
          </w:tcPr>
          <w:p w14:paraId="6E81FE6A"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90</w:t>
            </w:r>
          </w:p>
        </w:tc>
        <w:tc>
          <w:tcPr>
            <w:tcW w:w="1360" w:type="dxa"/>
            <w:noWrap/>
            <w:hideMark/>
          </w:tcPr>
          <w:p w14:paraId="0C0A2591"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17-Sep-15</w:t>
            </w:r>
          </w:p>
        </w:tc>
        <w:tc>
          <w:tcPr>
            <w:tcW w:w="2977" w:type="dxa"/>
            <w:noWrap/>
            <w:hideMark/>
          </w:tcPr>
          <w:p w14:paraId="7C4FE54B"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Conducting grid impact study</w:t>
            </w:r>
          </w:p>
        </w:tc>
      </w:tr>
      <w:tr w:rsidR="00876823" w:rsidRPr="006122EE" w14:paraId="04BF00FC" w14:textId="77777777" w:rsidTr="00726AF3">
        <w:trPr>
          <w:trHeight w:val="84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BF17887"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Grow Mine Africa (PTY) Ltd.</w:t>
            </w:r>
          </w:p>
        </w:tc>
        <w:tc>
          <w:tcPr>
            <w:tcW w:w="1619" w:type="dxa"/>
            <w:hideMark/>
          </w:tcPr>
          <w:p w14:paraId="79A9BFFC"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 wind, geothermal, coal, natural gas</w:t>
            </w:r>
          </w:p>
        </w:tc>
        <w:tc>
          <w:tcPr>
            <w:tcW w:w="1050" w:type="dxa"/>
            <w:noWrap/>
            <w:hideMark/>
          </w:tcPr>
          <w:p w14:paraId="00372AF3"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2,000</w:t>
            </w:r>
          </w:p>
        </w:tc>
        <w:tc>
          <w:tcPr>
            <w:tcW w:w="1360" w:type="dxa"/>
            <w:noWrap/>
            <w:hideMark/>
          </w:tcPr>
          <w:p w14:paraId="5F775E41" w14:textId="77777777" w:rsidR="00876823" w:rsidRPr="006122EE" w:rsidRDefault="00876823" w:rsidP="008536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06-Oct-05</w:t>
            </w:r>
          </w:p>
        </w:tc>
        <w:tc>
          <w:tcPr>
            <w:tcW w:w="2977" w:type="dxa"/>
            <w:hideMark/>
          </w:tcPr>
          <w:p w14:paraId="0167C361"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Waiting for signing of term sheets and PPAs</w:t>
            </w:r>
          </w:p>
        </w:tc>
      </w:tr>
      <w:tr w:rsidR="00876823" w:rsidRPr="006122EE" w14:paraId="1B959047" w14:textId="77777777" w:rsidTr="00726AF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00" w:type="dxa"/>
            <w:hideMark/>
          </w:tcPr>
          <w:p w14:paraId="2E95857D"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CDC Group, UK</w:t>
            </w:r>
          </w:p>
        </w:tc>
        <w:tc>
          <w:tcPr>
            <w:tcW w:w="1619" w:type="dxa"/>
            <w:hideMark/>
          </w:tcPr>
          <w:p w14:paraId="392EC564"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                  Heavy fuel</w:t>
            </w:r>
          </w:p>
        </w:tc>
        <w:tc>
          <w:tcPr>
            <w:tcW w:w="1050" w:type="dxa"/>
            <w:hideMark/>
          </w:tcPr>
          <w:p w14:paraId="525751A0"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 xml:space="preserve">10             56 </w:t>
            </w:r>
          </w:p>
        </w:tc>
        <w:tc>
          <w:tcPr>
            <w:tcW w:w="1360" w:type="dxa"/>
            <w:hideMark/>
          </w:tcPr>
          <w:p w14:paraId="7AE3436F"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12-Oct-15</w:t>
            </w:r>
          </w:p>
        </w:tc>
        <w:tc>
          <w:tcPr>
            <w:tcW w:w="2977" w:type="dxa"/>
            <w:hideMark/>
          </w:tcPr>
          <w:p w14:paraId="7B9EF122"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Negotiating project documents</w:t>
            </w:r>
          </w:p>
        </w:tc>
      </w:tr>
      <w:tr w:rsidR="00876823" w:rsidRPr="006122EE" w14:paraId="4A61140B" w14:textId="77777777" w:rsidTr="00726AF3">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3CCAF0F"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Ulalo Capital Investments Ltd.</w:t>
            </w:r>
          </w:p>
        </w:tc>
        <w:tc>
          <w:tcPr>
            <w:tcW w:w="1619" w:type="dxa"/>
            <w:hideMark/>
          </w:tcPr>
          <w:p w14:paraId="6E64C649"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w:t>
            </w:r>
          </w:p>
        </w:tc>
        <w:tc>
          <w:tcPr>
            <w:tcW w:w="1050" w:type="dxa"/>
            <w:noWrap/>
            <w:hideMark/>
          </w:tcPr>
          <w:p w14:paraId="2B17D7AE" w14:textId="77777777" w:rsidR="00876823" w:rsidRPr="006122EE" w:rsidRDefault="00876823" w:rsidP="008536A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200</w:t>
            </w:r>
          </w:p>
        </w:tc>
        <w:tc>
          <w:tcPr>
            <w:tcW w:w="1360" w:type="dxa"/>
            <w:noWrap/>
            <w:hideMark/>
          </w:tcPr>
          <w:p w14:paraId="4CB9FD1C"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06-Nov-15</w:t>
            </w:r>
          </w:p>
        </w:tc>
        <w:tc>
          <w:tcPr>
            <w:tcW w:w="2977" w:type="dxa"/>
            <w:noWrap/>
            <w:hideMark/>
          </w:tcPr>
          <w:p w14:paraId="162FFF47"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Negotiating PPA</w:t>
            </w:r>
          </w:p>
        </w:tc>
      </w:tr>
      <w:tr w:rsidR="00876823" w:rsidRPr="006122EE" w14:paraId="20619DFD" w14:textId="77777777" w:rsidTr="00726AF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94ACE41" w14:textId="77777777" w:rsidR="00876823" w:rsidRPr="006122EE" w:rsidRDefault="00876823" w:rsidP="008536A0">
            <w:pPr>
              <w:spacing w:before="0" w:after="0" w:line="240" w:lineRule="auto"/>
              <w:jc w:val="left"/>
              <w:rPr>
                <w:rFonts w:eastAsia="Times New Roman" w:cs="Arial"/>
                <w:color w:val="000000"/>
                <w:szCs w:val="20"/>
                <w:lang w:eastAsia="en-US"/>
              </w:rPr>
            </w:pPr>
            <w:r w:rsidRPr="006122EE">
              <w:rPr>
                <w:rFonts w:eastAsia="Times New Roman" w:cs="Arial"/>
                <w:color w:val="000000"/>
                <w:szCs w:val="20"/>
                <w:lang w:eastAsia="en-US"/>
              </w:rPr>
              <w:t>China Gezhouba</w:t>
            </w:r>
          </w:p>
        </w:tc>
        <w:tc>
          <w:tcPr>
            <w:tcW w:w="1619" w:type="dxa"/>
            <w:hideMark/>
          </w:tcPr>
          <w:p w14:paraId="15D74871"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Coal</w:t>
            </w:r>
          </w:p>
        </w:tc>
        <w:tc>
          <w:tcPr>
            <w:tcW w:w="1050" w:type="dxa"/>
            <w:noWrap/>
            <w:hideMark/>
          </w:tcPr>
          <w:p w14:paraId="7F02CCB2" w14:textId="77777777" w:rsidR="00876823" w:rsidRPr="006122EE" w:rsidRDefault="00876823" w:rsidP="008536A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300</w:t>
            </w:r>
          </w:p>
        </w:tc>
        <w:tc>
          <w:tcPr>
            <w:tcW w:w="1360" w:type="dxa"/>
            <w:hideMark/>
          </w:tcPr>
          <w:p w14:paraId="2973CAF7" w14:textId="77777777" w:rsidR="00876823" w:rsidRPr="006122EE" w:rsidRDefault="00876823" w:rsidP="008536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11/18/2015 (preliminary)</w:t>
            </w:r>
          </w:p>
        </w:tc>
        <w:tc>
          <w:tcPr>
            <w:tcW w:w="2977" w:type="dxa"/>
            <w:hideMark/>
          </w:tcPr>
          <w:p w14:paraId="5A3E3AC6" w14:textId="77777777" w:rsidR="00876823" w:rsidRPr="006122EE" w:rsidRDefault="00876823" w:rsidP="008536A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Hope to start project implementation in     mid-2016</w:t>
            </w:r>
          </w:p>
        </w:tc>
      </w:tr>
      <w:tr w:rsidR="00876823" w:rsidRPr="006122EE" w14:paraId="5DBE374D" w14:textId="77777777" w:rsidTr="00726AF3">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BF6C781" w14:textId="77777777" w:rsidR="00876823" w:rsidRPr="006122EE" w:rsidRDefault="00876823" w:rsidP="008536A0">
            <w:pPr>
              <w:spacing w:before="0" w:after="200" w:line="240" w:lineRule="auto"/>
              <w:jc w:val="left"/>
              <w:rPr>
                <w:rFonts w:eastAsia="Times New Roman" w:cs="Arial"/>
                <w:color w:val="000000"/>
                <w:szCs w:val="20"/>
                <w:lang w:eastAsia="en-US"/>
              </w:rPr>
            </w:pPr>
            <w:r w:rsidRPr="006122EE">
              <w:rPr>
                <w:rFonts w:eastAsia="Times New Roman" w:cs="Arial"/>
                <w:color w:val="000000"/>
                <w:szCs w:val="20"/>
                <w:lang w:eastAsia="en-US"/>
              </w:rPr>
              <w:t>Dongfang Electric Intl. Corp.</w:t>
            </w:r>
          </w:p>
        </w:tc>
        <w:tc>
          <w:tcPr>
            <w:tcW w:w="1619" w:type="dxa"/>
            <w:hideMark/>
          </w:tcPr>
          <w:p w14:paraId="25507C7A"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Solar, hydro, diesel</w:t>
            </w:r>
          </w:p>
        </w:tc>
        <w:tc>
          <w:tcPr>
            <w:tcW w:w="1050" w:type="dxa"/>
            <w:noWrap/>
            <w:hideMark/>
          </w:tcPr>
          <w:p w14:paraId="1BC41B48" w14:textId="77777777" w:rsidR="00876823" w:rsidRPr="006122EE" w:rsidRDefault="00876823" w:rsidP="008536A0">
            <w:pPr>
              <w:spacing w:before="0" w:after="20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tbd</w:t>
            </w:r>
          </w:p>
        </w:tc>
        <w:tc>
          <w:tcPr>
            <w:tcW w:w="1360" w:type="dxa"/>
            <w:noWrap/>
            <w:hideMark/>
          </w:tcPr>
          <w:p w14:paraId="4D574D28" w14:textId="77777777" w:rsidR="00876823" w:rsidRPr="006122EE" w:rsidRDefault="00876823" w:rsidP="008536A0">
            <w:pPr>
              <w:spacing w:before="0" w:after="20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20-Nov-15</w:t>
            </w:r>
          </w:p>
        </w:tc>
        <w:tc>
          <w:tcPr>
            <w:tcW w:w="2977" w:type="dxa"/>
            <w:hideMark/>
          </w:tcPr>
          <w:p w14:paraId="2937D39F" w14:textId="77777777" w:rsidR="00876823" w:rsidRPr="006122EE" w:rsidRDefault="00876823" w:rsidP="008536A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n-US"/>
              </w:rPr>
            </w:pPr>
            <w:r w:rsidRPr="006122EE">
              <w:rPr>
                <w:rFonts w:eastAsia="Times New Roman" w:cs="Arial"/>
                <w:color w:val="000000"/>
                <w:szCs w:val="20"/>
                <w:lang w:eastAsia="en-US"/>
              </w:rPr>
              <w:t>Project proposals under development</w:t>
            </w:r>
          </w:p>
        </w:tc>
      </w:tr>
    </w:tbl>
    <w:p w14:paraId="655C7C2E" w14:textId="77777777" w:rsidR="00AE2005" w:rsidRPr="006122EE" w:rsidRDefault="00AE2005" w:rsidP="0082018A">
      <w:pPr>
        <w:spacing w:line="276" w:lineRule="auto"/>
        <w:rPr>
          <w:lang w:eastAsia="en-US"/>
        </w:rPr>
      </w:pPr>
      <w:r w:rsidRPr="006122EE">
        <w:rPr>
          <w:lang w:eastAsia="en-US"/>
        </w:rPr>
        <w:t>Because of the uncertainty surrounding the signing of the PPAs, it is difficult to determine the trajectory of power development in Malawi. The RE projects on this list total 1,326 MW. Of those, the ones that are in, or nearly in, the PPA negotiation stage</w:t>
      </w:r>
      <w:r w:rsidR="00BF26AA" w:rsidRPr="006122EE">
        <w:rPr>
          <w:lang w:eastAsia="en-US"/>
        </w:rPr>
        <w:t xml:space="preserve"> as of February 2016</w:t>
      </w:r>
      <w:r w:rsidRPr="006122EE">
        <w:rPr>
          <w:lang w:eastAsia="en-US"/>
        </w:rPr>
        <w:t xml:space="preserve"> </w:t>
      </w:r>
      <w:r w:rsidR="00BF26AA" w:rsidRPr="006122EE">
        <w:rPr>
          <w:lang w:eastAsia="en-US"/>
        </w:rPr>
        <w:t>come to</w:t>
      </w:r>
      <w:r w:rsidRPr="006122EE">
        <w:rPr>
          <w:lang w:eastAsia="en-US"/>
        </w:rPr>
        <w:t xml:space="preserve"> 966 MW. If these can be approved, financed, built and interconnected to the grid, it will quadruple Malawi’s available capacity, although the solar power will be intermittent and the hydro power will be subject to the same risks of insufficient river flow as the existing hydro projects. Still, adding solar to the mix will help diversify the </w:t>
      </w:r>
      <w:r w:rsidR="00BF26AA" w:rsidRPr="006122EE">
        <w:rPr>
          <w:lang w:eastAsia="en-US"/>
        </w:rPr>
        <w:t>power sources</w:t>
      </w:r>
      <w:r w:rsidR="00202AAA" w:rsidRPr="006122EE">
        <w:rPr>
          <w:lang w:eastAsia="en-US"/>
        </w:rPr>
        <w:t xml:space="preserve">. </w:t>
      </w:r>
      <w:r w:rsidR="00A82911" w:rsidRPr="006122EE">
        <w:rPr>
          <w:lang w:eastAsia="en-US"/>
        </w:rPr>
        <w:t>For the purpose of establishing renewable energy targets, w</w:t>
      </w:r>
      <w:r w:rsidRPr="006122EE">
        <w:rPr>
          <w:lang w:eastAsia="en-US"/>
        </w:rPr>
        <w:t xml:space="preserve">e assume </w:t>
      </w:r>
      <w:r w:rsidR="007F1373" w:rsidRPr="006122EE">
        <w:rPr>
          <w:lang w:eastAsia="en-US"/>
        </w:rPr>
        <w:t>that hy</w:t>
      </w:r>
      <w:r w:rsidR="00A82911" w:rsidRPr="006122EE">
        <w:rPr>
          <w:lang w:eastAsia="en-US"/>
        </w:rPr>
        <w:t>dro projects will be the quickest to approve and build, and thus can be the basis for setting the small hydro targets. Based on discussions with industry and the DOE</w:t>
      </w:r>
      <w:r w:rsidR="003D471C">
        <w:rPr>
          <w:lang w:eastAsia="en-US"/>
        </w:rPr>
        <w:t>A</w:t>
      </w:r>
      <w:r w:rsidR="00A82911" w:rsidRPr="006122EE">
        <w:rPr>
          <w:lang w:eastAsia="en-US"/>
        </w:rPr>
        <w:t xml:space="preserve">’s best judgment, we project that at least two </w:t>
      </w:r>
      <w:r w:rsidR="007F1373" w:rsidRPr="006122EE">
        <w:rPr>
          <w:lang w:eastAsia="en-US"/>
        </w:rPr>
        <w:t xml:space="preserve">large </w:t>
      </w:r>
      <w:r w:rsidR="00A82911" w:rsidRPr="006122EE">
        <w:rPr>
          <w:lang w:eastAsia="en-US"/>
        </w:rPr>
        <w:t>solar PV projects can be approved and built by 2030</w:t>
      </w:r>
      <w:r w:rsidR="007F1373" w:rsidRPr="006122EE">
        <w:rPr>
          <w:lang w:eastAsia="en-US"/>
        </w:rPr>
        <w:t>, although these may end up being broken into a number of smaller projects connected to the grid at various locations</w:t>
      </w:r>
      <w:r w:rsidR="00A82911" w:rsidRPr="006122EE">
        <w:rPr>
          <w:lang w:eastAsia="en-US"/>
        </w:rPr>
        <w:t>.</w:t>
      </w:r>
      <w:r w:rsidRPr="006122EE">
        <w:rPr>
          <w:lang w:eastAsia="en-US"/>
        </w:rPr>
        <w:t xml:space="preserve"> </w:t>
      </w:r>
    </w:p>
    <w:p w14:paraId="2814F08A" w14:textId="77777777" w:rsidR="00BF26AA" w:rsidRPr="006122EE" w:rsidRDefault="00AE2005" w:rsidP="0082018A">
      <w:pPr>
        <w:spacing w:line="276" w:lineRule="auto"/>
        <w:rPr>
          <w:rFonts w:cs="Arial"/>
          <w:color w:val="000000"/>
          <w:szCs w:val="20"/>
          <w:lang w:eastAsia="en-US"/>
        </w:rPr>
      </w:pPr>
      <w:r w:rsidRPr="006122EE">
        <w:rPr>
          <w:lang w:eastAsia="en-US"/>
        </w:rPr>
        <w:t>Th</w:t>
      </w:r>
      <w:r w:rsidR="00A51D34" w:rsidRPr="006122EE">
        <w:rPr>
          <w:lang w:eastAsia="en-US"/>
        </w:rPr>
        <w:t>us</w:t>
      </w:r>
      <w:r w:rsidR="00A51D34" w:rsidRPr="006122EE">
        <w:rPr>
          <w:rFonts w:cs="Arial"/>
          <w:color w:val="000000"/>
          <w:szCs w:val="20"/>
          <w:lang w:eastAsia="en-US"/>
        </w:rPr>
        <w:t>, the</w:t>
      </w:r>
      <w:r w:rsidR="00BF26AA" w:rsidRPr="006122EE">
        <w:rPr>
          <w:rFonts w:cs="Arial"/>
          <w:color w:val="000000"/>
          <w:szCs w:val="20"/>
          <w:lang w:eastAsia="en-US"/>
        </w:rPr>
        <w:t xml:space="preserve"> proposed 2030 target for small-to-medium hydro is 101 MW</w:t>
      </w:r>
      <w:r w:rsidR="00A51D34" w:rsidRPr="006122EE">
        <w:rPr>
          <w:rFonts w:cs="Arial"/>
          <w:color w:val="000000"/>
          <w:szCs w:val="20"/>
          <w:lang w:eastAsia="en-US"/>
        </w:rPr>
        <w:t>. The solar target is 550 MW by</w:t>
      </w:r>
      <w:r w:rsidR="00BF26AA" w:rsidRPr="006122EE">
        <w:rPr>
          <w:rFonts w:cs="Arial"/>
          <w:color w:val="000000"/>
          <w:szCs w:val="20"/>
          <w:lang w:eastAsia="en-US"/>
        </w:rPr>
        <w:t xml:space="preserve"> 203</w:t>
      </w:r>
      <w:r w:rsidR="00FB7379" w:rsidRPr="006122EE">
        <w:rPr>
          <w:rFonts w:cs="Arial"/>
          <w:color w:val="000000"/>
          <w:szCs w:val="20"/>
          <w:lang w:eastAsia="en-US"/>
        </w:rPr>
        <w:t>0</w:t>
      </w:r>
      <w:r w:rsidR="00A51D34" w:rsidRPr="006122EE">
        <w:rPr>
          <w:rFonts w:cs="Arial"/>
          <w:color w:val="000000"/>
          <w:szCs w:val="20"/>
          <w:lang w:eastAsia="en-US"/>
        </w:rPr>
        <w:t>, with an interim target of 100 MW by 2020 as specified by the SE4ALL Renewable Energy Working Group</w:t>
      </w:r>
      <w:r w:rsidR="00BF26AA" w:rsidRPr="006122EE">
        <w:rPr>
          <w:rFonts w:cs="Arial"/>
          <w:color w:val="000000"/>
          <w:szCs w:val="20"/>
          <w:lang w:eastAsia="en-US"/>
        </w:rPr>
        <w:t>.</w:t>
      </w:r>
      <w:r w:rsidR="00A51D34" w:rsidRPr="006122EE">
        <w:rPr>
          <w:rFonts w:cs="Arial"/>
          <w:color w:val="000000"/>
          <w:szCs w:val="20"/>
          <w:lang w:eastAsia="en-US"/>
        </w:rPr>
        <w:t xml:space="preserve"> While the targets are based on the </w:t>
      </w:r>
      <w:r w:rsidR="007F1373" w:rsidRPr="006122EE">
        <w:rPr>
          <w:rFonts w:cs="Arial"/>
          <w:color w:val="000000"/>
          <w:szCs w:val="20"/>
          <w:lang w:eastAsia="en-US"/>
        </w:rPr>
        <w:t>potential capacity of</w:t>
      </w:r>
      <w:r w:rsidR="00A51D34" w:rsidRPr="006122EE">
        <w:rPr>
          <w:rFonts w:cs="Arial"/>
          <w:color w:val="000000"/>
          <w:szCs w:val="20"/>
          <w:lang w:eastAsia="en-US"/>
        </w:rPr>
        <w:t xml:space="preserve"> </w:t>
      </w:r>
      <w:r w:rsidR="00A82911" w:rsidRPr="006122EE">
        <w:rPr>
          <w:rFonts w:cs="Arial"/>
          <w:color w:val="000000"/>
          <w:szCs w:val="20"/>
          <w:lang w:eastAsia="en-US"/>
        </w:rPr>
        <w:t>just a few MOUs and discussions with project sponsors</w:t>
      </w:r>
      <w:r w:rsidR="00A51D34" w:rsidRPr="006122EE">
        <w:rPr>
          <w:rFonts w:cs="Arial"/>
          <w:color w:val="000000"/>
          <w:szCs w:val="20"/>
          <w:lang w:eastAsia="en-US"/>
        </w:rPr>
        <w:t xml:space="preserve">, </w:t>
      </w:r>
      <w:r w:rsidR="001D3A96" w:rsidRPr="006122EE">
        <w:rPr>
          <w:rFonts w:cs="Arial"/>
          <w:color w:val="000000"/>
          <w:szCs w:val="20"/>
          <w:lang w:eastAsia="en-US"/>
        </w:rPr>
        <w:t xml:space="preserve">many </w:t>
      </w:r>
      <w:r w:rsidR="00A82911" w:rsidRPr="006122EE">
        <w:rPr>
          <w:rFonts w:cs="Arial"/>
          <w:color w:val="000000"/>
          <w:szCs w:val="20"/>
          <w:lang w:eastAsia="en-US"/>
        </w:rPr>
        <w:t>more</w:t>
      </w:r>
      <w:r w:rsidR="001D3A96" w:rsidRPr="006122EE">
        <w:rPr>
          <w:rFonts w:cs="Arial"/>
          <w:color w:val="000000"/>
          <w:szCs w:val="20"/>
          <w:lang w:eastAsia="en-US"/>
        </w:rPr>
        <w:t xml:space="preserve"> RE projects have been proposed and the eventual mix of projects implemented to reach the targets may well be different from those listed</w:t>
      </w:r>
      <w:r w:rsidR="00A82911" w:rsidRPr="006122EE">
        <w:rPr>
          <w:rFonts w:cs="Arial"/>
          <w:color w:val="000000"/>
          <w:szCs w:val="20"/>
          <w:lang w:eastAsia="en-US"/>
        </w:rPr>
        <w:t xml:space="preserve"> above</w:t>
      </w:r>
      <w:r w:rsidR="001D3A96" w:rsidRPr="006122EE">
        <w:rPr>
          <w:rFonts w:cs="Arial"/>
          <w:color w:val="000000"/>
          <w:szCs w:val="20"/>
          <w:lang w:eastAsia="en-US"/>
        </w:rPr>
        <w:t xml:space="preserve">. </w:t>
      </w:r>
      <w:r w:rsidR="00983ED1" w:rsidRPr="006122EE">
        <w:rPr>
          <w:rFonts w:cs="Arial"/>
          <w:color w:val="000000"/>
          <w:szCs w:val="20"/>
          <w:lang w:eastAsia="en-US"/>
        </w:rPr>
        <w:t xml:space="preserve">In fact, the </w:t>
      </w:r>
      <w:r w:rsidR="00094CF2" w:rsidRPr="006122EE">
        <w:rPr>
          <w:rFonts w:cs="Arial"/>
          <w:color w:val="000000"/>
          <w:szCs w:val="20"/>
          <w:lang w:eastAsia="en-US"/>
        </w:rPr>
        <w:t>Government expects wind and waste-to-energy projects will become part of the generation mix. They are no included in the current targets because detailed resource assessments are needed first.</w:t>
      </w:r>
    </w:p>
    <w:p w14:paraId="465CB354" w14:textId="77777777" w:rsidR="00A82911" w:rsidRPr="006122EE" w:rsidRDefault="00A82911" w:rsidP="0082018A">
      <w:pPr>
        <w:spacing w:line="276" w:lineRule="auto"/>
        <w:rPr>
          <w:rFonts w:cs="Arial"/>
          <w:color w:val="000000"/>
          <w:szCs w:val="20"/>
          <w:lang w:eastAsia="en-US"/>
        </w:rPr>
      </w:pPr>
      <w:r w:rsidRPr="006122EE">
        <w:rPr>
          <w:rFonts w:cs="Arial"/>
          <w:color w:val="000000"/>
          <w:szCs w:val="20"/>
          <w:lang w:eastAsia="en-US"/>
        </w:rPr>
        <w:t>The 550 MW solar target is ambitious</w:t>
      </w:r>
      <w:r w:rsidR="0088263A" w:rsidRPr="006122EE">
        <w:rPr>
          <w:rFonts w:cs="Arial"/>
          <w:color w:val="000000"/>
          <w:szCs w:val="20"/>
          <w:lang w:eastAsia="en-US"/>
        </w:rPr>
        <w:t xml:space="preserve"> in the sense that</w:t>
      </w:r>
      <w:r w:rsidR="007F1373" w:rsidRPr="006122EE">
        <w:rPr>
          <w:rFonts w:cs="Arial"/>
          <w:color w:val="000000"/>
          <w:szCs w:val="20"/>
          <w:lang w:eastAsia="en-US"/>
        </w:rPr>
        <w:t xml:space="preserve"> Malawi is starting</w:t>
      </w:r>
      <w:r w:rsidRPr="006122EE">
        <w:rPr>
          <w:rFonts w:cs="Arial"/>
          <w:color w:val="000000"/>
          <w:szCs w:val="20"/>
          <w:lang w:eastAsia="en-US"/>
        </w:rPr>
        <w:t xml:space="preserve"> from a </w:t>
      </w:r>
      <w:r w:rsidR="007F1373" w:rsidRPr="006122EE">
        <w:rPr>
          <w:rFonts w:cs="Arial"/>
          <w:color w:val="000000"/>
          <w:szCs w:val="20"/>
          <w:lang w:eastAsia="en-US"/>
        </w:rPr>
        <w:t>low</w:t>
      </w:r>
      <w:r w:rsidRPr="006122EE">
        <w:rPr>
          <w:rFonts w:cs="Arial"/>
          <w:color w:val="000000"/>
          <w:szCs w:val="20"/>
          <w:lang w:eastAsia="en-US"/>
        </w:rPr>
        <w:t xml:space="preserve"> baseline of installed, grid-connected solar. There is also some concern about the capacity of the electric grid to handle large additions of intermittent solar power</w:t>
      </w:r>
      <w:r w:rsidR="007F1373" w:rsidRPr="006122EE">
        <w:rPr>
          <w:rFonts w:cs="Arial"/>
          <w:color w:val="000000"/>
          <w:szCs w:val="20"/>
          <w:lang w:eastAsia="en-US"/>
        </w:rPr>
        <w:t>, although a 2016 grid capacity study indicated that PV connections of 4MW-300MW are possible over the 12-24 month period beginning July 2016</w:t>
      </w:r>
      <w:r w:rsidR="008A2C16" w:rsidRPr="006122EE">
        <w:rPr>
          <w:rFonts w:cs="Arial"/>
          <w:color w:val="000000"/>
          <w:szCs w:val="20"/>
          <w:lang w:eastAsia="en-US"/>
        </w:rPr>
        <w:t>, particularly in the Central and Southern parts of the transmission system</w:t>
      </w:r>
      <w:r w:rsidR="007F1373" w:rsidRPr="006122EE">
        <w:rPr>
          <w:rFonts w:cs="Arial"/>
          <w:color w:val="000000"/>
          <w:szCs w:val="20"/>
          <w:lang w:eastAsia="en-US"/>
        </w:rPr>
        <w:t>.</w:t>
      </w:r>
      <w:r w:rsidR="007F1373" w:rsidRPr="006122EE">
        <w:rPr>
          <w:rStyle w:val="FootnoteReference"/>
          <w:rFonts w:cs="Arial"/>
          <w:color w:val="000000"/>
          <w:szCs w:val="20"/>
          <w:lang w:eastAsia="en-US"/>
        </w:rPr>
        <w:footnoteReference w:id="46"/>
      </w:r>
      <w:r w:rsidR="007F1373" w:rsidRPr="006122EE">
        <w:rPr>
          <w:rFonts w:cs="Arial"/>
          <w:color w:val="000000"/>
          <w:szCs w:val="20"/>
          <w:lang w:eastAsia="en-US"/>
        </w:rPr>
        <w:t xml:space="preserve"> Furth</w:t>
      </w:r>
      <w:r w:rsidR="0088263A" w:rsidRPr="006122EE">
        <w:rPr>
          <w:rFonts w:cs="Arial"/>
          <w:color w:val="000000"/>
          <w:szCs w:val="20"/>
          <w:lang w:eastAsia="en-US"/>
        </w:rPr>
        <w:t>er</w:t>
      </w:r>
      <w:r w:rsidR="007F1373" w:rsidRPr="006122EE">
        <w:rPr>
          <w:rFonts w:cs="Arial"/>
          <w:color w:val="000000"/>
          <w:szCs w:val="20"/>
          <w:lang w:eastAsia="en-US"/>
        </w:rPr>
        <w:t>more</w:t>
      </w:r>
      <w:r w:rsidRPr="006122EE">
        <w:rPr>
          <w:rFonts w:cs="Arial"/>
          <w:color w:val="000000"/>
          <w:szCs w:val="20"/>
          <w:lang w:eastAsia="en-US"/>
        </w:rPr>
        <w:t xml:space="preserve">, with the </w:t>
      </w:r>
      <w:r w:rsidR="0067375A" w:rsidRPr="006122EE">
        <w:rPr>
          <w:rFonts w:cs="Arial"/>
          <w:color w:val="000000"/>
          <w:szCs w:val="20"/>
          <w:lang w:eastAsia="en-US"/>
        </w:rPr>
        <w:t xml:space="preserve">MCC-supported </w:t>
      </w:r>
      <w:r w:rsidRPr="006122EE">
        <w:rPr>
          <w:rFonts w:cs="Arial"/>
          <w:color w:val="000000"/>
          <w:szCs w:val="20"/>
          <w:lang w:eastAsia="en-US"/>
        </w:rPr>
        <w:t xml:space="preserve">grid upgrades currently underway, we believe that will not be a barrier to reaching the 550 MW target by 2030. The solar PV technology is well understood, the price of solar PV projects has been </w:t>
      </w:r>
      <w:r w:rsidR="0067375A" w:rsidRPr="006122EE">
        <w:rPr>
          <w:rFonts w:cs="Arial"/>
          <w:color w:val="000000"/>
          <w:szCs w:val="20"/>
          <w:lang w:eastAsia="en-US"/>
        </w:rPr>
        <w:t xml:space="preserve">steadily </w:t>
      </w:r>
      <w:r w:rsidRPr="006122EE">
        <w:rPr>
          <w:rFonts w:cs="Arial"/>
          <w:color w:val="000000"/>
          <w:szCs w:val="20"/>
          <w:lang w:eastAsia="en-US"/>
        </w:rPr>
        <w:t xml:space="preserve">dropping, the lead time to build solar projects is comparatively short, and many countries are </w:t>
      </w:r>
      <w:r w:rsidR="003037C0" w:rsidRPr="006122EE">
        <w:rPr>
          <w:rFonts w:cs="Arial"/>
          <w:color w:val="000000"/>
          <w:szCs w:val="20"/>
          <w:lang w:eastAsia="en-US"/>
        </w:rPr>
        <w:t xml:space="preserve">now </w:t>
      </w:r>
      <w:r w:rsidRPr="006122EE">
        <w:rPr>
          <w:rFonts w:cs="Arial"/>
          <w:color w:val="000000"/>
          <w:szCs w:val="20"/>
          <w:lang w:eastAsia="en-US"/>
        </w:rPr>
        <w:t>aggressively adding solar capacity</w:t>
      </w:r>
      <w:r w:rsidR="003037C0" w:rsidRPr="006122EE">
        <w:rPr>
          <w:rFonts w:cs="Arial"/>
          <w:color w:val="000000"/>
          <w:szCs w:val="20"/>
          <w:lang w:eastAsia="en-US"/>
        </w:rPr>
        <w:t>. From these standpoints, the 550 MW target is reasonable</w:t>
      </w:r>
      <w:r w:rsidR="00A02794" w:rsidRPr="006122EE">
        <w:rPr>
          <w:rFonts w:cs="Arial"/>
          <w:color w:val="000000"/>
          <w:szCs w:val="20"/>
          <w:lang w:eastAsia="en-US"/>
        </w:rPr>
        <w:t xml:space="preserve"> and achievable</w:t>
      </w:r>
      <w:r w:rsidR="003037C0" w:rsidRPr="006122EE">
        <w:rPr>
          <w:rFonts w:cs="Arial"/>
          <w:color w:val="000000"/>
          <w:szCs w:val="20"/>
          <w:lang w:eastAsia="en-US"/>
        </w:rPr>
        <w:t xml:space="preserve">. </w:t>
      </w:r>
    </w:p>
    <w:p w14:paraId="6D586525" w14:textId="77777777" w:rsidR="00AE2005" w:rsidRPr="006122EE" w:rsidRDefault="00BF26AA" w:rsidP="0082018A">
      <w:pPr>
        <w:spacing w:line="276" w:lineRule="auto"/>
        <w:rPr>
          <w:rFonts w:cs="Arial"/>
          <w:color w:val="auto"/>
          <w:szCs w:val="20"/>
          <w:lang w:eastAsia="en-US"/>
        </w:rPr>
      </w:pPr>
      <w:r w:rsidRPr="006122EE">
        <w:rPr>
          <w:rFonts w:cs="Arial"/>
          <w:color w:val="000000"/>
          <w:szCs w:val="20"/>
          <w:lang w:eastAsia="en-US"/>
        </w:rPr>
        <w:t>A</w:t>
      </w:r>
      <w:r w:rsidR="00AE2005" w:rsidRPr="006122EE">
        <w:rPr>
          <w:rFonts w:cs="Arial"/>
          <w:color w:val="000000"/>
          <w:szCs w:val="20"/>
          <w:lang w:eastAsia="en-US"/>
        </w:rPr>
        <w:t xml:space="preserve"> </w:t>
      </w:r>
      <w:r w:rsidR="003037C0" w:rsidRPr="006122EE">
        <w:rPr>
          <w:rFonts w:cs="Arial"/>
          <w:color w:val="000000"/>
          <w:szCs w:val="20"/>
          <w:lang w:eastAsia="en-US"/>
        </w:rPr>
        <w:t xml:space="preserve">likely </w:t>
      </w:r>
      <w:r w:rsidR="00AE2005" w:rsidRPr="006122EE">
        <w:rPr>
          <w:rFonts w:cs="Arial"/>
          <w:color w:val="000000"/>
          <w:szCs w:val="20"/>
          <w:lang w:eastAsia="en-US"/>
        </w:rPr>
        <w:t xml:space="preserve">trajectory of </w:t>
      </w:r>
      <w:r w:rsidR="003037C0" w:rsidRPr="006122EE">
        <w:rPr>
          <w:rFonts w:cs="Arial"/>
          <w:color w:val="000000"/>
          <w:szCs w:val="20"/>
          <w:lang w:eastAsia="en-US"/>
        </w:rPr>
        <w:t>renewable installations</w:t>
      </w:r>
      <w:r w:rsidR="00AE2005" w:rsidRPr="006122EE">
        <w:rPr>
          <w:rFonts w:cs="Arial"/>
          <w:color w:val="000000"/>
          <w:szCs w:val="20"/>
          <w:lang w:eastAsia="en-US"/>
        </w:rPr>
        <w:t>, totalling 651 MW</w:t>
      </w:r>
      <w:r w:rsidR="003D776D" w:rsidRPr="006122EE">
        <w:rPr>
          <w:rFonts w:cs="Arial"/>
          <w:color w:val="000000"/>
          <w:szCs w:val="20"/>
          <w:lang w:eastAsia="en-US"/>
        </w:rPr>
        <w:t xml:space="preserve"> by 2030</w:t>
      </w:r>
      <w:r w:rsidR="00AE2005" w:rsidRPr="006122EE">
        <w:rPr>
          <w:rFonts w:cs="Arial"/>
          <w:color w:val="000000"/>
          <w:szCs w:val="20"/>
          <w:lang w:eastAsia="en-US"/>
        </w:rPr>
        <w:t>,</w:t>
      </w:r>
      <w:r w:rsidR="004437C4" w:rsidRPr="006122EE">
        <w:rPr>
          <w:rFonts w:cs="Arial"/>
          <w:color w:val="auto"/>
          <w:szCs w:val="20"/>
          <w:lang w:eastAsia="en-US"/>
        </w:rPr>
        <w:t xml:space="preserve"> </w:t>
      </w:r>
      <w:r w:rsidR="003037C0" w:rsidRPr="006122EE">
        <w:rPr>
          <w:rFonts w:cs="Arial"/>
          <w:color w:val="auto"/>
          <w:szCs w:val="20"/>
          <w:lang w:eastAsia="en-US"/>
        </w:rPr>
        <w:t xml:space="preserve">is shown in </w:t>
      </w:r>
      <w:r w:rsidR="00C72B9A" w:rsidRPr="006122EE">
        <w:rPr>
          <w:rFonts w:cs="Arial"/>
          <w:color w:val="auto"/>
          <w:szCs w:val="20"/>
          <w:lang w:eastAsia="en-US"/>
        </w:rPr>
        <w:fldChar w:fldCharType="begin"/>
      </w:r>
      <w:r w:rsidR="00C72B9A" w:rsidRPr="006122EE">
        <w:rPr>
          <w:rFonts w:cs="Arial"/>
          <w:color w:val="auto"/>
          <w:szCs w:val="20"/>
          <w:lang w:eastAsia="en-US"/>
        </w:rPr>
        <w:instrText xml:space="preserve"> REF _Ref448247553 \h </w:instrText>
      </w:r>
      <w:r w:rsidR="0082018A">
        <w:rPr>
          <w:rFonts w:cs="Arial"/>
          <w:color w:val="auto"/>
          <w:szCs w:val="20"/>
          <w:lang w:eastAsia="en-US"/>
        </w:rPr>
        <w:instrText xml:space="preserve"> \* MERGEFORMAT </w:instrText>
      </w:r>
      <w:r w:rsidR="00C72B9A" w:rsidRPr="006122EE">
        <w:rPr>
          <w:rFonts w:cs="Arial"/>
          <w:color w:val="auto"/>
          <w:szCs w:val="20"/>
          <w:lang w:eastAsia="en-US"/>
        </w:rPr>
      </w:r>
      <w:r w:rsidR="00C72B9A" w:rsidRPr="006122EE">
        <w:rPr>
          <w:rFonts w:cs="Arial"/>
          <w:color w:val="auto"/>
          <w:szCs w:val="20"/>
          <w:lang w:eastAsia="en-US"/>
        </w:rPr>
        <w:fldChar w:fldCharType="separate"/>
      </w:r>
      <w:r w:rsidR="00866D96" w:rsidRPr="006122EE">
        <w:t xml:space="preserve">Figure </w:t>
      </w:r>
      <w:r w:rsidR="00866D96">
        <w:rPr>
          <w:noProof/>
        </w:rPr>
        <w:t>11</w:t>
      </w:r>
      <w:r w:rsidR="00C72B9A" w:rsidRPr="006122EE">
        <w:rPr>
          <w:rFonts w:cs="Arial"/>
          <w:color w:val="auto"/>
          <w:szCs w:val="20"/>
          <w:lang w:eastAsia="en-US"/>
        </w:rPr>
        <w:fldChar w:fldCharType="end"/>
      </w:r>
      <w:r w:rsidR="003037C0" w:rsidRPr="006122EE">
        <w:rPr>
          <w:rFonts w:cs="Arial"/>
          <w:color w:val="auto"/>
          <w:szCs w:val="20"/>
          <w:lang w:eastAsia="en-US"/>
        </w:rPr>
        <w:t>, with the small hydro capacity added in the near-term and most of the solar capacity added in the later years.</w:t>
      </w:r>
    </w:p>
    <w:p w14:paraId="732D2F27" w14:textId="77777777" w:rsidR="00E7196C" w:rsidRPr="006122EE" w:rsidRDefault="00E7196C" w:rsidP="002B7514">
      <w:pPr>
        <w:rPr>
          <w:rFonts w:cs="Arial"/>
          <w:color w:val="auto"/>
          <w:szCs w:val="20"/>
          <w:lang w:eastAsia="en-US"/>
        </w:rPr>
      </w:pPr>
    </w:p>
    <w:p w14:paraId="2776EEF8" w14:textId="77777777" w:rsidR="00603DE0" w:rsidRPr="006122EE" w:rsidRDefault="00603DE0" w:rsidP="00603DE0">
      <w:pPr>
        <w:pStyle w:val="Caption"/>
        <w:rPr>
          <w:rFonts w:cs="Arial"/>
          <w:color w:val="000000"/>
          <w:szCs w:val="20"/>
          <w:lang w:eastAsia="en-US"/>
        </w:rPr>
      </w:pPr>
      <w:bookmarkStart w:id="214" w:name="_Ref448247553"/>
      <w:bookmarkStart w:id="215" w:name="_Toc481614975"/>
      <w:r w:rsidRPr="006122EE">
        <w:t xml:space="preserve">Figure </w:t>
      </w:r>
      <w:r w:rsidR="00DC7D8C">
        <w:fldChar w:fldCharType="begin"/>
      </w:r>
      <w:r w:rsidR="00DC7D8C">
        <w:instrText xml:space="preserve"> SEQ Figure \* ARABI</w:instrText>
      </w:r>
      <w:r w:rsidR="00DC7D8C">
        <w:instrText xml:space="preserve">C </w:instrText>
      </w:r>
      <w:r w:rsidR="00DC7D8C">
        <w:fldChar w:fldCharType="separate"/>
      </w:r>
      <w:r w:rsidR="00866D96">
        <w:rPr>
          <w:noProof/>
        </w:rPr>
        <w:t>11</w:t>
      </w:r>
      <w:r w:rsidR="00DC7D8C">
        <w:rPr>
          <w:noProof/>
        </w:rPr>
        <w:fldChar w:fldCharType="end"/>
      </w:r>
      <w:bookmarkEnd w:id="214"/>
      <w:r w:rsidRPr="006122EE">
        <w:t>: Renewable Energy Targets Achieved by 2030, MW</w:t>
      </w:r>
      <w:bookmarkEnd w:id="215"/>
    </w:p>
    <w:p w14:paraId="18BA670E" w14:textId="77777777" w:rsidR="00515520" w:rsidRPr="006122EE" w:rsidRDefault="00F16F48" w:rsidP="00D738D6">
      <w:pPr>
        <w:keepNext/>
        <w:jc w:val="center"/>
      </w:pPr>
      <w:r w:rsidRPr="00866D96">
        <w:rPr>
          <w:noProof/>
          <w:lang w:val="en-US" w:eastAsia="en-US"/>
        </w:rPr>
        <w:drawing>
          <wp:inline distT="0" distB="0" distL="0" distR="0" wp14:anchorId="4F628F75" wp14:editId="13265738">
            <wp:extent cx="5114925" cy="272415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103816" w14:textId="77777777" w:rsidR="0082018A" w:rsidRDefault="0082018A" w:rsidP="0082018A">
      <w:pPr>
        <w:spacing w:line="276" w:lineRule="auto"/>
        <w:rPr>
          <w:lang w:eastAsia="en-US"/>
        </w:rPr>
      </w:pPr>
    </w:p>
    <w:p w14:paraId="03448015" w14:textId="77777777" w:rsidR="000F12B8" w:rsidRPr="006122EE" w:rsidRDefault="00AE2005" w:rsidP="0082018A">
      <w:pPr>
        <w:spacing w:line="276" w:lineRule="auto"/>
        <w:rPr>
          <w:lang w:eastAsia="en-US"/>
        </w:rPr>
      </w:pPr>
      <w:r w:rsidRPr="006122EE">
        <w:rPr>
          <w:lang w:eastAsia="en-US"/>
        </w:rPr>
        <w:t xml:space="preserve">Combining these projects with Malawi’s existing installed generating capacity and the additional hydro and fossil projects anticipated in the energy policy paper, Malawi’s electric generating trajectory looks </w:t>
      </w:r>
      <w:r w:rsidRPr="006122EE">
        <w:t>like</w:t>
      </w:r>
      <w:r w:rsidR="003D776D" w:rsidRPr="006122EE">
        <w:rPr>
          <w:color w:val="auto"/>
          <w:lang w:eastAsia="en-US"/>
        </w:rPr>
        <w:t xml:space="preserve"> </w:t>
      </w:r>
      <w:r w:rsidR="00C72B9A" w:rsidRPr="006122EE">
        <w:rPr>
          <w:color w:val="auto"/>
          <w:lang w:eastAsia="en-US"/>
        </w:rPr>
        <w:fldChar w:fldCharType="begin"/>
      </w:r>
      <w:r w:rsidR="00C72B9A" w:rsidRPr="006122EE">
        <w:rPr>
          <w:color w:val="auto"/>
          <w:lang w:eastAsia="en-US"/>
        </w:rPr>
        <w:instrText xml:space="preserve"> REF _Ref448422540 \h </w:instrText>
      </w:r>
      <w:r w:rsidR="0082018A">
        <w:rPr>
          <w:color w:val="auto"/>
          <w:lang w:eastAsia="en-US"/>
        </w:rPr>
        <w:instrText xml:space="preserve"> \* MERGEFORMAT </w:instrText>
      </w:r>
      <w:r w:rsidR="00C72B9A" w:rsidRPr="006122EE">
        <w:rPr>
          <w:color w:val="auto"/>
          <w:lang w:eastAsia="en-US"/>
        </w:rPr>
      </w:r>
      <w:r w:rsidR="00C72B9A" w:rsidRPr="006122EE">
        <w:rPr>
          <w:color w:val="auto"/>
          <w:lang w:eastAsia="en-US"/>
        </w:rPr>
        <w:fldChar w:fldCharType="separate"/>
      </w:r>
      <w:r w:rsidR="00866D96" w:rsidRPr="006122EE">
        <w:t xml:space="preserve">Figure </w:t>
      </w:r>
      <w:r w:rsidR="00866D96">
        <w:rPr>
          <w:noProof/>
        </w:rPr>
        <w:t>12</w:t>
      </w:r>
      <w:r w:rsidR="00C72B9A" w:rsidRPr="006122EE">
        <w:rPr>
          <w:color w:val="auto"/>
          <w:lang w:eastAsia="en-US"/>
        </w:rPr>
        <w:fldChar w:fldCharType="end"/>
      </w:r>
      <w:r w:rsidR="003D776D" w:rsidRPr="006122EE">
        <w:rPr>
          <w:color w:val="auto"/>
          <w:lang w:eastAsia="en-US"/>
        </w:rPr>
        <w:t>.</w:t>
      </w:r>
      <w:r w:rsidRPr="006122EE">
        <w:rPr>
          <w:color w:val="auto"/>
          <w:lang w:eastAsia="en-US"/>
        </w:rPr>
        <w:t xml:space="preserve"> </w:t>
      </w:r>
      <w:r w:rsidRPr="006122EE">
        <w:rPr>
          <w:lang w:eastAsia="en-US"/>
        </w:rPr>
        <w:t xml:space="preserve">In this scenario, most of the solar generating capacity is added between 2025 and 2030. </w:t>
      </w:r>
      <w:r w:rsidR="00EF1630" w:rsidRPr="006122EE">
        <w:rPr>
          <w:lang w:eastAsia="en-US"/>
        </w:rPr>
        <w:t xml:space="preserve">This </w:t>
      </w:r>
      <w:r w:rsidR="00A41C3E" w:rsidRPr="006122EE">
        <w:rPr>
          <w:lang w:eastAsia="en-US"/>
        </w:rPr>
        <w:t>is well</w:t>
      </w:r>
      <w:r w:rsidR="00EF1630" w:rsidRPr="006122EE">
        <w:rPr>
          <w:lang w:eastAsia="en-US"/>
        </w:rPr>
        <w:t xml:space="preserve"> after the current transmission system upgrades are completed, meaning that there should be no technical problem with the grid accommodating the solar capacity additions</w:t>
      </w:r>
      <w:r w:rsidRPr="006122EE">
        <w:rPr>
          <w:lang w:eastAsia="en-US"/>
        </w:rPr>
        <w:t xml:space="preserve">. </w:t>
      </w:r>
      <w:r w:rsidR="00EF1630" w:rsidRPr="006122EE">
        <w:rPr>
          <w:lang w:eastAsia="en-US"/>
        </w:rPr>
        <w:t>Solar</w:t>
      </w:r>
      <w:r w:rsidRPr="006122EE">
        <w:rPr>
          <w:lang w:eastAsia="en-US"/>
        </w:rPr>
        <w:t xml:space="preserve"> w</w:t>
      </w:r>
      <w:r w:rsidR="00005342" w:rsidRPr="006122EE">
        <w:rPr>
          <w:lang w:eastAsia="en-US"/>
        </w:rPr>
        <w:t>ill account for approximately 22</w:t>
      </w:r>
      <w:r w:rsidRPr="006122EE">
        <w:rPr>
          <w:lang w:eastAsia="en-US"/>
        </w:rPr>
        <w:t xml:space="preserve">% of Malawi’s generating capacity. Total RE capacity (including large hydro, small hydro, </w:t>
      </w:r>
      <w:r w:rsidR="00005342" w:rsidRPr="006122EE">
        <w:rPr>
          <w:lang w:eastAsia="en-US"/>
        </w:rPr>
        <w:t>solar and bagasse) will be 2,173 MW or roughly 86</w:t>
      </w:r>
      <w:r w:rsidRPr="006122EE">
        <w:rPr>
          <w:lang w:eastAsia="en-US"/>
        </w:rPr>
        <w:t>% of Malawi’s installed</w:t>
      </w:r>
      <w:r w:rsidR="00005342" w:rsidRPr="006122EE">
        <w:rPr>
          <w:lang w:eastAsia="en-US"/>
        </w:rPr>
        <w:t xml:space="preserve"> capacity</w:t>
      </w:r>
      <w:r w:rsidRPr="006122EE">
        <w:rPr>
          <w:lang w:eastAsia="en-US"/>
        </w:rPr>
        <w:t xml:space="preserve">. </w:t>
      </w:r>
    </w:p>
    <w:p w14:paraId="75F2622B" w14:textId="77777777" w:rsidR="00603DE0" w:rsidRPr="006122EE" w:rsidRDefault="00603DE0" w:rsidP="00603DE0">
      <w:pPr>
        <w:pStyle w:val="Caption"/>
      </w:pPr>
      <w:bookmarkStart w:id="216" w:name="_Ref448422540"/>
      <w:bookmarkStart w:id="217" w:name="_Toc481614976"/>
      <w:r w:rsidRPr="006122EE">
        <w:t xml:space="preserve">Figure </w:t>
      </w:r>
      <w:r w:rsidR="00DC7D8C">
        <w:fldChar w:fldCharType="begin"/>
      </w:r>
      <w:r w:rsidR="00DC7D8C">
        <w:instrText xml:space="preserve"> SEQ Figure \* ARABIC </w:instrText>
      </w:r>
      <w:r w:rsidR="00DC7D8C">
        <w:fldChar w:fldCharType="separate"/>
      </w:r>
      <w:r w:rsidR="00866D96">
        <w:rPr>
          <w:noProof/>
        </w:rPr>
        <w:t>12</w:t>
      </w:r>
      <w:r w:rsidR="00DC7D8C">
        <w:rPr>
          <w:noProof/>
        </w:rPr>
        <w:fldChar w:fldCharType="end"/>
      </w:r>
      <w:bookmarkEnd w:id="216"/>
      <w:r w:rsidRPr="006122EE">
        <w:t>: Installed Generating Trajectory Including RE Targets, MW</w:t>
      </w:r>
      <w:bookmarkEnd w:id="217"/>
    </w:p>
    <w:p w14:paraId="6EAD02D5" w14:textId="77777777" w:rsidR="00515520" w:rsidRPr="006122EE" w:rsidRDefault="008403CC" w:rsidP="00515520">
      <w:pPr>
        <w:jc w:val="center"/>
      </w:pPr>
      <w:r w:rsidRPr="00866D96">
        <w:rPr>
          <w:noProof/>
          <w:lang w:val="en-US" w:eastAsia="en-US"/>
        </w:rPr>
        <w:drawing>
          <wp:inline distT="0" distB="0" distL="0" distR="0" wp14:anchorId="40ECBF68" wp14:editId="5577DE3C">
            <wp:extent cx="4547235" cy="2847975"/>
            <wp:effectExtent l="0" t="0" r="24765"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5295D8" w14:textId="77777777" w:rsidR="00E7196C" w:rsidRDefault="003402A2" w:rsidP="0082018A">
      <w:pPr>
        <w:spacing w:line="276" w:lineRule="auto"/>
      </w:pPr>
      <w:r w:rsidRPr="006122EE">
        <w:tab/>
      </w:r>
      <w:r w:rsidRPr="006122EE">
        <w:tab/>
      </w:r>
      <w:r w:rsidR="00AE2005" w:rsidRPr="006122EE">
        <w:t xml:space="preserve">The full 2030 installed </w:t>
      </w:r>
      <w:r w:rsidR="00A753EB" w:rsidRPr="006122EE">
        <w:t>capacity</w:t>
      </w:r>
      <w:r w:rsidR="00AE2005" w:rsidRPr="006122EE">
        <w:t xml:space="preserve"> based on the </w:t>
      </w:r>
      <w:r w:rsidR="00801DEE" w:rsidRPr="006122EE">
        <w:t xml:space="preserve">2016 </w:t>
      </w:r>
      <w:r w:rsidR="00AE2005" w:rsidRPr="006122EE">
        <w:t>energy policy paper projections</w:t>
      </w:r>
      <w:r w:rsidR="00801DEE" w:rsidRPr="006122EE">
        <w:t>,</w:t>
      </w:r>
      <w:r w:rsidR="00AE2005" w:rsidRPr="006122EE">
        <w:t xml:space="preserve"> plus the </w:t>
      </w:r>
      <w:r w:rsidR="000F12B8" w:rsidRPr="006122EE">
        <w:t xml:space="preserve">addition of the SE4ALL RE target of 651 MW </w:t>
      </w:r>
      <w:r w:rsidR="00AE2005" w:rsidRPr="006122EE">
        <w:t xml:space="preserve">(2 solar and 2 </w:t>
      </w:r>
      <w:r w:rsidR="00BE31B9" w:rsidRPr="006122EE">
        <w:t>small</w:t>
      </w:r>
      <w:r w:rsidR="000F12B8" w:rsidRPr="006122EE">
        <w:t>-to-medium</w:t>
      </w:r>
      <w:r w:rsidR="00BE31B9" w:rsidRPr="006122EE">
        <w:t xml:space="preserve"> hydro)</w:t>
      </w:r>
      <w:r w:rsidR="0081136F" w:rsidRPr="006122EE">
        <w:t>,</w:t>
      </w:r>
      <w:r w:rsidR="00BE31B9" w:rsidRPr="006122EE">
        <w:t xml:space="preserve"> </w:t>
      </w:r>
      <w:r w:rsidR="00005342" w:rsidRPr="006122EE">
        <w:t>amounts to 2,</w:t>
      </w:r>
      <w:r w:rsidR="00415B2B" w:rsidRPr="006122EE">
        <w:t>620</w:t>
      </w:r>
      <w:r w:rsidR="00005342" w:rsidRPr="006122EE">
        <w:t xml:space="preserve">.85 MW and </w:t>
      </w:r>
      <w:r w:rsidR="00BE31B9" w:rsidRPr="006122EE">
        <w:t>is shown in</w:t>
      </w:r>
      <w:r w:rsidR="00202AAA" w:rsidRPr="006122EE">
        <w:t xml:space="preserve"> </w:t>
      </w:r>
      <w:r w:rsidR="00202AAA" w:rsidRPr="006122EE">
        <w:fldChar w:fldCharType="begin"/>
      </w:r>
      <w:r w:rsidR="00202AAA" w:rsidRPr="006122EE">
        <w:instrText xml:space="preserve"> REF _Ref448422816 \h </w:instrText>
      </w:r>
      <w:r w:rsidR="0082018A">
        <w:instrText xml:space="preserve"> \* MERGEFORMAT </w:instrText>
      </w:r>
      <w:r w:rsidR="00202AAA" w:rsidRPr="006122EE">
        <w:fldChar w:fldCharType="separate"/>
      </w:r>
      <w:r w:rsidR="00866D96" w:rsidRPr="006122EE">
        <w:t xml:space="preserve">Figure </w:t>
      </w:r>
      <w:r w:rsidR="00866D96">
        <w:rPr>
          <w:noProof/>
        </w:rPr>
        <w:t>13</w:t>
      </w:r>
      <w:r w:rsidR="00202AAA" w:rsidRPr="006122EE">
        <w:fldChar w:fldCharType="end"/>
      </w:r>
      <w:r w:rsidR="003D776D" w:rsidRPr="006122EE">
        <w:t>.</w:t>
      </w:r>
      <w:r w:rsidR="00582030" w:rsidRPr="006122EE">
        <w:t xml:space="preserve"> We note that as better renewable energy resource assessments are conducted in Malawi in the coming years, additional RE resources will likely be identified (particularly </w:t>
      </w:r>
      <w:r w:rsidR="0081136F" w:rsidRPr="006122EE">
        <w:t xml:space="preserve">waste-to-energy and </w:t>
      </w:r>
      <w:r w:rsidR="00582030" w:rsidRPr="006122EE">
        <w:t>wind energy) that could contribute to the 2030 energy picture, and the targets will need to be adjusted accordingly.</w:t>
      </w:r>
    </w:p>
    <w:p w14:paraId="414B7209" w14:textId="77777777" w:rsidR="0082018A" w:rsidRPr="006122EE" w:rsidRDefault="0082018A" w:rsidP="0082018A">
      <w:pPr>
        <w:spacing w:line="276" w:lineRule="auto"/>
      </w:pPr>
    </w:p>
    <w:p w14:paraId="066292C6" w14:textId="77777777" w:rsidR="00603DE0" w:rsidRPr="006122EE" w:rsidRDefault="00603DE0" w:rsidP="00603DE0">
      <w:pPr>
        <w:pStyle w:val="Caption"/>
      </w:pPr>
      <w:bookmarkStart w:id="218" w:name="_Ref448422816"/>
      <w:bookmarkStart w:id="219" w:name="_Toc481614977"/>
      <w:r w:rsidRPr="006122EE">
        <w:t xml:space="preserve">Figure </w:t>
      </w:r>
      <w:r w:rsidR="00DC7D8C">
        <w:fldChar w:fldCharType="begin"/>
      </w:r>
      <w:r w:rsidR="00DC7D8C">
        <w:instrText xml:space="preserve"> SEQ Figure \* ARABIC </w:instrText>
      </w:r>
      <w:r w:rsidR="00DC7D8C">
        <w:fldChar w:fldCharType="separate"/>
      </w:r>
      <w:r w:rsidR="00866D96">
        <w:rPr>
          <w:noProof/>
        </w:rPr>
        <w:t>13</w:t>
      </w:r>
      <w:r w:rsidR="00DC7D8C">
        <w:rPr>
          <w:noProof/>
        </w:rPr>
        <w:fldChar w:fldCharType="end"/>
      </w:r>
      <w:bookmarkEnd w:id="218"/>
      <w:r w:rsidRPr="006122EE">
        <w:t xml:space="preserve">: Installed Generating Capacity in 2030 based on Energy Policy Paper plus </w:t>
      </w:r>
      <w:r w:rsidR="00327938" w:rsidRPr="006122EE">
        <w:rPr>
          <w:lang w:eastAsia="en-US"/>
        </w:rPr>
        <w:t>SE4ALL</w:t>
      </w:r>
      <w:r w:rsidRPr="006122EE">
        <w:t xml:space="preserve"> RE Targets</w:t>
      </w:r>
      <w:bookmarkEnd w:id="219"/>
    </w:p>
    <w:p w14:paraId="0EA55EB2" w14:textId="77777777" w:rsidR="00515520" w:rsidRPr="006122EE" w:rsidRDefault="00CE50F8" w:rsidP="00515520">
      <w:pPr>
        <w:keepNext/>
        <w:jc w:val="center"/>
      </w:pPr>
      <w:r w:rsidRPr="00866D96">
        <w:rPr>
          <w:noProof/>
          <w:lang w:val="en-US" w:eastAsia="en-US"/>
        </w:rPr>
        <w:drawing>
          <wp:inline distT="0" distB="0" distL="0" distR="0" wp14:anchorId="72957B63" wp14:editId="6BAB6BC4">
            <wp:extent cx="4572000" cy="30194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2E7EF2" w14:textId="77777777" w:rsidR="00DF0F2B" w:rsidRPr="006122EE" w:rsidRDefault="00DF0F2B" w:rsidP="001F3DC1">
      <w:pPr>
        <w:keepNext/>
        <w:jc w:val="left"/>
      </w:pPr>
    </w:p>
    <w:p w14:paraId="07C8F12B" w14:textId="77777777" w:rsidR="001F3DC1" w:rsidRPr="006122EE" w:rsidRDefault="001F3DC1" w:rsidP="0082018A">
      <w:pPr>
        <w:spacing w:line="276" w:lineRule="auto"/>
      </w:pPr>
      <w:r w:rsidRPr="006122EE">
        <w:t>We</w:t>
      </w:r>
      <w:r w:rsidR="00582030" w:rsidRPr="006122EE">
        <w:t xml:space="preserve"> </w:t>
      </w:r>
      <w:r w:rsidRPr="006122EE">
        <w:t xml:space="preserve">note that the </w:t>
      </w:r>
      <w:r w:rsidR="0067375A" w:rsidRPr="006122EE">
        <w:t>550 MW</w:t>
      </w:r>
      <w:r w:rsidRPr="006122EE">
        <w:t xml:space="preserve"> solar </w:t>
      </w:r>
      <w:r w:rsidR="00707E42" w:rsidRPr="006122EE">
        <w:t>target</w:t>
      </w:r>
      <w:r w:rsidRPr="006122EE">
        <w:t xml:space="preserve"> does not include on-site</w:t>
      </w:r>
      <w:r w:rsidR="006837BB" w:rsidRPr="006122EE">
        <w:t xml:space="preserve"> grid-connected</w:t>
      </w:r>
      <w:r w:rsidRPr="006122EE">
        <w:t xml:space="preserve"> solar installations on rooftops or over parking lots</w:t>
      </w:r>
      <w:r w:rsidR="00D067AF" w:rsidRPr="006122EE">
        <w:t xml:space="preserve"> or for powering street lights</w:t>
      </w:r>
      <w:r w:rsidRPr="006122EE">
        <w:t xml:space="preserve">. The </w:t>
      </w:r>
      <w:r w:rsidR="00983ED1" w:rsidRPr="006122EE">
        <w:t>g</w:t>
      </w:r>
      <w:r w:rsidRPr="006122EE">
        <w:t xml:space="preserve">overnment supports such installations, particularly at </w:t>
      </w:r>
      <w:r w:rsidRPr="006122EE">
        <w:rPr>
          <w:lang w:eastAsia="en-US"/>
        </w:rPr>
        <w:t>colleges</w:t>
      </w:r>
      <w:r w:rsidRPr="006122EE">
        <w:t xml:space="preserve"> and hospitals, but because of the high uncertainties surrounding their possible development</w:t>
      </w:r>
      <w:r w:rsidR="00707E42" w:rsidRPr="006122EE">
        <w:t xml:space="preserve"> and </w:t>
      </w:r>
      <w:r w:rsidR="00DF0F2B" w:rsidRPr="006122EE">
        <w:t xml:space="preserve">their </w:t>
      </w:r>
      <w:r w:rsidR="00707E42" w:rsidRPr="006122EE">
        <w:t>relatively small size</w:t>
      </w:r>
      <w:r w:rsidRPr="006122EE">
        <w:t>, they are not included in the</w:t>
      </w:r>
      <w:r w:rsidR="005C4E2B" w:rsidRPr="006122EE">
        <w:t>se</w:t>
      </w:r>
      <w:r w:rsidRPr="006122EE">
        <w:t xml:space="preserve"> </w:t>
      </w:r>
      <w:r w:rsidR="00152ADA" w:rsidRPr="006122EE">
        <w:t>targets.</w:t>
      </w:r>
      <w:r w:rsidR="0067375A" w:rsidRPr="006122EE">
        <w:rPr>
          <w:rStyle w:val="FootnoteReference"/>
        </w:rPr>
        <w:footnoteReference w:id="47"/>
      </w:r>
      <w:r w:rsidR="00152ADA" w:rsidRPr="006122EE">
        <w:t>.</w:t>
      </w:r>
      <w:r w:rsidR="006837BB" w:rsidRPr="006122EE">
        <w:t xml:space="preserve"> </w:t>
      </w:r>
    </w:p>
    <w:p w14:paraId="42D8BDC9" w14:textId="77777777" w:rsidR="00E6641B" w:rsidRPr="006122EE" w:rsidRDefault="0067375A" w:rsidP="0082018A">
      <w:pPr>
        <w:spacing w:line="276" w:lineRule="auto"/>
      </w:pPr>
      <w:r w:rsidRPr="006122EE">
        <w:t xml:space="preserve">A full picture of the </w:t>
      </w:r>
      <w:r w:rsidR="001467E8" w:rsidRPr="006122EE">
        <w:t>role</w:t>
      </w:r>
      <w:r w:rsidRPr="006122EE">
        <w:t xml:space="preserve"> </w:t>
      </w:r>
      <w:r w:rsidR="001467E8" w:rsidRPr="006122EE">
        <w:t xml:space="preserve">of renewable energy in power generation </w:t>
      </w:r>
      <w:r w:rsidRPr="006122EE">
        <w:t xml:space="preserve">would include the anticipated </w:t>
      </w:r>
      <w:r w:rsidR="001467E8" w:rsidRPr="006122EE">
        <w:t xml:space="preserve">contribution </w:t>
      </w:r>
      <w:r w:rsidRPr="006122EE">
        <w:t xml:space="preserve">from </w:t>
      </w:r>
      <w:r w:rsidR="001467E8" w:rsidRPr="006122EE">
        <w:t xml:space="preserve">off-grid sources, specifically </w:t>
      </w:r>
      <w:r w:rsidRPr="006122EE">
        <w:t xml:space="preserve">pico solar </w:t>
      </w:r>
      <w:r w:rsidR="001467E8" w:rsidRPr="006122EE">
        <w:t>systems</w:t>
      </w:r>
      <w:r w:rsidRPr="006122EE">
        <w:t xml:space="preserve"> and solar home systems</w:t>
      </w:r>
      <w:r w:rsidR="001467E8" w:rsidRPr="006122EE">
        <w:t xml:space="preserve"> (SHS)</w:t>
      </w:r>
      <w:r w:rsidR="00A41C3E" w:rsidRPr="006122EE">
        <w:t xml:space="preserve">. </w:t>
      </w:r>
      <w:r w:rsidR="004D49BF" w:rsidRPr="006122EE">
        <w:fldChar w:fldCharType="begin"/>
      </w:r>
      <w:r w:rsidR="004D49BF" w:rsidRPr="006122EE">
        <w:instrText xml:space="preserve"> REF _Ref481600697 \h </w:instrText>
      </w:r>
      <w:r w:rsidR="0082018A">
        <w:instrText xml:space="preserve"> \* MERGEFORMAT </w:instrText>
      </w:r>
      <w:r w:rsidR="004D49BF" w:rsidRPr="006122EE">
        <w:fldChar w:fldCharType="separate"/>
      </w:r>
      <w:r w:rsidR="00866D96" w:rsidRPr="006122EE">
        <w:t xml:space="preserve">Table </w:t>
      </w:r>
      <w:r w:rsidR="00866D96">
        <w:rPr>
          <w:noProof/>
        </w:rPr>
        <w:t>12</w:t>
      </w:r>
      <w:r w:rsidR="004D49BF" w:rsidRPr="006122EE">
        <w:fldChar w:fldCharType="end"/>
      </w:r>
      <w:r w:rsidR="001467E8" w:rsidRPr="006122EE">
        <w:t xml:space="preserve"> in the Energy Access section shows the 2030 targets for </w:t>
      </w:r>
      <w:r w:rsidR="0032083D" w:rsidRPr="006122EE">
        <w:t>both types of off-grid systems.</w:t>
      </w:r>
      <w:r w:rsidR="001467E8" w:rsidRPr="006122EE">
        <w:t xml:space="preserve"> </w:t>
      </w:r>
      <w:r w:rsidR="0032083D" w:rsidRPr="006122EE">
        <w:t>F</w:t>
      </w:r>
      <w:r w:rsidR="001467E8" w:rsidRPr="006122EE">
        <w:t xml:space="preserve">or pico, the target is 4.5 million systems. For SHS, the target is 75,000 systems. The panel capacity of pico systems typically ranges from 0.3 to 10 </w:t>
      </w:r>
      <w:r w:rsidR="00E6641B" w:rsidRPr="006122EE">
        <w:t>peak watts</w:t>
      </w:r>
      <w:r w:rsidR="001467E8" w:rsidRPr="006122EE">
        <w:t xml:space="preserve">. </w:t>
      </w:r>
      <w:r w:rsidR="00E6641B" w:rsidRPr="006122EE">
        <w:t>Assuming an average size of 5 W</w:t>
      </w:r>
      <w:r w:rsidR="001467E8" w:rsidRPr="006122EE">
        <w:t xml:space="preserve"> in Malawi, 4.5 million pico systems x 5</w:t>
      </w:r>
      <w:r w:rsidR="00E6641B" w:rsidRPr="006122EE">
        <w:t xml:space="preserve"> W = 22 </w:t>
      </w:r>
      <w:r w:rsidR="00756560">
        <w:t xml:space="preserve">peak </w:t>
      </w:r>
      <w:r w:rsidR="00E6641B" w:rsidRPr="006122EE">
        <w:t>MW</w:t>
      </w:r>
      <w:r w:rsidR="00756560">
        <w:t xml:space="preserve"> of additional power generation</w:t>
      </w:r>
      <w:r w:rsidR="001467E8" w:rsidRPr="006122EE">
        <w:t xml:space="preserve">. </w:t>
      </w:r>
    </w:p>
    <w:p w14:paraId="0FF5A695" w14:textId="77777777" w:rsidR="001467E8" w:rsidRDefault="00E6641B" w:rsidP="0082018A">
      <w:pPr>
        <w:spacing w:line="276" w:lineRule="auto"/>
      </w:pPr>
      <w:r w:rsidRPr="006122EE">
        <w:t>For SHS, the average capacity of residential solar PV system in OECD countries is 3 to 5 KW. In Africa, the typical capacity ranges from 20 to 100 W.</w:t>
      </w:r>
      <w:r w:rsidR="003C5F31" w:rsidRPr="006122EE">
        <w:rPr>
          <w:rStyle w:val="FootnoteReference"/>
        </w:rPr>
        <w:footnoteReference w:id="48"/>
      </w:r>
      <w:r w:rsidRPr="006122EE">
        <w:t xml:space="preserve"> Assuming an average SHS capacity of</w:t>
      </w:r>
      <w:r w:rsidR="00326F0F" w:rsidRPr="006122EE">
        <w:t xml:space="preserve"> 50 </w:t>
      </w:r>
      <w:r w:rsidRPr="006122EE">
        <w:t>W in Malawi, 75,000 systems x 50 W =</w:t>
      </w:r>
      <w:r w:rsidR="00326F0F" w:rsidRPr="006122EE">
        <w:t xml:space="preserve"> 3.75 MW</w:t>
      </w:r>
      <w:r w:rsidR="00756560">
        <w:t xml:space="preserve"> of additional solar capacity</w:t>
      </w:r>
      <w:r w:rsidR="00326F0F" w:rsidRPr="006122EE">
        <w:t xml:space="preserve">. </w:t>
      </w:r>
    </w:p>
    <w:p w14:paraId="5E045E72" w14:textId="77777777" w:rsidR="00756560" w:rsidRPr="006122EE" w:rsidRDefault="00756560" w:rsidP="0082018A">
      <w:pPr>
        <w:spacing w:line="276" w:lineRule="auto"/>
      </w:pPr>
      <w:r>
        <w:t xml:space="preserve">Adding </w:t>
      </w:r>
      <w:r w:rsidR="00E17803">
        <w:t xml:space="preserve">the </w:t>
      </w:r>
      <w:r>
        <w:t xml:space="preserve">pico solar and SHS </w:t>
      </w:r>
      <w:r w:rsidR="00E17803">
        <w:t xml:space="preserve">targets </w:t>
      </w:r>
      <w:r>
        <w:t xml:space="preserve">to the pie chart would be represented by a very thin sliver as they would represent one percent of </w:t>
      </w:r>
      <w:r w:rsidR="00E17803">
        <w:t xml:space="preserve">total </w:t>
      </w:r>
      <w:r>
        <w:t>electric capacity.</w:t>
      </w:r>
    </w:p>
    <w:p w14:paraId="68A81DB8" w14:textId="77777777" w:rsidR="00641274" w:rsidRPr="006122EE" w:rsidRDefault="009D2F6B" w:rsidP="0082018A">
      <w:pPr>
        <w:pStyle w:val="BTitle3"/>
        <w:spacing w:line="276" w:lineRule="auto"/>
        <w:rPr>
          <w:noProof w:val="0"/>
          <w:lang w:val="en-GB"/>
        </w:rPr>
      </w:pPr>
      <w:bookmarkStart w:id="220" w:name="_Toc481614906"/>
      <w:r w:rsidRPr="006122EE">
        <w:rPr>
          <w:noProof w:val="0"/>
          <w:lang w:val="en-GB"/>
        </w:rPr>
        <w:t>What is the gap between BAU trajectory and the new targets? What are the barriers?</w:t>
      </w:r>
      <w:bookmarkEnd w:id="220"/>
    </w:p>
    <w:p w14:paraId="148901AD" w14:textId="77777777" w:rsidR="00AE2005" w:rsidRPr="006122EE" w:rsidRDefault="00AE2005" w:rsidP="0082018A">
      <w:pPr>
        <w:spacing w:line="276" w:lineRule="auto"/>
      </w:pPr>
      <w:r w:rsidRPr="006122EE">
        <w:t xml:space="preserve">According to the energy policy paper, the estimated installed solar capacity in 2030 is projected to be 99 MW. This is in contrast with the </w:t>
      </w:r>
      <w:r w:rsidR="00327938" w:rsidRPr="006122EE">
        <w:rPr>
          <w:lang w:eastAsia="en-US"/>
        </w:rPr>
        <w:t>SE4ALL</w:t>
      </w:r>
      <w:r w:rsidRPr="006122EE">
        <w:t xml:space="preserve"> solar target of 550 MW of grid-connected solar power by 2030 based on the combined capacity of just two of the solar projects currently waiting for PPAs. There is thus a gap of 451 MW between the BAU strategy and the achievable </w:t>
      </w:r>
      <w:r w:rsidR="00327938" w:rsidRPr="006122EE">
        <w:rPr>
          <w:lang w:eastAsia="en-US"/>
        </w:rPr>
        <w:t>SE4ALL</w:t>
      </w:r>
      <w:r w:rsidRPr="006122EE">
        <w:t xml:space="preserve"> target.</w:t>
      </w:r>
    </w:p>
    <w:p w14:paraId="6711F78D" w14:textId="77777777" w:rsidR="00AE2005" w:rsidRPr="006122EE" w:rsidRDefault="00AE2005" w:rsidP="0082018A">
      <w:pPr>
        <w:spacing w:line="276" w:lineRule="auto"/>
      </w:pPr>
      <w:r w:rsidRPr="006122EE">
        <w:t xml:space="preserve">For large hydro and small hydro, there is no gap between the BAU estimates and </w:t>
      </w:r>
      <w:r w:rsidR="00327938" w:rsidRPr="006122EE">
        <w:t xml:space="preserve">the SE4ALL </w:t>
      </w:r>
      <w:r w:rsidRPr="006122EE">
        <w:t xml:space="preserve">targets for 2030. </w:t>
      </w:r>
    </w:p>
    <w:p w14:paraId="3752D4C8" w14:textId="77777777" w:rsidR="00AE2005" w:rsidRPr="006122EE" w:rsidRDefault="00AE2005" w:rsidP="0082018A">
      <w:pPr>
        <w:spacing w:line="276" w:lineRule="auto"/>
      </w:pPr>
      <w:r w:rsidRPr="006122EE">
        <w:t>There are a range of barriers to the RE targets being met. Some are barriers common in other countries a</w:t>
      </w:r>
      <w:r w:rsidR="00B41E91" w:rsidRPr="006122EE">
        <w:t>nd some are specific to Malawi:</w:t>
      </w:r>
    </w:p>
    <w:p w14:paraId="7FB9E075" w14:textId="77777777" w:rsidR="00B41E91" w:rsidRPr="00866D96" w:rsidRDefault="00B41E91" w:rsidP="0082018A">
      <w:pPr>
        <w:pStyle w:val="DBulletlevel1"/>
        <w:spacing w:line="276" w:lineRule="auto"/>
        <w:rPr>
          <w:noProof w:val="0"/>
        </w:rPr>
      </w:pPr>
      <w:r w:rsidRPr="00866D96">
        <w:rPr>
          <w:noProof w:val="0"/>
        </w:rPr>
        <w:t>Capital finance shortage, resulting in underinvestment in generation,</w:t>
      </w:r>
      <w:r w:rsidR="002D3354" w:rsidRPr="00866D96">
        <w:rPr>
          <w:noProof w:val="0"/>
        </w:rPr>
        <w:t xml:space="preserve"> transmission, and distribution</w:t>
      </w:r>
      <w:r w:rsidR="00152ADA" w:rsidRPr="00866D96">
        <w:rPr>
          <w:noProof w:val="0"/>
        </w:rPr>
        <w:t>.</w:t>
      </w:r>
    </w:p>
    <w:p w14:paraId="18E4E69C" w14:textId="77777777" w:rsidR="00AE2005" w:rsidRPr="00866D96" w:rsidRDefault="00AE2005" w:rsidP="0082018A">
      <w:pPr>
        <w:pStyle w:val="DBulletlevel1"/>
        <w:spacing w:line="276" w:lineRule="auto"/>
        <w:rPr>
          <w:noProof w:val="0"/>
        </w:rPr>
      </w:pPr>
      <w:r w:rsidRPr="00866D96">
        <w:rPr>
          <w:noProof w:val="0"/>
        </w:rPr>
        <w:t xml:space="preserve">Lack of interest and participation of other </w:t>
      </w:r>
      <w:r w:rsidR="002D3354" w:rsidRPr="00866D96">
        <w:rPr>
          <w:noProof w:val="0"/>
        </w:rPr>
        <w:t xml:space="preserve">ministries, corporations, and other </w:t>
      </w:r>
      <w:r w:rsidRPr="00866D96">
        <w:rPr>
          <w:noProof w:val="0"/>
        </w:rPr>
        <w:t>organisations</w:t>
      </w:r>
      <w:r w:rsidR="00152ADA" w:rsidRPr="00866D96">
        <w:rPr>
          <w:noProof w:val="0"/>
        </w:rPr>
        <w:t>.</w:t>
      </w:r>
    </w:p>
    <w:p w14:paraId="206FBD20" w14:textId="77777777" w:rsidR="00AE2005" w:rsidRPr="00866D96" w:rsidRDefault="00AE2005" w:rsidP="0082018A">
      <w:pPr>
        <w:pStyle w:val="DBulletlevel1"/>
        <w:spacing w:line="276" w:lineRule="auto"/>
        <w:rPr>
          <w:noProof w:val="0"/>
        </w:rPr>
      </w:pPr>
      <w:r w:rsidRPr="00866D96">
        <w:rPr>
          <w:noProof w:val="0"/>
        </w:rPr>
        <w:t>Banks</w:t>
      </w:r>
      <w:r w:rsidR="002D3354" w:rsidRPr="00866D96">
        <w:rPr>
          <w:noProof w:val="0"/>
        </w:rPr>
        <w:t xml:space="preserve"> and individuals</w:t>
      </w:r>
      <w:r w:rsidRPr="00866D96">
        <w:rPr>
          <w:noProof w:val="0"/>
        </w:rPr>
        <w:t xml:space="preserve"> are reluctant to finance on-site RE projects as the technology and business is still considered risky</w:t>
      </w:r>
      <w:r w:rsidR="00152ADA" w:rsidRPr="00866D96">
        <w:rPr>
          <w:noProof w:val="0"/>
        </w:rPr>
        <w:t>.</w:t>
      </w:r>
    </w:p>
    <w:p w14:paraId="79B72EEB" w14:textId="77777777" w:rsidR="00AE2005" w:rsidRPr="00866D96" w:rsidRDefault="00AE2005" w:rsidP="0082018A">
      <w:pPr>
        <w:pStyle w:val="DBulletlevel1"/>
        <w:spacing w:line="276" w:lineRule="auto"/>
        <w:rPr>
          <w:noProof w:val="0"/>
        </w:rPr>
      </w:pPr>
      <w:r w:rsidRPr="00866D96">
        <w:rPr>
          <w:noProof w:val="0"/>
        </w:rPr>
        <w:t>Consumer financing for RE is not readily available and most of the rural communities cannot afford to purchase RE systems</w:t>
      </w:r>
      <w:r w:rsidR="00152ADA" w:rsidRPr="00866D96">
        <w:rPr>
          <w:noProof w:val="0"/>
        </w:rPr>
        <w:t>.</w:t>
      </w:r>
    </w:p>
    <w:p w14:paraId="038FD35A" w14:textId="77777777" w:rsidR="00AE2005" w:rsidRPr="00866D96" w:rsidRDefault="002D3354" w:rsidP="0082018A">
      <w:pPr>
        <w:pStyle w:val="DBulletlevel1"/>
        <w:spacing w:line="276" w:lineRule="auto"/>
        <w:rPr>
          <w:noProof w:val="0"/>
        </w:rPr>
      </w:pPr>
      <w:r w:rsidRPr="00866D96">
        <w:rPr>
          <w:noProof w:val="0"/>
        </w:rPr>
        <w:t>The r</w:t>
      </w:r>
      <w:r w:rsidR="00AE2005" w:rsidRPr="00866D96">
        <w:rPr>
          <w:noProof w:val="0"/>
        </w:rPr>
        <w:t>ent to own (</w:t>
      </w:r>
      <w:r w:rsidRPr="00866D96">
        <w:rPr>
          <w:noProof w:val="0"/>
        </w:rPr>
        <w:t xml:space="preserve">“Py-as-you-go” or </w:t>
      </w:r>
      <w:r w:rsidR="00AE2005" w:rsidRPr="00866D96">
        <w:rPr>
          <w:noProof w:val="0"/>
        </w:rPr>
        <w:t>Pa</w:t>
      </w:r>
      <w:r w:rsidRPr="00866D96">
        <w:rPr>
          <w:noProof w:val="0"/>
        </w:rPr>
        <w:t>YG) approach has been introduced -- where</w:t>
      </w:r>
      <w:r w:rsidR="00AE2005" w:rsidRPr="00866D96">
        <w:rPr>
          <w:noProof w:val="0"/>
        </w:rPr>
        <w:t>by consumers are given the system which they buy</w:t>
      </w:r>
      <w:r w:rsidRPr="00866D96">
        <w:rPr>
          <w:noProof w:val="0"/>
        </w:rPr>
        <w:t xml:space="preserve"> by paying in small instalments – but is not expanding very quickly</w:t>
      </w:r>
      <w:r w:rsidR="00152ADA" w:rsidRPr="00866D96">
        <w:rPr>
          <w:noProof w:val="0"/>
        </w:rPr>
        <w:t>.</w:t>
      </w:r>
    </w:p>
    <w:p w14:paraId="3FABDF6A" w14:textId="77777777" w:rsidR="00AE2005" w:rsidRPr="00866D96" w:rsidRDefault="002D3354" w:rsidP="0082018A">
      <w:pPr>
        <w:pStyle w:val="DBulletlevel1"/>
        <w:spacing w:line="276" w:lineRule="auto"/>
        <w:rPr>
          <w:noProof w:val="0"/>
        </w:rPr>
      </w:pPr>
      <w:r w:rsidRPr="00866D96">
        <w:rPr>
          <w:noProof w:val="0"/>
        </w:rPr>
        <w:t xml:space="preserve">MAREP fund, which finances grid extension, is </w:t>
      </w:r>
      <w:r w:rsidR="00AE2005" w:rsidRPr="00866D96">
        <w:rPr>
          <w:noProof w:val="0"/>
        </w:rPr>
        <w:t>not being used for off-grid applications</w:t>
      </w:r>
      <w:r w:rsidR="00152ADA" w:rsidRPr="00866D96">
        <w:rPr>
          <w:noProof w:val="0"/>
        </w:rPr>
        <w:t>.</w:t>
      </w:r>
    </w:p>
    <w:p w14:paraId="3FA6B66E" w14:textId="77777777" w:rsidR="00AE2005" w:rsidRPr="00866D96" w:rsidRDefault="00AE2005" w:rsidP="0082018A">
      <w:pPr>
        <w:pStyle w:val="DBulletlevel1"/>
        <w:spacing w:line="276" w:lineRule="auto"/>
        <w:rPr>
          <w:noProof w:val="0"/>
        </w:rPr>
      </w:pPr>
      <w:r w:rsidRPr="00866D96">
        <w:rPr>
          <w:noProof w:val="0"/>
        </w:rPr>
        <w:t>Lack of training and skills</w:t>
      </w:r>
      <w:r w:rsidR="00152ADA" w:rsidRPr="00866D96">
        <w:rPr>
          <w:noProof w:val="0"/>
        </w:rPr>
        <w:t>.</w:t>
      </w:r>
    </w:p>
    <w:p w14:paraId="79B17A64" w14:textId="77777777" w:rsidR="00AE2005" w:rsidRPr="00866D96" w:rsidRDefault="00AE2005" w:rsidP="0082018A">
      <w:pPr>
        <w:pStyle w:val="DBulletlevel1"/>
        <w:spacing w:line="276" w:lineRule="auto"/>
        <w:rPr>
          <w:noProof w:val="0"/>
        </w:rPr>
      </w:pPr>
      <w:r w:rsidRPr="00866D96">
        <w:rPr>
          <w:noProof w:val="0"/>
          <w:lang w:val="fr-FR"/>
        </w:rPr>
        <w:t xml:space="preserve">Ambiguous/un-clear exemption plan. </w:t>
      </w:r>
      <w:r w:rsidRPr="00866D96">
        <w:rPr>
          <w:noProof w:val="0"/>
        </w:rPr>
        <w:t>Some RE products are not yet in the schedule for exempted products e.g. turbines and generators for hydro use and even SWH</w:t>
      </w:r>
      <w:r w:rsidR="00152ADA" w:rsidRPr="00866D96">
        <w:rPr>
          <w:noProof w:val="0"/>
        </w:rPr>
        <w:t>.</w:t>
      </w:r>
    </w:p>
    <w:p w14:paraId="28B145C4" w14:textId="77777777" w:rsidR="00287D2D" w:rsidRPr="00866D96" w:rsidRDefault="00A410C7" w:rsidP="0082018A">
      <w:pPr>
        <w:pStyle w:val="BTitle20"/>
        <w:rPr>
          <w:noProof w:val="0"/>
        </w:rPr>
      </w:pPr>
      <w:r w:rsidRPr="00866D96">
        <w:rPr>
          <w:noProof w:val="0"/>
        </w:rPr>
        <w:t xml:space="preserve"> </w:t>
      </w:r>
      <w:bookmarkStart w:id="221" w:name="_Toc448426444"/>
      <w:bookmarkStart w:id="222" w:name="_Toc448426445"/>
      <w:bookmarkStart w:id="223" w:name="_Toc441762612"/>
      <w:bookmarkStart w:id="224" w:name="_Toc481614907"/>
      <w:bookmarkStart w:id="225" w:name="_Toc439841207"/>
      <w:bookmarkEnd w:id="221"/>
      <w:bookmarkEnd w:id="222"/>
      <w:bookmarkEnd w:id="223"/>
      <w:r w:rsidR="00287D2D" w:rsidRPr="00866D96">
        <w:rPr>
          <w:noProof w:val="0"/>
        </w:rPr>
        <w:t>Energy Efficiency</w:t>
      </w:r>
      <w:bookmarkEnd w:id="224"/>
      <w:r w:rsidR="00287D2D" w:rsidRPr="00866D96">
        <w:rPr>
          <w:noProof w:val="0"/>
        </w:rPr>
        <w:t xml:space="preserve">  </w:t>
      </w:r>
    </w:p>
    <w:p w14:paraId="33CE385C" w14:textId="77777777" w:rsidR="00287D2D" w:rsidRPr="006122EE" w:rsidRDefault="00287D2D" w:rsidP="0082018A">
      <w:pPr>
        <w:pStyle w:val="BTitle3"/>
        <w:spacing w:line="276" w:lineRule="auto"/>
        <w:rPr>
          <w:noProof w:val="0"/>
          <w:lang w:val="en-GB"/>
        </w:rPr>
      </w:pPr>
      <w:bookmarkStart w:id="226" w:name="_Toc481614908"/>
      <w:r w:rsidRPr="006122EE">
        <w:rPr>
          <w:noProof w:val="0"/>
          <w:lang w:val="en-GB"/>
        </w:rPr>
        <w:t>What is the current status and BAU trajectory to 2030?</w:t>
      </w:r>
      <w:bookmarkEnd w:id="226"/>
    </w:p>
    <w:p w14:paraId="0954F831" w14:textId="77777777" w:rsidR="00287D2D" w:rsidRPr="006122EE" w:rsidRDefault="00287D2D" w:rsidP="0082018A">
      <w:pPr>
        <w:pStyle w:val="Style1"/>
        <w:spacing w:line="276" w:lineRule="auto"/>
      </w:pPr>
      <w:r w:rsidRPr="006122EE">
        <w:t>Current status</w:t>
      </w:r>
    </w:p>
    <w:p w14:paraId="1BC23051" w14:textId="77777777" w:rsidR="00287D2D" w:rsidRPr="006122EE" w:rsidRDefault="00287D2D" w:rsidP="0082018A">
      <w:pPr>
        <w:spacing w:line="276" w:lineRule="auto"/>
      </w:pPr>
      <w:r w:rsidRPr="006122EE">
        <w:t xml:space="preserve">Malawi`s national energy consumption reflects the country`s economic situation, with domestic users (households) accounting for 83% of all energy consumption, industry for only 12%, transport  for 4%, and the remaining 1% consumed in the services sector (see </w:t>
      </w:r>
      <w:r w:rsidR="00C72B9A" w:rsidRPr="006122EE">
        <w:fldChar w:fldCharType="begin"/>
      </w:r>
      <w:r w:rsidR="00C72B9A" w:rsidRPr="006122EE">
        <w:instrText xml:space="preserve"> REF _Ref481599844 \h </w:instrText>
      </w:r>
      <w:r w:rsidR="0082018A">
        <w:instrText xml:space="preserve"> \* MERGEFORMAT </w:instrText>
      </w:r>
      <w:r w:rsidR="00C72B9A" w:rsidRPr="006122EE">
        <w:fldChar w:fldCharType="separate"/>
      </w:r>
      <w:r w:rsidR="00866D96" w:rsidRPr="006122EE">
        <w:t xml:space="preserve">Figure </w:t>
      </w:r>
      <w:r w:rsidR="00866D96">
        <w:rPr>
          <w:noProof/>
        </w:rPr>
        <w:t>14</w:t>
      </w:r>
      <w:r w:rsidR="00C72B9A" w:rsidRPr="006122EE">
        <w:fldChar w:fldCharType="end"/>
      </w:r>
      <w:r w:rsidR="00C72B9A" w:rsidRPr="006122EE">
        <w:t xml:space="preserve"> </w:t>
      </w:r>
      <w:r w:rsidRPr="006122EE">
        <w:t xml:space="preserve">below). As </w:t>
      </w:r>
      <w:r w:rsidR="00C72B9A" w:rsidRPr="006122EE">
        <w:fldChar w:fldCharType="begin"/>
      </w:r>
      <w:r w:rsidR="00C72B9A" w:rsidRPr="006122EE">
        <w:instrText xml:space="preserve"> REF _Ref481599844 \h </w:instrText>
      </w:r>
      <w:r w:rsidR="0082018A">
        <w:instrText xml:space="preserve"> \* MERGEFORMAT </w:instrText>
      </w:r>
      <w:r w:rsidR="00C72B9A" w:rsidRPr="006122EE">
        <w:fldChar w:fldCharType="separate"/>
      </w:r>
      <w:r w:rsidR="00866D96" w:rsidRPr="006122EE">
        <w:t xml:space="preserve">Figure </w:t>
      </w:r>
      <w:r w:rsidR="00866D96">
        <w:rPr>
          <w:noProof/>
        </w:rPr>
        <w:t>14</w:t>
      </w:r>
      <w:r w:rsidR="00C72B9A" w:rsidRPr="006122EE">
        <w:fldChar w:fldCharType="end"/>
      </w:r>
      <w:r w:rsidR="00BB3E54" w:rsidRPr="006122EE">
        <w:t xml:space="preserve"> </w:t>
      </w:r>
      <w:r w:rsidRPr="006122EE">
        <w:t>below indicates, the energy supply in the country is heavily dominated by biomass (over 88% of total energy supply), followed by liquid fuels (6%) and electricity (2.5%). Firewood is the major energy source in Malawi, providing 95% of rural household energy supply and 55% for urban households, followed by charcoal which accounts for over 30% of urban household energy supply. The present structure of Malawi`s energy supply and demand with its inherent dependence on biomass not only renders the national economy highly uncompetitive, but also exhausts country`s once abundant natural resources. Acknowledging the importance of efficient energy use the GoM committed itself (in the National Energy Policy of 2003) to encourage the efficient use of biomass through a set of market pitching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tblGrid>
      <w:tr w:rsidR="00287D2D" w:rsidRPr="006122EE" w14:paraId="31EAE745" w14:textId="77777777" w:rsidTr="005A7401">
        <w:tc>
          <w:tcPr>
            <w:tcW w:w="6126" w:type="dxa"/>
          </w:tcPr>
          <w:p w14:paraId="03C455F7" w14:textId="77777777" w:rsidR="0089762C" w:rsidRPr="006122EE" w:rsidRDefault="00287D2D" w:rsidP="00B50039">
            <w:pPr>
              <w:keepNext/>
            </w:pPr>
            <w:r w:rsidRPr="00866D96">
              <w:rPr>
                <w:rFonts w:eastAsia="Calibri" w:cs="Arial"/>
                <w:noProof/>
                <w:color w:val="auto"/>
                <w:szCs w:val="20"/>
                <w:lang w:val="en-US" w:eastAsia="en-US"/>
              </w:rPr>
              <w:drawing>
                <wp:inline distT="0" distB="0" distL="0" distR="0" wp14:anchorId="2A522023" wp14:editId="2BA7A1C7">
                  <wp:extent cx="3672840" cy="2636520"/>
                  <wp:effectExtent l="0" t="0" r="3810" b="1143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22A399" w14:textId="77777777" w:rsidR="00287D2D" w:rsidRPr="006122EE" w:rsidRDefault="0089762C" w:rsidP="00C72B9A">
            <w:pPr>
              <w:pStyle w:val="Caption"/>
            </w:pPr>
            <w:bookmarkStart w:id="227" w:name="_Ref481599844"/>
            <w:bookmarkStart w:id="228" w:name="_Toc481614978"/>
            <w:r w:rsidRPr="006122EE">
              <w:t xml:space="preserve">Figure </w:t>
            </w:r>
            <w:r w:rsidR="00DC7D8C">
              <w:fldChar w:fldCharType="begin"/>
            </w:r>
            <w:r w:rsidR="00DC7D8C">
              <w:instrText xml:space="preserve"> SEQ Figure \* ARABIC </w:instrText>
            </w:r>
            <w:r w:rsidR="00DC7D8C">
              <w:fldChar w:fldCharType="separate"/>
            </w:r>
            <w:r w:rsidR="00866D96">
              <w:rPr>
                <w:noProof/>
              </w:rPr>
              <w:t>14</w:t>
            </w:r>
            <w:r w:rsidR="00DC7D8C">
              <w:rPr>
                <w:noProof/>
              </w:rPr>
              <w:fldChar w:fldCharType="end"/>
            </w:r>
            <w:bookmarkEnd w:id="227"/>
            <w:r w:rsidRPr="006122EE">
              <w:t xml:space="preserve">: Energy supply by </w:t>
            </w:r>
            <w:r w:rsidR="00422C45" w:rsidRPr="006122EE">
              <w:t>sector</w:t>
            </w:r>
            <w:bookmarkEnd w:id="228"/>
          </w:p>
        </w:tc>
      </w:tr>
    </w:tbl>
    <w:p w14:paraId="1BB70EDF" w14:textId="77777777" w:rsidR="00287D2D" w:rsidRPr="00866D96" w:rsidRDefault="00287D2D" w:rsidP="0082018A">
      <w:pPr>
        <w:pStyle w:val="CSubtitle2"/>
        <w:spacing w:line="276" w:lineRule="auto"/>
        <w:rPr>
          <w:noProof w:val="0"/>
          <w:lang w:val="en-GB"/>
        </w:rPr>
      </w:pPr>
      <w:r w:rsidRPr="00866D96">
        <w:rPr>
          <w:noProof w:val="0"/>
          <w:lang w:val="en-GB"/>
        </w:rPr>
        <w:t xml:space="preserve">Energy intensity of Malawi`s economy </w:t>
      </w:r>
    </w:p>
    <w:p w14:paraId="58C23B74" w14:textId="77777777" w:rsidR="00152ADA" w:rsidRPr="006122EE" w:rsidRDefault="00287D2D" w:rsidP="0082018A">
      <w:pPr>
        <w:spacing w:line="276" w:lineRule="auto"/>
      </w:pPr>
      <w:r w:rsidRPr="006122EE">
        <w:t>Energy intensity (expressed as the ratio between gross inland energy consumption and country`s GDP) is commonly used as an indication of the energy efficiency of a country`s economy. Unfortunately, data on Malawi`s energy intensity (a ratio of energy consumption to country`s GDP) is not available in International Energy Agency`s (IEA) database. According to statistics from the Open data for Africa web portal (</w:t>
      </w:r>
      <w:hyperlink r:id="rId37" w:history="1">
        <w:r w:rsidR="00720443" w:rsidRPr="006122EE">
          <w:rPr>
            <w:rStyle w:val="Hyperlink"/>
          </w:rPr>
          <w:t>www.opendataforafrica.org</w:t>
        </w:r>
      </w:hyperlink>
      <w:r w:rsidRPr="006122EE">
        <w:t xml:space="preserve">), the energy intensity (British thermal units/GDP USD 2005) of the Malawian economy in 2011 was 1,655 Btu/USD, which is well below the reported intensity of most of countries in the region (Zambia – 7,518 Btu/USD; Zimbabwe – 5,871 Btu/USD; Mozambique – 9,917 Btu/USD) and slightly over the least energy intensive regional peers such as Uganda (1,047 Btu/USD 2005). A robust downtrend in Malawi`s energy intensity ratio is observed over the past six years between 2006 and 2011 (the most recent period energy intensity data is available for – see </w:t>
      </w:r>
      <w:r w:rsidRPr="006122EE">
        <w:fldChar w:fldCharType="begin"/>
      </w:r>
      <w:r w:rsidRPr="006122EE">
        <w:instrText xml:space="preserve"> REF _Ref448247116 \h </w:instrText>
      </w:r>
      <w:r w:rsidR="0082018A">
        <w:instrText xml:space="preserve"> \* MERGEFORMAT </w:instrText>
      </w:r>
      <w:r w:rsidRPr="006122EE">
        <w:fldChar w:fldCharType="separate"/>
      </w:r>
      <w:r w:rsidR="00866D96" w:rsidRPr="006122EE">
        <w:t xml:space="preserve">Table </w:t>
      </w:r>
      <w:r w:rsidR="00866D96">
        <w:rPr>
          <w:noProof/>
        </w:rPr>
        <w:t>22</w:t>
      </w:r>
      <w:r w:rsidRPr="006122EE">
        <w:fldChar w:fldCharType="end"/>
      </w:r>
      <w:r w:rsidRPr="006122EE">
        <w:t xml:space="preserve"> below), mainly fuelled by the sustainable GDP growth attained over the same period. However, this is not necessarily a sign of highly energy efficient economy, but is rather a reflection of the specific structure of the national economy (dominated by rural and agricultural sectors) and the large scale of consumption of unsustainably sourced fire wood, which is not accounted for in the official statistic. </w:t>
      </w:r>
    </w:p>
    <w:p w14:paraId="2E6FC50E" w14:textId="77777777" w:rsidR="00287D2D" w:rsidRPr="006122EE" w:rsidRDefault="00287D2D" w:rsidP="00B509DD">
      <w:pPr>
        <w:pStyle w:val="Caption"/>
      </w:pPr>
      <w:bookmarkStart w:id="229" w:name="_Ref448247116"/>
      <w:bookmarkStart w:id="230" w:name="_Toc481615007"/>
      <w:r w:rsidRPr="006122EE">
        <w:t xml:space="preserve">Table </w:t>
      </w:r>
      <w:r w:rsidR="00DC7D8C">
        <w:fldChar w:fldCharType="begin"/>
      </w:r>
      <w:r w:rsidR="00DC7D8C">
        <w:instrText xml:space="preserve"> SEQ Table \* ARABIC </w:instrText>
      </w:r>
      <w:r w:rsidR="00DC7D8C">
        <w:fldChar w:fldCharType="separate"/>
      </w:r>
      <w:r w:rsidR="00866D96">
        <w:rPr>
          <w:noProof/>
        </w:rPr>
        <w:t>22</w:t>
      </w:r>
      <w:r w:rsidR="00DC7D8C">
        <w:rPr>
          <w:noProof/>
        </w:rPr>
        <w:fldChar w:fldCharType="end"/>
      </w:r>
      <w:bookmarkEnd w:id="229"/>
      <w:r w:rsidR="007C41F5" w:rsidRPr="00866D96">
        <w:t>:</w:t>
      </w:r>
      <w:r w:rsidRPr="006122EE">
        <w:t xml:space="preserve"> Malawi Energy intensity Btu/2005 US Dollar of GDP</w:t>
      </w:r>
      <w:bookmarkEnd w:id="230"/>
    </w:p>
    <w:tbl>
      <w:tblPr>
        <w:tblStyle w:val="ListTable3-Accent31"/>
        <w:tblW w:w="0" w:type="auto"/>
        <w:tblLook w:val="04A0" w:firstRow="1" w:lastRow="0" w:firstColumn="1" w:lastColumn="0" w:noHBand="0" w:noVBand="1"/>
      </w:tblPr>
      <w:tblGrid>
        <w:gridCol w:w="2273"/>
        <w:gridCol w:w="841"/>
        <w:gridCol w:w="840"/>
        <w:gridCol w:w="841"/>
        <w:gridCol w:w="840"/>
        <w:gridCol w:w="841"/>
        <w:gridCol w:w="840"/>
        <w:gridCol w:w="2078"/>
      </w:tblGrid>
      <w:tr w:rsidR="00287D2D" w:rsidRPr="006122EE" w14:paraId="5EFCCEAD"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5" w:type="dxa"/>
          </w:tcPr>
          <w:p w14:paraId="10E783DA" w14:textId="77777777" w:rsidR="00287D2D" w:rsidRPr="006122EE" w:rsidRDefault="00287D2D" w:rsidP="00B509DD">
            <w:pPr>
              <w:rPr>
                <w:rFonts w:eastAsia="Arial" w:cs="Arial"/>
              </w:rPr>
            </w:pPr>
            <w:r w:rsidRPr="006122EE">
              <w:rPr>
                <w:rFonts w:eastAsia="Arial" w:cs="Arial"/>
              </w:rPr>
              <w:t>Year</w:t>
            </w:r>
          </w:p>
        </w:tc>
        <w:tc>
          <w:tcPr>
            <w:tcW w:w="851" w:type="dxa"/>
          </w:tcPr>
          <w:p w14:paraId="1CBA0CE7"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2006</w:t>
            </w:r>
          </w:p>
        </w:tc>
        <w:tc>
          <w:tcPr>
            <w:tcW w:w="850" w:type="dxa"/>
          </w:tcPr>
          <w:p w14:paraId="288DB111"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2007</w:t>
            </w:r>
          </w:p>
        </w:tc>
        <w:tc>
          <w:tcPr>
            <w:tcW w:w="851" w:type="dxa"/>
          </w:tcPr>
          <w:p w14:paraId="5ECEA706"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2008</w:t>
            </w:r>
          </w:p>
        </w:tc>
        <w:tc>
          <w:tcPr>
            <w:tcW w:w="850" w:type="dxa"/>
          </w:tcPr>
          <w:p w14:paraId="38EA86D1"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2009</w:t>
            </w:r>
          </w:p>
        </w:tc>
        <w:tc>
          <w:tcPr>
            <w:tcW w:w="851" w:type="dxa"/>
          </w:tcPr>
          <w:p w14:paraId="1842E083"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2010</w:t>
            </w:r>
          </w:p>
        </w:tc>
        <w:tc>
          <w:tcPr>
            <w:tcW w:w="850" w:type="dxa"/>
          </w:tcPr>
          <w:p w14:paraId="58ABBA3C"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2011</w:t>
            </w:r>
          </w:p>
        </w:tc>
        <w:tc>
          <w:tcPr>
            <w:tcW w:w="2142" w:type="dxa"/>
          </w:tcPr>
          <w:p w14:paraId="4F1475EC"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Cumulative change 2006 – 2011 (%)</w:t>
            </w:r>
          </w:p>
        </w:tc>
      </w:tr>
      <w:tr w:rsidR="00287D2D" w:rsidRPr="006122EE" w14:paraId="14370B71"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2391AAED" w14:textId="77777777" w:rsidR="00287D2D" w:rsidRPr="006122EE" w:rsidRDefault="00287D2D" w:rsidP="00B509DD">
            <w:pPr>
              <w:jc w:val="left"/>
              <w:rPr>
                <w:rFonts w:eastAsia="Arial" w:cs="Arial"/>
                <w:bCs w:val="0"/>
                <w:color w:val="000000"/>
              </w:rPr>
            </w:pPr>
            <w:r w:rsidRPr="006122EE">
              <w:rPr>
                <w:rFonts w:eastAsia="Arial" w:cs="Arial"/>
                <w:color w:val="000000"/>
              </w:rPr>
              <w:t>Energy intensity (Btu / USD 2005)</w:t>
            </w:r>
          </w:p>
        </w:tc>
        <w:tc>
          <w:tcPr>
            <w:tcW w:w="851" w:type="dxa"/>
          </w:tcPr>
          <w:p w14:paraId="2657050A"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2,176</w:t>
            </w:r>
          </w:p>
        </w:tc>
        <w:tc>
          <w:tcPr>
            <w:tcW w:w="850" w:type="dxa"/>
          </w:tcPr>
          <w:p w14:paraId="73691A49"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2,057</w:t>
            </w:r>
          </w:p>
        </w:tc>
        <w:tc>
          <w:tcPr>
            <w:tcW w:w="851" w:type="dxa"/>
          </w:tcPr>
          <w:p w14:paraId="22225191"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1,998</w:t>
            </w:r>
          </w:p>
        </w:tc>
        <w:tc>
          <w:tcPr>
            <w:tcW w:w="850" w:type="dxa"/>
          </w:tcPr>
          <w:p w14:paraId="199FE2A6"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1,656</w:t>
            </w:r>
          </w:p>
        </w:tc>
        <w:tc>
          <w:tcPr>
            <w:tcW w:w="851" w:type="dxa"/>
          </w:tcPr>
          <w:p w14:paraId="25C6ABE9"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1,693</w:t>
            </w:r>
          </w:p>
        </w:tc>
        <w:tc>
          <w:tcPr>
            <w:tcW w:w="850" w:type="dxa"/>
          </w:tcPr>
          <w:p w14:paraId="51BDC68F"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1,655</w:t>
            </w:r>
          </w:p>
        </w:tc>
        <w:tc>
          <w:tcPr>
            <w:tcW w:w="2142" w:type="dxa"/>
          </w:tcPr>
          <w:p w14:paraId="78774FA3"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-24%</w:t>
            </w:r>
          </w:p>
        </w:tc>
      </w:tr>
    </w:tbl>
    <w:p w14:paraId="1EBE9ED5" w14:textId="77777777" w:rsidR="00287D2D" w:rsidRPr="006122EE" w:rsidRDefault="00287D2D" w:rsidP="00866D96">
      <w:pPr>
        <w:pStyle w:val="Style1"/>
      </w:pPr>
      <w:r w:rsidRPr="006122EE">
        <w:t>Existing situation and projections to 2030</w:t>
      </w:r>
    </w:p>
    <w:p w14:paraId="11E00E60" w14:textId="77777777" w:rsidR="00287D2D" w:rsidRPr="006122EE" w:rsidRDefault="00287D2D" w:rsidP="0082018A">
      <w:pPr>
        <w:spacing w:line="276" w:lineRule="auto"/>
        <w:ind w:left="1" w:firstLine="1"/>
        <w:rPr>
          <w:color w:val="auto"/>
          <w:szCs w:val="20"/>
        </w:rPr>
      </w:pPr>
      <w:r w:rsidRPr="006122EE">
        <w:rPr>
          <w:color w:val="auto"/>
          <w:szCs w:val="20"/>
        </w:rPr>
        <w:t>The SE4ALL initiative calls for at least doubling the EE rate in the country by 2030 and Malawi has already taken some steps towards achieving this overarching target.</w:t>
      </w:r>
    </w:p>
    <w:p w14:paraId="5B9426CE" w14:textId="77777777" w:rsidR="00287D2D" w:rsidRPr="00866D96" w:rsidRDefault="00287D2D" w:rsidP="0082018A">
      <w:pPr>
        <w:pStyle w:val="CSubtitle2"/>
        <w:spacing w:line="276" w:lineRule="auto"/>
        <w:rPr>
          <w:noProof w:val="0"/>
          <w:lang w:val="en-GB"/>
        </w:rPr>
      </w:pPr>
      <w:r w:rsidRPr="00866D96">
        <w:rPr>
          <w:noProof w:val="0"/>
          <w:lang w:val="en-GB"/>
        </w:rPr>
        <w:t>Tariff development</w:t>
      </w:r>
    </w:p>
    <w:p w14:paraId="5DA193F0" w14:textId="77777777" w:rsidR="00D713E2" w:rsidRPr="006122EE" w:rsidRDefault="00287D2D" w:rsidP="0082018A">
      <w:pPr>
        <w:spacing w:line="276" w:lineRule="auto"/>
        <w:ind w:left="1" w:firstLine="1"/>
        <w:rPr>
          <w:color w:val="auto"/>
          <w:szCs w:val="20"/>
        </w:rPr>
      </w:pPr>
      <w:r w:rsidRPr="006122EE">
        <w:rPr>
          <w:color w:val="auto"/>
          <w:szCs w:val="20"/>
        </w:rPr>
        <w:t xml:space="preserve">For many years the electricity consumers in Malawi enjoyed well-subsidized tariffs, rendering the EE related investments highly unprofitable. In November 2009, MERA approved a 56.2% increase in electricity tariffs to cover four years between 2010 and 2013; the increase was implemented in two stages with a 36% increase taking place in December 2009 and a second hike of 20.2% (relative to the electricity tariff levels prevailing at the time, which effectively translated into a cumulative tariff increase of 61 percent) implemented in January 2011. In 2009, a time-of-use tariff was introduced for commercial and industrial customers on three-phase supply. Several other electricity rate hikes took place in recent years, the most recent one in November 2015, but due to the local currency devaluation the tariff is very low compared to the regional and international standards. </w:t>
      </w:r>
      <w:r w:rsidR="00D713E2" w:rsidRPr="006122EE">
        <w:rPr>
          <w:color w:val="auto"/>
          <w:szCs w:val="20"/>
        </w:rPr>
        <w:t>. To further encourage energy consumers (especially different from households) to implement EE measures, the MERA may consider the idea of introducing an inclining block tariff structure for such users (industrial, commercial entities). Implementation of inclining block tariff will, however, require a national EE audit or rigorous survey to establish baseline consumption for different types of consumers and adequately set the pricing blocks.</w:t>
      </w:r>
    </w:p>
    <w:p w14:paraId="1AB535A2" w14:textId="77777777" w:rsidR="00287D2D" w:rsidRPr="006122EE" w:rsidRDefault="00287D2D" w:rsidP="0082018A">
      <w:pPr>
        <w:spacing w:line="276" w:lineRule="auto"/>
        <w:ind w:left="1" w:firstLine="1"/>
        <w:rPr>
          <w:color w:val="auto"/>
          <w:szCs w:val="20"/>
        </w:rPr>
      </w:pPr>
      <w:r w:rsidRPr="006122EE">
        <w:rPr>
          <w:color w:val="auto"/>
          <w:szCs w:val="20"/>
        </w:rPr>
        <w:t>The table below shows the current tariff rates by type of client. The MKW/USD exchange rate used is the market rate as of 11.02.2016</w:t>
      </w:r>
    </w:p>
    <w:p w14:paraId="34D73A5B" w14:textId="77777777" w:rsidR="00287D2D" w:rsidRPr="006122EE" w:rsidRDefault="00287D2D" w:rsidP="00B509DD">
      <w:pPr>
        <w:pStyle w:val="Caption"/>
      </w:pPr>
      <w:bookmarkStart w:id="231" w:name="_Toc481615008"/>
      <w:r w:rsidRPr="006122EE">
        <w:t xml:space="preserve">Table </w:t>
      </w:r>
      <w:r w:rsidR="00DC7D8C">
        <w:fldChar w:fldCharType="begin"/>
      </w:r>
      <w:r w:rsidR="00DC7D8C">
        <w:instrText xml:space="preserve"> SEQ Table \* ARABIC </w:instrText>
      </w:r>
      <w:r w:rsidR="00DC7D8C">
        <w:fldChar w:fldCharType="separate"/>
      </w:r>
      <w:r w:rsidR="00866D96">
        <w:rPr>
          <w:noProof/>
        </w:rPr>
        <w:t>23</w:t>
      </w:r>
      <w:r w:rsidR="00DC7D8C">
        <w:rPr>
          <w:noProof/>
        </w:rPr>
        <w:fldChar w:fldCharType="end"/>
      </w:r>
      <w:r w:rsidRPr="00866D96">
        <w:t>:</w:t>
      </w:r>
      <w:r w:rsidRPr="006122EE">
        <w:t xml:space="preserve"> ESCOM current electricity tariff</w:t>
      </w:r>
      <w:bookmarkEnd w:id="231"/>
    </w:p>
    <w:tbl>
      <w:tblPr>
        <w:tblStyle w:val="GridTable4-Accent31"/>
        <w:tblW w:w="0" w:type="auto"/>
        <w:tblLook w:val="04A0" w:firstRow="1" w:lastRow="0" w:firstColumn="1" w:lastColumn="0" w:noHBand="0" w:noVBand="1"/>
      </w:tblPr>
      <w:tblGrid>
        <w:gridCol w:w="2359"/>
        <w:gridCol w:w="2341"/>
        <w:gridCol w:w="2345"/>
        <w:gridCol w:w="2349"/>
      </w:tblGrid>
      <w:tr w:rsidR="00287D2D" w:rsidRPr="006122EE" w14:paraId="52162BFC"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E678DE" w14:textId="77777777" w:rsidR="00287D2D" w:rsidRPr="006122EE" w:rsidRDefault="00287D2D" w:rsidP="00B509DD">
            <w:pPr>
              <w:jc w:val="left"/>
              <w:rPr>
                <w:szCs w:val="20"/>
              </w:rPr>
            </w:pPr>
            <w:r w:rsidRPr="006122EE">
              <w:rPr>
                <w:szCs w:val="20"/>
              </w:rPr>
              <w:t>Type of client</w:t>
            </w:r>
          </w:p>
        </w:tc>
        <w:tc>
          <w:tcPr>
            <w:tcW w:w="2405" w:type="dxa"/>
          </w:tcPr>
          <w:p w14:paraId="07B7C541" w14:textId="77777777" w:rsidR="00287D2D" w:rsidRPr="006122EE" w:rsidRDefault="00287D2D" w:rsidP="00B509DD">
            <w:pPr>
              <w:jc w:val="left"/>
              <w:cnfStyle w:val="100000000000" w:firstRow="1" w:lastRow="0" w:firstColumn="0" w:lastColumn="0" w:oddVBand="0" w:evenVBand="0" w:oddHBand="0" w:evenHBand="0" w:firstRowFirstColumn="0" w:firstRowLastColumn="0" w:lastRowFirstColumn="0" w:lastRowLastColumn="0"/>
              <w:rPr>
                <w:szCs w:val="20"/>
              </w:rPr>
            </w:pPr>
            <w:r w:rsidRPr="006122EE">
              <w:rPr>
                <w:szCs w:val="20"/>
              </w:rPr>
              <w:t>Unit</w:t>
            </w:r>
          </w:p>
        </w:tc>
        <w:tc>
          <w:tcPr>
            <w:tcW w:w="2405" w:type="dxa"/>
          </w:tcPr>
          <w:p w14:paraId="3016F19B" w14:textId="77777777" w:rsidR="00287D2D" w:rsidRPr="006122EE" w:rsidRDefault="00287D2D" w:rsidP="00B509DD">
            <w:pPr>
              <w:jc w:val="left"/>
              <w:cnfStyle w:val="100000000000" w:firstRow="1" w:lastRow="0" w:firstColumn="0" w:lastColumn="0" w:oddVBand="0" w:evenVBand="0" w:oddHBand="0" w:evenHBand="0" w:firstRowFirstColumn="0" w:firstRowLastColumn="0" w:lastRowFirstColumn="0" w:lastRowLastColumn="0"/>
              <w:rPr>
                <w:szCs w:val="20"/>
              </w:rPr>
            </w:pPr>
            <w:r w:rsidRPr="006122EE">
              <w:rPr>
                <w:szCs w:val="20"/>
              </w:rPr>
              <w:t>Price in MWK</w:t>
            </w:r>
          </w:p>
        </w:tc>
        <w:tc>
          <w:tcPr>
            <w:tcW w:w="2405" w:type="dxa"/>
          </w:tcPr>
          <w:p w14:paraId="7B3F9A7A" w14:textId="77777777" w:rsidR="00287D2D" w:rsidRPr="006122EE" w:rsidRDefault="00287D2D" w:rsidP="00B509DD">
            <w:pPr>
              <w:jc w:val="left"/>
              <w:cnfStyle w:val="100000000000" w:firstRow="1" w:lastRow="0" w:firstColumn="0" w:lastColumn="0" w:oddVBand="0" w:evenVBand="0" w:oddHBand="0" w:evenHBand="0" w:firstRowFirstColumn="0" w:firstRowLastColumn="0" w:lastRowFirstColumn="0" w:lastRowLastColumn="0"/>
              <w:rPr>
                <w:szCs w:val="20"/>
              </w:rPr>
            </w:pPr>
            <w:r w:rsidRPr="006122EE">
              <w:rPr>
                <w:szCs w:val="20"/>
              </w:rPr>
              <w:t>Price in USD</w:t>
            </w:r>
          </w:p>
        </w:tc>
      </w:tr>
      <w:tr w:rsidR="00287D2D" w:rsidRPr="006122EE" w14:paraId="2520AE95"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A25184" w14:textId="77777777" w:rsidR="00287D2D" w:rsidRPr="006122EE" w:rsidRDefault="00287D2D" w:rsidP="00B509DD">
            <w:pPr>
              <w:jc w:val="left"/>
              <w:rPr>
                <w:b w:val="0"/>
                <w:color w:val="auto"/>
                <w:szCs w:val="20"/>
              </w:rPr>
            </w:pPr>
            <w:r w:rsidRPr="006122EE">
              <w:rPr>
                <w:color w:val="auto"/>
                <w:szCs w:val="20"/>
              </w:rPr>
              <w:t>Domestic single phase prepaid</w:t>
            </w:r>
          </w:p>
        </w:tc>
        <w:tc>
          <w:tcPr>
            <w:tcW w:w="2405" w:type="dxa"/>
          </w:tcPr>
          <w:p w14:paraId="691E0F2A"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kWh</w:t>
            </w:r>
          </w:p>
        </w:tc>
        <w:tc>
          <w:tcPr>
            <w:tcW w:w="2405" w:type="dxa"/>
          </w:tcPr>
          <w:p w14:paraId="4138B2C6"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29.43</w:t>
            </w:r>
          </w:p>
        </w:tc>
        <w:tc>
          <w:tcPr>
            <w:tcW w:w="2405" w:type="dxa"/>
          </w:tcPr>
          <w:p w14:paraId="372F1AB7"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0.0397</w:t>
            </w:r>
          </w:p>
        </w:tc>
      </w:tr>
      <w:tr w:rsidR="00287D2D" w:rsidRPr="006122EE" w14:paraId="081740FA" w14:textId="77777777" w:rsidTr="00B509DD">
        <w:tc>
          <w:tcPr>
            <w:cnfStyle w:val="001000000000" w:firstRow="0" w:lastRow="0" w:firstColumn="1" w:lastColumn="0" w:oddVBand="0" w:evenVBand="0" w:oddHBand="0" w:evenHBand="0" w:firstRowFirstColumn="0" w:firstRowLastColumn="0" w:lastRowFirstColumn="0" w:lastRowLastColumn="0"/>
            <w:tcW w:w="2405" w:type="dxa"/>
          </w:tcPr>
          <w:p w14:paraId="71D64445" w14:textId="77777777" w:rsidR="00287D2D" w:rsidRPr="006122EE" w:rsidRDefault="00287D2D" w:rsidP="00B509DD">
            <w:pPr>
              <w:jc w:val="left"/>
              <w:rPr>
                <w:b w:val="0"/>
                <w:color w:val="auto"/>
                <w:szCs w:val="20"/>
              </w:rPr>
            </w:pPr>
            <w:r w:rsidRPr="006122EE">
              <w:rPr>
                <w:color w:val="auto"/>
                <w:szCs w:val="20"/>
              </w:rPr>
              <w:t>Domestic single phase post</w:t>
            </w:r>
            <w:r w:rsidR="00D713E2" w:rsidRPr="006122EE">
              <w:rPr>
                <w:color w:val="auto"/>
                <w:szCs w:val="20"/>
              </w:rPr>
              <w:t>-</w:t>
            </w:r>
            <w:r w:rsidRPr="006122EE">
              <w:rPr>
                <w:color w:val="auto"/>
                <w:szCs w:val="20"/>
              </w:rPr>
              <w:t>paid</w:t>
            </w:r>
          </w:p>
        </w:tc>
        <w:tc>
          <w:tcPr>
            <w:tcW w:w="2405" w:type="dxa"/>
          </w:tcPr>
          <w:p w14:paraId="44060978"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kWh</w:t>
            </w:r>
          </w:p>
        </w:tc>
        <w:tc>
          <w:tcPr>
            <w:tcW w:w="2405" w:type="dxa"/>
          </w:tcPr>
          <w:p w14:paraId="36A62AEB"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25.48</w:t>
            </w:r>
          </w:p>
        </w:tc>
        <w:tc>
          <w:tcPr>
            <w:tcW w:w="2405" w:type="dxa"/>
          </w:tcPr>
          <w:p w14:paraId="1FC9498C"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0.0343</w:t>
            </w:r>
          </w:p>
        </w:tc>
      </w:tr>
      <w:tr w:rsidR="00287D2D" w:rsidRPr="006122EE" w14:paraId="05F79E7D"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246460" w14:textId="77777777" w:rsidR="00287D2D" w:rsidRPr="006122EE" w:rsidRDefault="00287D2D" w:rsidP="00B509DD">
            <w:pPr>
              <w:jc w:val="left"/>
              <w:rPr>
                <w:b w:val="0"/>
                <w:color w:val="auto"/>
                <w:szCs w:val="20"/>
              </w:rPr>
            </w:pPr>
            <w:r w:rsidRPr="006122EE">
              <w:rPr>
                <w:color w:val="auto"/>
                <w:szCs w:val="20"/>
              </w:rPr>
              <w:t>General single phase prepaid</w:t>
            </w:r>
          </w:p>
        </w:tc>
        <w:tc>
          <w:tcPr>
            <w:tcW w:w="2405" w:type="dxa"/>
          </w:tcPr>
          <w:p w14:paraId="322BA180"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kWh</w:t>
            </w:r>
          </w:p>
        </w:tc>
        <w:tc>
          <w:tcPr>
            <w:tcW w:w="2405" w:type="dxa"/>
          </w:tcPr>
          <w:p w14:paraId="4EDF7142"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50.67</w:t>
            </w:r>
          </w:p>
        </w:tc>
        <w:tc>
          <w:tcPr>
            <w:tcW w:w="2405" w:type="dxa"/>
          </w:tcPr>
          <w:p w14:paraId="6D08CEEF"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0.0683</w:t>
            </w:r>
          </w:p>
        </w:tc>
      </w:tr>
      <w:tr w:rsidR="00287D2D" w:rsidRPr="006122EE" w14:paraId="5923D1FC" w14:textId="77777777" w:rsidTr="00B509DD">
        <w:tc>
          <w:tcPr>
            <w:cnfStyle w:val="001000000000" w:firstRow="0" w:lastRow="0" w:firstColumn="1" w:lastColumn="0" w:oddVBand="0" w:evenVBand="0" w:oddHBand="0" w:evenHBand="0" w:firstRowFirstColumn="0" w:firstRowLastColumn="0" w:lastRowFirstColumn="0" w:lastRowLastColumn="0"/>
            <w:tcW w:w="2405" w:type="dxa"/>
          </w:tcPr>
          <w:p w14:paraId="0787D809" w14:textId="77777777" w:rsidR="00287D2D" w:rsidRPr="006122EE" w:rsidRDefault="00287D2D" w:rsidP="00B509DD">
            <w:pPr>
              <w:jc w:val="left"/>
              <w:rPr>
                <w:b w:val="0"/>
                <w:color w:val="auto"/>
                <w:szCs w:val="20"/>
              </w:rPr>
            </w:pPr>
            <w:r w:rsidRPr="006122EE">
              <w:rPr>
                <w:color w:val="auto"/>
                <w:szCs w:val="20"/>
              </w:rPr>
              <w:t>General single phase post</w:t>
            </w:r>
            <w:r w:rsidR="00D713E2" w:rsidRPr="006122EE">
              <w:rPr>
                <w:color w:val="auto"/>
                <w:szCs w:val="20"/>
              </w:rPr>
              <w:t>-</w:t>
            </w:r>
            <w:r w:rsidRPr="006122EE">
              <w:rPr>
                <w:color w:val="auto"/>
                <w:szCs w:val="20"/>
              </w:rPr>
              <w:t>paid</w:t>
            </w:r>
          </w:p>
        </w:tc>
        <w:tc>
          <w:tcPr>
            <w:tcW w:w="2405" w:type="dxa"/>
          </w:tcPr>
          <w:p w14:paraId="017794B6"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kWh</w:t>
            </w:r>
          </w:p>
        </w:tc>
        <w:tc>
          <w:tcPr>
            <w:tcW w:w="2405" w:type="dxa"/>
          </w:tcPr>
          <w:p w14:paraId="6390A983"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60.80</w:t>
            </w:r>
          </w:p>
        </w:tc>
        <w:tc>
          <w:tcPr>
            <w:tcW w:w="2405" w:type="dxa"/>
          </w:tcPr>
          <w:p w14:paraId="3FC3E48D"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0.0819</w:t>
            </w:r>
          </w:p>
        </w:tc>
      </w:tr>
      <w:tr w:rsidR="00287D2D" w:rsidRPr="006122EE" w14:paraId="04069852"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3B8571" w14:textId="77777777" w:rsidR="00287D2D" w:rsidRPr="006122EE" w:rsidRDefault="00287D2D" w:rsidP="00B509DD">
            <w:pPr>
              <w:jc w:val="left"/>
              <w:rPr>
                <w:b w:val="0"/>
                <w:color w:val="auto"/>
                <w:szCs w:val="20"/>
              </w:rPr>
            </w:pPr>
            <w:r w:rsidRPr="006122EE">
              <w:rPr>
                <w:color w:val="auto"/>
                <w:szCs w:val="20"/>
              </w:rPr>
              <w:t>General three phase prepaid</w:t>
            </w:r>
          </w:p>
        </w:tc>
        <w:tc>
          <w:tcPr>
            <w:tcW w:w="2405" w:type="dxa"/>
          </w:tcPr>
          <w:p w14:paraId="5C7B122C"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kWh</w:t>
            </w:r>
          </w:p>
        </w:tc>
        <w:tc>
          <w:tcPr>
            <w:tcW w:w="2405" w:type="dxa"/>
          </w:tcPr>
          <w:p w14:paraId="7874FED1"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53.19</w:t>
            </w:r>
          </w:p>
        </w:tc>
        <w:tc>
          <w:tcPr>
            <w:tcW w:w="2405" w:type="dxa"/>
          </w:tcPr>
          <w:p w14:paraId="3B609A27" w14:textId="77777777" w:rsidR="00287D2D" w:rsidRPr="006122EE" w:rsidRDefault="00287D2D" w:rsidP="00B509DD">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6122EE">
              <w:rPr>
                <w:color w:val="auto"/>
                <w:szCs w:val="20"/>
              </w:rPr>
              <w:t>0.0717</w:t>
            </w:r>
          </w:p>
        </w:tc>
      </w:tr>
      <w:tr w:rsidR="00287D2D" w:rsidRPr="006122EE" w14:paraId="54FE7D73" w14:textId="77777777" w:rsidTr="00B509DD">
        <w:tc>
          <w:tcPr>
            <w:cnfStyle w:val="001000000000" w:firstRow="0" w:lastRow="0" w:firstColumn="1" w:lastColumn="0" w:oddVBand="0" w:evenVBand="0" w:oddHBand="0" w:evenHBand="0" w:firstRowFirstColumn="0" w:firstRowLastColumn="0" w:lastRowFirstColumn="0" w:lastRowLastColumn="0"/>
            <w:tcW w:w="2405" w:type="dxa"/>
          </w:tcPr>
          <w:p w14:paraId="0C0E4694" w14:textId="77777777" w:rsidR="00287D2D" w:rsidRPr="006122EE" w:rsidRDefault="00287D2D" w:rsidP="00B509DD">
            <w:pPr>
              <w:jc w:val="left"/>
              <w:rPr>
                <w:b w:val="0"/>
                <w:color w:val="auto"/>
                <w:szCs w:val="20"/>
              </w:rPr>
            </w:pPr>
            <w:r w:rsidRPr="006122EE">
              <w:rPr>
                <w:color w:val="auto"/>
                <w:szCs w:val="20"/>
              </w:rPr>
              <w:t>General three phase post-paid</w:t>
            </w:r>
          </w:p>
        </w:tc>
        <w:tc>
          <w:tcPr>
            <w:tcW w:w="2405" w:type="dxa"/>
          </w:tcPr>
          <w:p w14:paraId="1AB64581"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kWh</w:t>
            </w:r>
          </w:p>
        </w:tc>
        <w:tc>
          <w:tcPr>
            <w:tcW w:w="2405" w:type="dxa"/>
          </w:tcPr>
          <w:p w14:paraId="5D952002"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50.67</w:t>
            </w:r>
          </w:p>
        </w:tc>
        <w:tc>
          <w:tcPr>
            <w:tcW w:w="2405" w:type="dxa"/>
          </w:tcPr>
          <w:p w14:paraId="3CF9C4C5" w14:textId="77777777" w:rsidR="00287D2D" w:rsidRPr="006122EE" w:rsidRDefault="00287D2D" w:rsidP="00B509DD">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6122EE">
              <w:rPr>
                <w:color w:val="auto"/>
                <w:szCs w:val="20"/>
              </w:rPr>
              <w:t>0.0683</w:t>
            </w:r>
          </w:p>
        </w:tc>
      </w:tr>
    </w:tbl>
    <w:p w14:paraId="421F9459" w14:textId="77777777" w:rsidR="00287D2D" w:rsidRPr="006122EE" w:rsidRDefault="00287D2D" w:rsidP="00B509DD">
      <w:pPr>
        <w:pStyle w:val="CSubtitle2"/>
        <w:rPr>
          <w:noProof w:val="0"/>
          <w:lang w:val="en-GB"/>
        </w:rPr>
      </w:pPr>
      <w:r w:rsidRPr="006122EE">
        <w:rPr>
          <w:noProof w:val="0"/>
          <w:lang w:val="en-GB"/>
        </w:rPr>
        <w:t>Clean cook stoves initiatives</w:t>
      </w:r>
    </w:p>
    <w:p w14:paraId="508ADF91" w14:textId="77777777" w:rsidR="00287D2D" w:rsidRPr="006122EE" w:rsidRDefault="00287D2D" w:rsidP="0082018A">
      <w:pPr>
        <w:spacing w:line="276" w:lineRule="auto"/>
        <w:ind w:left="1" w:firstLine="1"/>
        <w:rPr>
          <w:color w:val="auto"/>
          <w:szCs w:val="20"/>
        </w:rPr>
      </w:pPr>
      <w:r w:rsidRPr="006122EE">
        <w:rPr>
          <w:color w:val="auto"/>
          <w:szCs w:val="20"/>
        </w:rPr>
        <w:t>With the cooking being the most energy consuming household activity, a number of improved cook stoves promotion projects were carried out throughout the country over the past years. According to the National Energy Strategy of 2003 an improved cook stove may reduce biomass consumption between 10% to about 61% depending on the technology compared to the traditional three stone open fire method of cooking.</w:t>
      </w:r>
    </w:p>
    <w:p w14:paraId="7AAF9138" w14:textId="77777777" w:rsidR="00287D2D" w:rsidRPr="00866D96" w:rsidRDefault="00287D2D" w:rsidP="0082018A">
      <w:pPr>
        <w:pStyle w:val="DBulletlevel1"/>
        <w:spacing w:line="276" w:lineRule="auto"/>
        <w:rPr>
          <w:noProof w:val="0"/>
        </w:rPr>
      </w:pPr>
      <w:r w:rsidRPr="00866D96">
        <w:rPr>
          <w:noProof w:val="0"/>
        </w:rPr>
        <w:t xml:space="preserve">Chinansi Foundation Improved Cook stoves project: the project financed by Fair Climate Network Southern Africa aims at reducing the deforestation rate in the climate change vulnerable Balaka district by rolling out about 60,000 improved cook stoves (called mtetezi mbaula) among local families. The seven years project is expected to deliver multiple environmental benefits. Not only will it reduce the deforestation rate by bringing down the quantity of firewood used for cooking, but will also create a healthier kitchen environment in the district. The implementation of this initiative will positively affect the local business environment, since the efficient stoves will be produced by local craftsmen who will be trained under the project. </w:t>
      </w:r>
    </w:p>
    <w:p w14:paraId="3C62FF7D" w14:textId="77777777" w:rsidR="00287D2D" w:rsidRPr="00866D96" w:rsidRDefault="00287D2D" w:rsidP="0082018A">
      <w:pPr>
        <w:pStyle w:val="DBulletlevel1"/>
        <w:spacing w:line="276" w:lineRule="auto"/>
        <w:rPr>
          <w:noProof w:val="0"/>
        </w:rPr>
      </w:pPr>
      <w:r w:rsidRPr="00866D96">
        <w:rPr>
          <w:noProof w:val="0"/>
        </w:rPr>
        <w:t>EnDev / MAEVE energy conservation Malawi project. MAEVE is a Malawian NGO whose main domain of activity is promoting the uptake of fuel efficient and clean technologies across the country. After receiving a grant from Energizing Development (EnDev) MAEVE has launched a project in 2013 aiming to promote the Chitetezo Mbaula stove among urban households. Relative to the three stone fire the Chitetezo stoves decrease fuel use by 34%</w:t>
      </w:r>
      <w:r w:rsidR="003B16C1" w:rsidRPr="00866D96">
        <w:rPr>
          <w:noProof w:val="0"/>
        </w:rPr>
        <w:t>.</w:t>
      </w:r>
      <w:r w:rsidRPr="00866D96">
        <w:rPr>
          <w:noProof w:val="0"/>
        </w:rPr>
        <w:t xml:space="preserve"> The project involves carrying out measures to strengthen both the supply and the demand side. Demand-side activities focus on generating greater consumer interest in the ceramic, wood-burning stove known locally as the ‘Chitetezo Mbaula’. On the supply side, the project partners provide training and skills for the craftsmen who produce the stove.To successfully achieve its targets, MAEVE developed a network of vendors in all urban centres ensuring availability of the product countrywide and ease of access for those who wish to buy. Maeve has engaged one of the major local retailers, Chipiku Stores, who have over 80 outlets nationwide to be one of their distributors of the stove. The initial objective of the initiative that started in 2013 was to reach at least 28 000 households within the first 15 months of the project. Early stage results indicate that by December 2014, nearly 93,654 people had gained access to improved forms of energy for cooking. The number of stoves manufactured by around 50 producer groups and subsequently sold through sales channels introduced by EnDev has risen to 8,000 each month, which is much more than the initially anticipated uptake pace. The end goal of the project is to provide access to clean cooking to some 625,000 people countrywide by the end of 2016. The planned measures are expected to reduce exposure to smoke – mainly among women and children – in 140,000 urban households, and reduce deforestation by saving 65,000 tonnes of wood.</w:t>
      </w:r>
    </w:p>
    <w:p w14:paraId="3CF038D9" w14:textId="77777777" w:rsidR="00287D2D" w:rsidRPr="00866D96" w:rsidRDefault="00287D2D" w:rsidP="0082018A">
      <w:pPr>
        <w:pStyle w:val="DBulletlevel1"/>
        <w:spacing w:line="276" w:lineRule="auto"/>
        <w:rPr>
          <w:noProof w:val="0"/>
        </w:rPr>
      </w:pPr>
      <w:r w:rsidRPr="00866D96">
        <w:rPr>
          <w:noProof w:val="0"/>
        </w:rPr>
        <w:t>The Cook stoves road map, currently developed and promoted by the GoM will roll out 2 million efficient stoves to both rural and urban households by 2020. The initiative recently launched by the President will be carried out in collaboration with international development partners (the governments of US and Ireland among others) and local NGOs</w:t>
      </w:r>
      <w:r w:rsidR="003B16C1" w:rsidRPr="00866D96">
        <w:rPr>
          <w:noProof w:val="0"/>
        </w:rPr>
        <w:t>.</w:t>
      </w:r>
      <w:r w:rsidRPr="00866D96">
        <w:rPr>
          <w:noProof w:val="0"/>
        </w:rPr>
        <w:t xml:space="preserve"> This is part of the country’s commitment as a signatory to the Global Alliance on clean cook stoves which aims at adoption of clean cook stoves by 100 million households by 2020 worldwide.</w:t>
      </w:r>
    </w:p>
    <w:p w14:paraId="66C1BFE3" w14:textId="77777777" w:rsidR="00287D2D" w:rsidRPr="006122EE" w:rsidRDefault="00287D2D" w:rsidP="00B509DD">
      <w:pPr>
        <w:pStyle w:val="CSubtitle2"/>
        <w:rPr>
          <w:noProof w:val="0"/>
          <w:lang w:val="en-GB"/>
        </w:rPr>
      </w:pPr>
      <w:r w:rsidRPr="006122EE">
        <w:rPr>
          <w:noProof w:val="0"/>
          <w:lang w:val="en-GB"/>
        </w:rPr>
        <w:t xml:space="preserve">Lighting </w:t>
      </w:r>
    </w:p>
    <w:p w14:paraId="31EB4640" w14:textId="77777777" w:rsidR="00287D2D" w:rsidRPr="006122EE" w:rsidRDefault="00287D2D" w:rsidP="0082018A">
      <w:pPr>
        <w:pStyle w:val="CSubtitle3"/>
        <w:spacing w:line="276" w:lineRule="auto"/>
        <w:rPr>
          <w:b/>
          <w:u w:val="none"/>
        </w:rPr>
      </w:pPr>
      <w:r w:rsidRPr="006122EE">
        <w:rPr>
          <w:b/>
          <w:u w:val="none"/>
        </w:rPr>
        <w:t xml:space="preserve">The Malawi Energy Efficient Lighting Project </w:t>
      </w:r>
    </w:p>
    <w:p w14:paraId="29F2D679" w14:textId="77777777" w:rsidR="00287D2D" w:rsidRPr="006122EE" w:rsidRDefault="00287D2D" w:rsidP="0082018A">
      <w:pPr>
        <w:spacing w:line="276" w:lineRule="auto"/>
        <w:ind w:left="1" w:firstLine="1"/>
        <w:rPr>
          <w:color w:val="auto"/>
          <w:szCs w:val="20"/>
        </w:rPr>
      </w:pPr>
      <w:r w:rsidRPr="006122EE">
        <w:rPr>
          <w:color w:val="auto"/>
          <w:szCs w:val="20"/>
        </w:rPr>
        <w:t>In an effort to curb the overall system peak demand of ESCOM, the Government of Malawi (GoM) through the Ministry of Natural Resources, Energy and Mining has implemented the Energy Efficient Lighting Project (EELP) with support from the UK Department for International Development (DfID). The project started in April 2011 with the overarching goal to roll out two million units of good quality compact fluorescent lamps (CFLs) and replace the previously used incandescent bulbs (IBs). The CFLs were targeted to be distributed and installed free of charge to the residential household customers, small businesses and public buildings, while the commercial sector entities were granted the opportunity to buy energy saving bulbs at subsidized price. The project’s outcomes were verified by measurements taken directly from 17 feeders nationwide, and indicate 65 MW reductions of peak demand during morning spikes, and 51 MW during the evening period. This decrease - which equates to 20% and 15% respectively - has helped reduce power outages during both peak periods. The project sparked real interest in energy savers among the consumers as ESCOM reported to have sold over 330 000 efficient bulbs in addition to those that were handed out for free.</w:t>
      </w:r>
    </w:p>
    <w:p w14:paraId="641AB5E6" w14:textId="77777777" w:rsidR="00287D2D" w:rsidRPr="006122EE" w:rsidRDefault="00287D2D" w:rsidP="0082018A">
      <w:pPr>
        <w:spacing w:line="276" w:lineRule="auto"/>
        <w:rPr>
          <w:color w:val="auto"/>
          <w:szCs w:val="20"/>
        </w:rPr>
      </w:pPr>
      <w:r w:rsidRPr="006122EE">
        <w:rPr>
          <w:color w:val="auto"/>
          <w:szCs w:val="20"/>
        </w:rPr>
        <w:t xml:space="preserve">By the end of 2016 </w:t>
      </w:r>
      <w:r w:rsidRPr="006122EE">
        <w:rPr>
          <w:color w:val="auto"/>
          <w:szCs w:val="20"/>
        </w:rPr>
        <w:tab/>
        <w:t>ESCOM is planning to distribute additional 400,000 energy efficient bulbs.</w:t>
      </w:r>
    </w:p>
    <w:p w14:paraId="6FC11F81" w14:textId="77777777" w:rsidR="00287D2D" w:rsidRPr="006122EE" w:rsidRDefault="00287D2D" w:rsidP="0082018A">
      <w:pPr>
        <w:pStyle w:val="CSubtitle3"/>
        <w:spacing w:line="276" w:lineRule="auto"/>
        <w:rPr>
          <w:b/>
          <w:u w:val="none"/>
        </w:rPr>
      </w:pPr>
      <w:r w:rsidRPr="006122EE">
        <w:rPr>
          <w:b/>
          <w:u w:val="none"/>
        </w:rPr>
        <w:t>Capital Hill Solar Street Lights Project</w:t>
      </w:r>
    </w:p>
    <w:p w14:paraId="5EE287BB" w14:textId="77777777" w:rsidR="00287D2D" w:rsidRPr="006122EE" w:rsidRDefault="00287D2D" w:rsidP="0082018A">
      <w:pPr>
        <w:spacing w:line="276" w:lineRule="auto"/>
        <w:rPr>
          <w:color w:val="auto"/>
          <w:szCs w:val="20"/>
        </w:rPr>
      </w:pPr>
      <w:r w:rsidRPr="006122EE">
        <w:rPr>
          <w:color w:val="auto"/>
          <w:szCs w:val="20"/>
        </w:rPr>
        <w:t xml:space="preserve">The Ministry of Natural Resources, Energy and Mining embarked on a project to install solar street lights at the Capital Hill with funding from People’s Republic of China. A total of 226 street lights have been installed in 2014. The project was mostly induced by security needs, but may serve as a showcase pilot for future larger scale street lighting projects in country`s major cities </w:t>
      </w:r>
    </w:p>
    <w:p w14:paraId="337DF21E" w14:textId="77777777" w:rsidR="00287D2D" w:rsidRPr="006122EE" w:rsidRDefault="00287D2D" w:rsidP="0082018A">
      <w:pPr>
        <w:pStyle w:val="CSubtitle2"/>
        <w:spacing w:line="276" w:lineRule="auto"/>
        <w:rPr>
          <w:noProof w:val="0"/>
          <w:lang w:val="en-GB"/>
        </w:rPr>
      </w:pPr>
      <w:r w:rsidRPr="006122EE">
        <w:rPr>
          <w:noProof w:val="0"/>
          <w:lang w:val="en-GB"/>
        </w:rPr>
        <w:t>Import tariff and fiscal incentives</w:t>
      </w:r>
    </w:p>
    <w:p w14:paraId="01BE32EF" w14:textId="77777777" w:rsidR="00287D2D" w:rsidRPr="006122EE" w:rsidRDefault="00287D2D" w:rsidP="0082018A">
      <w:pPr>
        <w:spacing w:line="276" w:lineRule="auto"/>
        <w:rPr>
          <w:color w:val="auto"/>
          <w:szCs w:val="20"/>
        </w:rPr>
      </w:pPr>
      <w:r w:rsidRPr="006122EE">
        <w:rPr>
          <w:color w:val="auto"/>
          <w:szCs w:val="20"/>
        </w:rPr>
        <w:t xml:space="preserve">The GoM has already taken some fiscal measures toward encouraging the local consumers to use more energy efficient products. To complement the efforts of the energy saving bulbs roll out project, the </w:t>
      </w:r>
      <w:r w:rsidR="00983ED1" w:rsidRPr="006122EE">
        <w:rPr>
          <w:color w:val="auto"/>
          <w:szCs w:val="20"/>
        </w:rPr>
        <w:t>g</w:t>
      </w:r>
      <w:r w:rsidRPr="006122EE">
        <w:rPr>
          <w:color w:val="auto"/>
          <w:szCs w:val="20"/>
        </w:rPr>
        <w:t xml:space="preserve">overnment has removed the excise duty on CFLs while doubling the duty on incandescent bulbs. Import duty and excise reliefs were also granted for certain types of solar powered products. </w:t>
      </w:r>
    </w:p>
    <w:p w14:paraId="78B4999E" w14:textId="77777777" w:rsidR="00287D2D" w:rsidRPr="006122EE" w:rsidRDefault="00287D2D" w:rsidP="0082018A">
      <w:pPr>
        <w:pStyle w:val="CSubtitle2"/>
        <w:spacing w:line="276" w:lineRule="auto"/>
        <w:rPr>
          <w:noProof w:val="0"/>
          <w:lang w:val="en-GB"/>
        </w:rPr>
      </w:pPr>
      <w:r w:rsidRPr="006122EE">
        <w:rPr>
          <w:noProof w:val="0"/>
          <w:lang w:val="en-GB"/>
        </w:rPr>
        <w:tab/>
        <w:t>Public awareness campaigns</w:t>
      </w:r>
    </w:p>
    <w:p w14:paraId="43763557" w14:textId="77777777" w:rsidR="00287D2D" w:rsidRPr="006122EE" w:rsidRDefault="00287D2D" w:rsidP="0082018A">
      <w:pPr>
        <w:spacing w:line="276" w:lineRule="auto"/>
        <w:ind w:left="1" w:firstLine="1"/>
        <w:rPr>
          <w:color w:val="auto"/>
          <w:szCs w:val="20"/>
        </w:rPr>
      </w:pPr>
      <w:r w:rsidRPr="006122EE">
        <w:t>The lack of awareness of the benefits associated with efficient energy use among the population was quoted as a major impediment for EE development by almost all local stakeholders. Unfortunately, too little has been done to sensitize the broad public on how to preserve energy over the recent years. A number of awareness raising initiatives have been carried out, usually as complementary component of some tangible EE projects (such as efficient light bulbs or clean stoves roll out), but with very limited impact. In a separate component to the Energy conservation project EnDev is running a national awareness campaign to support the wider take-up of high quality solar lighting products (solar lanterns and lighting kits), with a target of reaching 100,000 people, mainly in rural areas.</w:t>
      </w:r>
    </w:p>
    <w:p w14:paraId="28E92D96" w14:textId="77777777" w:rsidR="00287D2D" w:rsidRPr="006122EE" w:rsidRDefault="00287D2D" w:rsidP="0082018A">
      <w:pPr>
        <w:pStyle w:val="CSubtitle2"/>
        <w:spacing w:line="276" w:lineRule="auto"/>
        <w:rPr>
          <w:noProof w:val="0"/>
          <w:lang w:val="en-GB"/>
        </w:rPr>
      </w:pPr>
      <w:r w:rsidRPr="006122EE">
        <w:rPr>
          <w:noProof w:val="0"/>
          <w:lang w:val="en-GB"/>
        </w:rPr>
        <w:t>Prepaid meters</w:t>
      </w:r>
    </w:p>
    <w:p w14:paraId="1486AB50" w14:textId="77777777" w:rsidR="00287D2D" w:rsidRPr="006122EE" w:rsidRDefault="00287D2D" w:rsidP="0082018A">
      <w:pPr>
        <w:spacing w:line="276" w:lineRule="auto"/>
        <w:ind w:left="1" w:firstLine="1"/>
        <w:rPr>
          <w:color w:val="auto"/>
          <w:szCs w:val="20"/>
        </w:rPr>
      </w:pPr>
      <w:r w:rsidRPr="006122EE">
        <w:rPr>
          <w:color w:val="auto"/>
          <w:szCs w:val="20"/>
        </w:rPr>
        <w:t>Prepaid meters have some inherent Demand Side Management (DSM) features that improve energy efficiency for customers as they receive instant feedback on their energy usage, which prompts energy saving attitude. Impact assessments of pre-paid meter programs implemented in other South-African countries (e.g. Zimbabwe) show that a shift from post to pre-paid metering may inflict energy usage decrease as high as 22%. Since the start of its pre-paid meters program in 2011</w:t>
      </w:r>
      <w:r w:rsidR="003B16C1" w:rsidRPr="006122EE">
        <w:rPr>
          <w:color w:val="auto"/>
          <w:szCs w:val="20"/>
        </w:rPr>
        <w:t>,</w:t>
      </w:r>
      <w:r w:rsidRPr="006122EE">
        <w:rPr>
          <w:color w:val="auto"/>
          <w:szCs w:val="20"/>
        </w:rPr>
        <w:t xml:space="preserve"> ESCOM has achieved remarkable progress. The number of domestic consumers (the households account for over 90% of all ESCOM customers) with installed pre-paid meters surpassed 186,000 or nearly 60% of all grid connected clients. Nearly 105,000 (or 34% of all clients) households and around 22,000 industrial clients still use post-paid metering devices</w:t>
      </w:r>
      <w:r w:rsidRPr="006122EE">
        <w:rPr>
          <w:rStyle w:val="FootnoteReference"/>
          <w:color w:val="auto"/>
          <w:szCs w:val="20"/>
        </w:rPr>
        <w:footnoteReference w:id="49"/>
      </w:r>
      <w:r w:rsidRPr="006122EE">
        <w:rPr>
          <w:color w:val="auto"/>
          <w:szCs w:val="20"/>
        </w:rPr>
        <w:t>. Along with substantial energy savings, the pre-paid meters program may well improve ESCOM`s financial status, driving up the electricity bill collection rate.</w:t>
      </w:r>
    </w:p>
    <w:p w14:paraId="0D66CB0C" w14:textId="77777777" w:rsidR="00287D2D" w:rsidRPr="006122EE" w:rsidRDefault="00287D2D" w:rsidP="0082018A">
      <w:pPr>
        <w:pStyle w:val="CSubtitle2"/>
        <w:spacing w:line="276" w:lineRule="auto"/>
        <w:rPr>
          <w:noProof w:val="0"/>
          <w:lang w:val="en-GB"/>
        </w:rPr>
      </w:pPr>
      <w:r w:rsidRPr="006122EE">
        <w:rPr>
          <w:noProof w:val="0"/>
          <w:lang w:val="en-GB"/>
        </w:rPr>
        <w:t>Supply side projects</w:t>
      </w:r>
    </w:p>
    <w:p w14:paraId="3B883A91" w14:textId="77777777" w:rsidR="00287D2D" w:rsidRPr="006122EE" w:rsidRDefault="00287D2D" w:rsidP="0082018A">
      <w:pPr>
        <w:pStyle w:val="CSubtitle3"/>
        <w:spacing w:line="276" w:lineRule="auto"/>
        <w:rPr>
          <w:b/>
          <w:u w:val="none"/>
        </w:rPr>
      </w:pPr>
      <w:r w:rsidRPr="006122EE">
        <w:rPr>
          <w:b/>
          <w:u w:val="none"/>
        </w:rPr>
        <w:t>The WB Energy Sector Support Project</w:t>
      </w:r>
    </w:p>
    <w:p w14:paraId="743B90C8" w14:textId="77777777" w:rsidR="00287D2D" w:rsidRPr="006122EE" w:rsidRDefault="00287D2D" w:rsidP="0082018A">
      <w:pPr>
        <w:spacing w:line="276" w:lineRule="auto"/>
        <w:ind w:left="1" w:firstLine="1"/>
      </w:pPr>
      <w:r w:rsidRPr="006122EE">
        <w:t xml:space="preserve">In an effort to increase the reliability and quality of electricity supply in the major load centres in Malawi, </w:t>
      </w:r>
      <w:r w:rsidR="00983ED1" w:rsidRPr="006122EE">
        <w:t>th g</w:t>
      </w:r>
      <w:r w:rsidRPr="006122EE">
        <w:t>overnment, with support from World Bank, started implementing the Energy Sector Support Project. Rehabilitation of the existing electricity network, improved demand side management and energy efficiency measures, and capacity building activities are among the priority areas of the project. The total project amount is USD 84.7 million, of which the electricity network strengthening and expansion component accounts for the largest share (USD 56.2 million). The project is expected to reduce the level of distribution related losses from 17.4% to 13.4% over a period of 5 years (the project implementation started in 2012, but is expected to be delayed). A total of 5 substations will be upgraded and 26 km of distribution lines will be rehabilitated.</w:t>
      </w:r>
    </w:p>
    <w:p w14:paraId="2C2E4D22" w14:textId="77777777" w:rsidR="00287D2D" w:rsidRPr="006122EE" w:rsidRDefault="00287D2D" w:rsidP="0082018A">
      <w:pPr>
        <w:spacing w:line="276" w:lineRule="auto"/>
        <w:ind w:left="1" w:firstLine="1"/>
      </w:pPr>
      <w:r w:rsidRPr="006122EE">
        <w:t>The demand side management (DSM) and EE measures component is evaluated at USD 6.8 million</w:t>
      </w:r>
      <w:r w:rsidR="003B16C1" w:rsidRPr="006122EE">
        <w:t>.</w:t>
      </w:r>
      <w:r w:rsidRPr="006122EE">
        <w:t xml:space="preserve"> The activities of this component will aim at reducing the coincident load peaks by promoting energy saving technology and measures. The project will specifically address the electric hot water geysers (HWG). The blend of energy saving activities to be carried out include: i) de-rating of HWG heating elements to a limit of 2.5 kW via a free replacement program; ii) Installation of ”insulation blankets‟ via a free program to better insulate existing HWGs; iii) implementation of wireless load control, allowing ESCOM to remotely switch-off HWGs in given areas at given times. The component is expected to generate total estimated savings of 11 MW during peak hours. </w:t>
      </w:r>
    </w:p>
    <w:p w14:paraId="0751CA3A" w14:textId="77777777" w:rsidR="00287D2D" w:rsidRPr="006122EE" w:rsidRDefault="00287D2D" w:rsidP="0082018A">
      <w:pPr>
        <w:spacing w:line="276" w:lineRule="auto"/>
        <w:ind w:left="1" w:firstLine="1"/>
      </w:pPr>
      <w:r w:rsidRPr="006122EE">
        <w:t xml:space="preserve">The capacity building and technical assistance component will strengthen the technical capacity at the Ministry of Natural Resources, Energy and Mining as well as at ESCOM through a series of trainings and workshops. </w:t>
      </w:r>
    </w:p>
    <w:p w14:paraId="67C7C160" w14:textId="77777777" w:rsidR="00287D2D" w:rsidRPr="006122EE" w:rsidRDefault="00287D2D" w:rsidP="0082018A">
      <w:pPr>
        <w:pStyle w:val="CSubtitle3"/>
        <w:spacing w:line="276" w:lineRule="auto"/>
        <w:rPr>
          <w:b/>
        </w:rPr>
      </w:pPr>
      <w:r w:rsidRPr="006122EE">
        <w:rPr>
          <w:b/>
          <w:u w:val="none"/>
        </w:rPr>
        <w:t>Millennium Challenge Corporation – Malawi Power Sector Revitalization Project</w:t>
      </w:r>
    </w:p>
    <w:p w14:paraId="75526374" w14:textId="77777777" w:rsidR="00287D2D" w:rsidRPr="006122EE" w:rsidRDefault="00287D2D" w:rsidP="0082018A">
      <w:pPr>
        <w:spacing w:line="276" w:lineRule="auto"/>
        <w:ind w:left="1" w:firstLine="1"/>
      </w:pPr>
      <w:r w:rsidRPr="006122EE">
        <w:t>This 5 years project with intended value of over USD 350 million has started in 2013 and is still in its early stages with only USD 23 million of grant extended and USD 52 million committed. This is a single-sector program designed to increase incomes and reduce poverty by revitalizing Malawi’s power sector and improving the availability, reliability and quality of the power supply. It involves two priority areas: i) Infrastructure development and ii) Power sector reform. The Infrastructure development component will aim at preserving and stabilizing existing generation capacity, improving capacity and efficiency of the transmission and distribution network. The Power sector reform activity complements the Infrastructure development component by providing support for the GoM’s policy reform agenda and by building capacity in critical sector institutions. The activity will build capacity and provide technical assistance to the Electricity Supply Corporation of Malawi (ESCOM), the Malawi Energy Regulatory Authority (MERA) and the Ministry of Natural Resources, Energy and Mining.</w:t>
      </w:r>
    </w:p>
    <w:p w14:paraId="74BE4256" w14:textId="77777777" w:rsidR="00287D2D" w:rsidRPr="006122EE" w:rsidRDefault="00287D2D" w:rsidP="0082018A">
      <w:pPr>
        <w:pStyle w:val="CSubtitle2"/>
        <w:spacing w:line="276" w:lineRule="auto"/>
        <w:rPr>
          <w:noProof w:val="0"/>
          <w:lang w:val="en-GB"/>
        </w:rPr>
      </w:pPr>
      <w:r w:rsidRPr="006122EE">
        <w:rPr>
          <w:noProof w:val="0"/>
          <w:lang w:val="en-GB"/>
        </w:rPr>
        <w:t>Institutional</w:t>
      </w:r>
    </w:p>
    <w:p w14:paraId="4203DE58" w14:textId="77777777" w:rsidR="00287D2D" w:rsidRPr="006122EE" w:rsidRDefault="00287D2D" w:rsidP="0082018A">
      <w:pPr>
        <w:spacing w:line="276" w:lineRule="auto"/>
        <w:ind w:left="1" w:firstLine="1"/>
        <w:rPr>
          <w:rFonts w:ascii="Calibri" w:eastAsia="Calibri" w:hAnsi="Calibri"/>
          <w:b/>
          <w:color w:val="auto"/>
          <w:sz w:val="22"/>
          <w:szCs w:val="22"/>
          <w:lang w:eastAsia="en-US"/>
        </w:rPr>
      </w:pPr>
      <w:r w:rsidRPr="006122EE">
        <w:rPr>
          <w:color w:val="auto"/>
          <w:szCs w:val="20"/>
        </w:rPr>
        <w:t>Various national plans and programs generally have some reference to EE – the National Energy Strategy; Malawi`s Biomass Energy Strategy; Malawi`s Growth and Development strategy II, etc</w:t>
      </w:r>
      <w:r w:rsidRPr="006122EE">
        <w:rPr>
          <w:rFonts w:ascii="Calibri" w:eastAsia="Calibri" w:hAnsi="Calibri"/>
          <w:color w:val="auto"/>
          <w:sz w:val="22"/>
          <w:szCs w:val="22"/>
          <w:lang w:eastAsia="en-US"/>
        </w:rPr>
        <w:t>.:</w:t>
      </w:r>
    </w:p>
    <w:p w14:paraId="2975AE9C" w14:textId="77777777" w:rsidR="00287D2D" w:rsidRPr="00866D96" w:rsidRDefault="00287D2D" w:rsidP="0082018A">
      <w:pPr>
        <w:pStyle w:val="DBulletlevel1"/>
        <w:spacing w:line="276" w:lineRule="auto"/>
        <w:rPr>
          <w:noProof w:val="0"/>
        </w:rPr>
      </w:pPr>
      <w:r w:rsidRPr="00866D96">
        <w:rPr>
          <w:rFonts w:eastAsia="Calibri"/>
          <w:b/>
          <w:noProof w:val="0"/>
          <w:lang w:eastAsia="en-US"/>
        </w:rPr>
        <w:t xml:space="preserve">The Malawi Growth and Development Strategy II (MGDS II) </w:t>
      </w:r>
      <w:r w:rsidRPr="00866D96">
        <w:rPr>
          <w:noProof w:val="0"/>
        </w:rPr>
        <w:t>The Strategy acknowledges that a well-developed and efficient energy system is vital for socio-economic development and calls for development of efficient energy system in Malawi. Improving the management of energy generation, transmission, distribution and supply and promoting the use of renewable sources of energy are among the key strategies set forth in the MGD</w:t>
      </w:r>
      <w:r w:rsidR="003B16C1" w:rsidRPr="00866D96">
        <w:rPr>
          <w:noProof w:val="0"/>
        </w:rPr>
        <w:t>S</w:t>
      </w:r>
      <w:r w:rsidRPr="00866D96">
        <w:rPr>
          <w:noProof w:val="0"/>
        </w:rPr>
        <w:t xml:space="preserve"> II. Installation of smart meters on distribution feeders, review of the existing electricity master plan and rehabilitation of major hydropower stations and the transition and distribution network are among the focus actions and activities outlined in the Strategy.</w:t>
      </w:r>
    </w:p>
    <w:p w14:paraId="22B86BF1" w14:textId="77777777" w:rsidR="00287D2D" w:rsidRPr="00866D96" w:rsidRDefault="00287D2D" w:rsidP="0082018A">
      <w:pPr>
        <w:pStyle w:val="DBulletlevel1"/>
        <w:spacing w:line="276" w:lineRule="auto"/>
        <w:rPr>
          <w:noProof w:val="0"/>
        </w:rPr>
      </w:pPr>
      <w:r w:rsidRPr="00866D96">
        <w:rPr>
          <w:rFonts w:eastAsia="Calibri"/>
          <w:b/>
          <w:noProof w:val="0"/>
          <w:lang w:eastAsia="en-US"/>
        </w:rPr>
        <w:t xml:space="preserve">Malawi Energy Policy (NEP) of 2003 – currently under revision. </w:t>
      </w:r>
      <w:r w:rsidRPr="00866D96">
        <w:rPr>
          <w:noProof w:val="0"/>
        </w:rPr>
        <w:t xml:space="preserve">Acknowledging that the biomass is the major energy source and will remain so for the years to come, the NEP states that the GoM will encourage the efficient use of biomass through market pitching activities such as: i) promotion of efficient biomass use through civic education; ii) training and research in production, marketing and use of efficient technologies; iii) involvement of all stakeholders groups (incl. local communities) in producing and marketing efficient biomass technologies), etc.  </w:t>
      </w:r>
    </w:p>
    <w:p w14:paraId="1811CB27" w14:textId="77777777" w:rsidR="00287D2D" w:rsidRPr="00866D96" w:rsidRDefault="00287D2D" w:rsidP="0082018A">
      <w:pPr>
        <w:pStyle w:val="DBulletlevel1"/>
        <w:spacing w:line="276" w:lineRule="auto"/>
        <w:rPr>
          <w:b/>
          <w:noProof w:val="0"/>
        </w:rPr>
      </w:pPr>
      <w:r w:rsidRPr="00866D96">
        <w:rPr>
          <w:b/>
          <w:noProof w:val="0"/>
        </w:rPr>
        <w:t xml:space="preserve">Malawi Biomass </w:t>
      </w:r>
      <w:r w:rsidR="003B16C1" w:rsidRPr="00866D96">
        <w:rPr>
          <w:b/>
          <w:noProof w:val="0"/>
        </w:rPr>
        <w:t xml:space="preserve">Energy </w:t>
      </w:r>
      <w:r w:rsidRPr="00866D96">
        <w:rPr>
          <w:b/>
          <w:noProof w:val="0"/>
        </w:rPr>
        <w:t xml:space="preserve">Strategy (BEST) </w:t>
      </w:r>
      <w:r w:rsidRPr="00866D96">
        <w:rPr>
          <w:noProof w:val="0"/>
        </w:rPr>
        <w:t xml:space="preserve">aims at developing a rational and implementable approach to the management of Malawi’s biomass energy sector through a combination of measures designed to improve the sustainability of biomass energy supply, raise end-user efficiencies and promote appropriate alternatives. BEST provides detailed insight on both biomass energy demand and supply side, recommending a number of potential priority actions and measures to render the biomass energy consumption more efficient. Provided that the biomass is the major energy source in Malawi and is expected to remain so in the foreseeable future, this Strategy is a cornerstone national document in country`s aspirations towards efficient energy use. </w:t>
      </w:r>
    </w:p>
    <w:p w14:paraId="7DAB5F65" w14:textId="77777777" w:rsidR="00287D2D" w:rsidRPr="00866D96" w:rsidRDefault="00287D2D" w:rsidP="0082018A">
      <w:pPr>
        <w:pStyle w:val="DBulletlevel1"/>
        <w:spacing w:line="276" w:lineRule="auto"/>
        <w:rPr>
          <w:b/>
          <w:noProof w:val="0"/>
        </w:rPr>
      </w:pPr>
      <w:r w:rsidRPr="00866D96">
        <w:rPr>
          <w:b/>
          <w:noProof w:val="0"/>
        </w:rPr>
        <w:t>The National Climate Change Investment Plan 2013 – 2018(NCCIP):</w:t>
      </w:r>
      <w:r w:rsidRPr="00866D96">
        <w:rPr>
          <w:noProof w:val="0"/>
        </w:rPr>
        <w:t xml:space="preserve"> a complementary to the MGDS II this plan aims to create enabling environment for increase of the overall volume of climate change related investments in Malawi. The Plan identifies four priority areas to promote climate change management in Malawi: i) adaptation; ii) mitigation; iii) climate change research, technology development and transfer and iv) capacity building. NCCIP calls for the development of several climate change tackling programmes and initiatives with reference to EE:</w:t>
      </w:r>
    </w:p>
    <w:p w14:paraId="3277A9CB" w14:textId="77777777" w:rsidR="00287D2D" w:rsidRPr="006122EE" w:rsidRDefault="00287D2D" w:rsidP="0082018A">
      <w:pPr>
        <w:pStyle w:val="DBulletlevel2"/>
        <w:numPr>
          <w:ilvl w:val="2"/>
          <w:numId w:val="30"/>
        </w:numPr>
        <w:spacing w:line="276" w:lineRule="auto"/>
        <w:rPr>
          <w:b/>
        </w:rPr>
      </w:pPr>
      <w:r w:rsidRPr="006122EE">
        <w:rPr>
          <w:b/>
        </w:rPr>
        <w:t xml:space="preserve">Enhancing energy saving technology program </w:t>
      </w:r>
      <w:r w:rsidRPr="006122EE">
        <w:t xml:space="preserve">that focuses on enhancing capacity for low emission development strategies (EC-LEDS) to pursue long-term, transformative </w:t>
      </w:r>
      <w:r w:rsidRPr="006122EE">
        <w:rPr>
          <w:rFonts w:eastAsia="Times"/>
        </w:rPr>
        <w:t>development and accelerate sustainable, climate-resilient economic growth while slowing the growth of</w:t>
      </w:r>
      <w:r w:rsidRPr="006122EE">
        <w:t xml:space="preserve"> greenhouse gas (GHG) emissions. This program is aimed at improving energy efficiency and effectiveness in selected urban and rural areas in Malawi by building local capacity (technical, analytical, and policy) and establishing a national GHG Inventory Management System.</w:t>
      </w:r>
      <w:r w:rsidRPr="006122EE">
        <w:rPr>
          <w:rFonts w:ascii="Calibri" w:eastAsia="Calibri" w:hAnsi="Calibri"/>
          <w:sz w:val="22"/>
          <w:szCs w:val="22"/>
          <w:lang w:eastAsia="en-US"/>
        </w:rPr>
        <w:t xml:space="preserve"> </w:t>
      </w:r>
      <w:r w:rsidRPr="006122EE">
        <w:t>The enhancing energy-saving technology programme is estimated to cost app. USD 60 million over the 5 years period of the Plan.</w:t>
      </w:r>
    </w:p>
    <w:p w14:paraId="33B98D37" w14:textId="77777777" w:rsidR="00287D2D" w:rsidRPr="006122EE" w:rsidRDefault="00287D2D" w:rsidP="0082018A">
      <w:pPr>
        <w:pStyle w:val="DBulletlevel2"/>
        <w:numPr>
          <w:ilvl w:val="2"/>
          <w:numId w:val="30"/>
        </w:numPr>
        <w:spacing w:line="276" w:lineRule="auto"/>
        <w:rPr>
          <w:b/>
        </w:rPr>
      </w:pPr>
      <w:r w:rsidRPr="006122EE">
        <w:rPr>
          <w:b/>
        </w:rPr>
        <w:t>Climate change mitigation technology development programme</w:t>
      </w:r>
      <w:r w:rsidRPr="006122EE">
        <w:t xml:space="preserve"> which is expected to improve Malawi’s mitigative capacity to climate change by supporting research projects focused on selecting the most appropriate climate change mitigating technologies. The research projects will aim at identifying Malawi`s climate change related technology needs, finding the most efficient technology options available and adapt them to meet Malawi`s specific needs and the local business and social environment.</w:t>
      </w:r>
    </w:p>
    <w:p w14:paraId="706B40DB" w14:textId="77777777" w:rsidR="00287D2D" w:rsidRPr="006122EE" w:rsidRDefault="00287D2D" w:rsidP="0082018A">
      <w:pPr>
        <w:pStyle w:val="DBulletlevel2"/>
        <w:numPr>
          <w:ilvl w:val="2"/>
          <w:numId w:val="30"/>
        </w:numPr>
        <w:spacing w:line="276" w:lineRule="auto"/>
        <w:rPr>
          <w:b/>
        </w:rPr>
      </w:pPr>
      <w:r w:rsidRPr="006122EE">
        <w:t xml:space="preserve"> </w:t>
      </w:r>
      <w:r w:rsidRPr="006122EE">
        <w:rPr>
          <w:b/>
        </w:rPr>
        <w:t>Establishment of a National Climate Change Fund (NCCF</w:t>
      </w:r>
      <w:r w:rsidR="00A410C7" w:rsidRPr="006122EE">
        <w:rPr>
          <w:b/>
        </w:rPr>
        <w:t>):</w:t>
      </w:r>
      <w:r w:rsidRPr="006122EE">
        <w:t xml:space="preserve"> to develop a streamlined and efficient mechanism for channelling IFI and locally raised climate change resources, the NCCIP calls for the establishment of a dedicated National Climate Change Fund. The Fund will provide financing and technical support and advice to all climate change stakeholders in Malawi. NCCF will partner with international and regional donors and lenders, local or international NGOs and private sector entities in developing climate change investment projects. The Fund will also be promoting fund-raising schemes for various development programs on climate change management in Malawi and will serve as a think tank for new “green” financing mechanisms. </w:t>
      </w:r>
    </w:p>
    <w:p w14:paraId="5DA41581" w14:textId="77777777" w:rsidR="00287D2D" w:rsidRPr="006122EE" w:rsidRDefault="00287D2D" w:rsidP="0082018A">
      <w:pPr>
        <w:spacing w:line="276" w:lineRule="auto"/>
      </w:pPr>
      <w:r w:rsidRPr="006122EE">
        <w:rPr>
          <w:color w:val="FF0000"/>
        </w:rPr>
        <w:tab/>
      </w:r>
      <w:r w:rsidRPr="006122EE">
        <w:t xml:space="preserve">Up to date, there is no National EE audit or similar study conducted to indicate what is the energy consumption baseline and the underlying energy saving potential across various sectors (industry, households, commercial sector, public sector, agriculture, etc.) at the National level. </w:t>
      </w:r>
    </w:p>
    <w:p w14:paraId="7AD9F11E" w14:textId="77777777" w:rsidR="00287D2D" w:rsidRPr="006122EE" w:rsidRDefault="00287D2D" w:rsidP="0082018A">
      <w:pPr>
        <w:pStyle w:val="BTitle3"/>
        <w:spacing w:line="276" w:lineRule="auto"/>
        <w:rPr>
          <w:noProof w:val="0"/>
          <w:lang w:val="en-GB"/>
        </w:rPr>
      </w:pPr>
      <w:bookmarkStart w:id="232" w:name="_Toc481614909"/>
      <w:r w:rsidRPr="006122EE">
        <w:rPr>
          <w:noProof w:val="0"/>
          <w:lang w:val="en-GB"/>
        </w:rPr>
        <w:t>What is the target for 2030 and the gap?</w:t>
      </w:r>
      <w:bookmarkEnd w:id="232"/>
    </w:p>
    <w:p w14:paraId="16040463" w14:textId="77777777" w:rsidR="00287D2D" w:rsidRPr="006122EE" w:rsidRDefault="00287D2D" w:rsidP="0082018A">
      <w:pPr>
        <w:spacing w:line="276" w:lineRule="auto"/>
        <w:ind w:left="1" w:firstLine="1"/>
        <w:jc w:val="left"/>
        <w:rPr>
          <w:color w:val="auto"/>
        </w:rPr>
      </w:pPr>
      <w:r w:rsidRPr="006122EE">
        <w:rPr>
          <w:color w:val="auto"/>
        </w:rPr>
        <w:t>When considering EE in Malawi, one`s focus should</w:t>
      </w:r>
      <w:r w:rsidRPr="006122EE">
        <w:t xml:space="preserve"> </w:t>
      </w:r>
      <w:r w:rsidRPr="006122EE">
        <w:rPr>
          <w:color w:val="auto"/>
        </w:rPr>
        <w:t>necessarily fall on reduction of biomass consumption, provided that biomass fuels accounts for nearly 90% of country`s total energy consumption.</w:t>
      </w:r>
    </w:p>
    <w:p w14:paraId="33290070" w14:textId="77777777" w:rsidR="00287D2D" w:rsidRPr="00866D96" w:rsidRDefault="00287D2D" w:rsidP="0082018A">
      <w:pPr>
        <w:pStyle w:val="CSubtitle2"/>
        <w:spacing w:line="276" w:lineRule="auto"/>
        <w:rPr>
          <w:noProof w:val="0"/>
          <w:lang w:val="en-GB"/>
        </w:rPr>
      </w:pPr>
      <w:r w:rsidRPr="00866D96">
        <w:rPr>
          <w:noProof w:val="0"/>
          <w:lang w:val="en-GB"/>
        </w:rPr>
        <w:t>Overall energy intensity of the national economy</w:t>
      </w:r>
    </w:p>
    <w:p w14:paraId="4702A48D" w14:textId="77777777" w:rsidR="00287D2D" w:rsidRPr="006122EE" w:rsidRDefault="00287D2D" w:rsidP="0082018A">
      <w:pPr>
        <w:spacing w:line="276" w:lineRule="auto"/>
        <w:ind w:left="1" w:firstLine="1"/>
        <w:rPr>
          <w:lang w:eastAsia="en-US"/>
        </w:rPr>
      </w:pPr>
      <w:r w:rsidRPr="006122EE">
        <w:rPr>
          <w:lang w:eastAsia="en-US"/>
        </w:rPr>
        <w:t xml:space="preserve">As stated in section 3.6.1 above and depicted in </w:t>
      </w:r>
      <w:r w:rsidRPr="006122EE">
        <w:rPr>
          <w:lang w:eastAsia="en-US"/>
        </w:rPr>
        <w:fldChar w:fldCharType="begin"/>
      </w:r>
      <w:r w:rsidRPr="006122EE">
        <w:rPr>
          <w:lang w:eastAsia="en-US"/>
        </w:rPr>
        <w:instrText xml:space="preserve"> REF _Ref448247137 \h </w:instrText>
      </w:r>
      <w:r w:rsidR="0082018A">
        <w:rPr>
          <w:lang w:eastAsia="en-US"/>
        </w:rPr>
        <w:instrText xml:space="preserve"> \* MERGEFORMAT </w:instrText>
      </w:r>
      <w:r w:rsidRPr="006122EE">
        <w:rPr>
          <w:lang w:eastAsia="en-US"/>
        </w:rPr>
      </w:r>
      <w:r w:rsidRPr="006122EE">
        <w:rPr>
          <w:lang w:eastAsia="en-US"/>
        </w:rPr>
        <w:fldChar w:fldCharType="separate"/>
      </w:r>
      <w:r w:rsidR="00866D96" w:rsidRPr="006122EE">
        <w:t xml:space="preserve">Table </w:t>
      </w:r>
      <w:r w:rsidR="00866D96">
        <w:rPr>
          <w:noProof/>
        </w:rPr>
        <w:t>24</w:t>
      </w:r>
      <w:r w:rsidRPr="006122EE">
        <w:rPr>
          <w:lang w:eastAsia="en-US"/>
        </w:rPr>
        <w:fldChar w:fldCharType="end"/>
      </w:r>
      <w:r w:rsidRPr="006122EE">
        <w:rPr>
          <w:lang w:eastAsia="en-US"/>
        </w:rPr>
        <w:t>, Malawi has relatively low energy intensity and is in good position to further lower the ratio by implementing a number of EE improvement activities and policies. Based on the average achieved EI reduction pace of 4% annually (2006-2011), we can reasonably assume that Malawi can bring its energy intensity down to below 900 Btu per USD 2005 of GDP</w:t>
      </w:r>
      <w:r w:rsidR="00720443" w:rsidRPr="006122EE">
        <w:t xml:space="preserve"> (PPP terms) </w:t>
      </w:r>
      <w:r w:rsidRPr="006122EE">
        <w:rPr>
          <w:lang w:eastAsia="en-US"/>
        </w:rPr>
        <w:t xml:space="preserve"> by year 2030.</w:t>
      </w:r>
    </w:p>
    <w:p w14:paraId="4B6F8339" w14:textId="77777777" w:rsidR="00287D2D" w:rsidRPr="006122EE" w:rsidRDefault="00287D2D" w:rsidP="00B509DD">
      <w:pPr>
        <w:pStyle w:val="Caption"/>
        <w:ind w:hanging="340"/>
      </w:pPr>
      <w:bookmarkStart w:id="233" w:name="_Ref448247137"/>
      <w:bookmarkStart w:id="234" w:name="_Toc481615009"/>
      <w:r w:rsidRPr="006122EE">
        <w:t xml:space="preserve">Table </w:t>
      </w:r>
      <w:r w:rsidR="00DC7D8C">
        <w:fldChar w:fldCharType="begin"/>
      </w:r>
      <w:r w:rsidR="00DC7D8C">
        <w:instrText xml:space="preserve"> SEQ Table \* ARABIC </w:instrText>
      </w:r>
      <w:r w:rsidR="00DC7D8C">
        <w:fldChar w:fldCharType="separate"/>
      </w:r>
      <w:r w:rsidR="00866D96">
        <w:rPr>
          <w:noProof/>
        </w:rPr>
        <w:t>24</w:t>
      </w:r>
      <w:r w:rsidR="00DC7D8C">
        <w:rPr>
          <w:noProof/>
        </w:rPr>
        <w:fldChar w:fldCharType="end"/>
      </w:r>
      <w:bookmarkEnd w:id="233"/>
      <w:r w:rsidRPr="00866D96">
        <w:t xml:space="preserve">: </w:t>
      </w:r>
      <w:r w:rsidRPr="006122EE">
        <w:t>Malawi target energy intensity projection 2015-2030</w:t>
      </w:r>
      <w:bookmarkEnd w:id="234"/>
    </w:p>
    <w:tbl>
      <w:tblPr>
        <w:tblStyle w:val="ListTable3-Accent31"/>
        <w:tblW w:w="0" w:type="auto"/>
        <w:tblLook w:val="04A0" w:firstRow="1" w:lastRow="0" w:firstColumn="1" w:lastColumn="0" w:noHBand="0" w:noVBand="1"/>
      </w:tblPr>
      <w:tblGrid>
        <w:gridCol w:w="2301"/>
        <w:gridCol w:w="1351"/>
        <w:gridCol w:w="992"/>
        <w:gridCol w:w="1134"/>
        <w:gridCol w:w="1276"/>
        <w:gridCol w:w="1985"/>
      </w:tblGrid>
      <w:tr w:rsidR="00287D2D" w:rsidRPr="006122EE" w14:paraId="3B901FDE" w14:textId="77777777" w:rsidTr="00726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1" w:type="dxa"/>
          </w:tcPr>
          <w:p w14:paraId="1009FEEC" w14:textId="77777777" w:rsidR="00287D2D" w:rsidRPr="006122EE" w:rsidRDefault="00287D2D" w:rsidP="00B509DD">
            <w:pPr>
              <w:rPr>
                <w:rFonts w:eastAsia="Arial" w:cs="Arial"/>
              </w:rPr>
            </w:pPr>
            <w:r w:rsidRPr="006122EE">
              <w:rPr>
                <w:rFonts w:eastAsia="Arial" w:cs="Arial"/>
              </w:rPr>
              <w:t>Year</w:t>
            </w:r>
          </w:p>
        </w:tc>
        <w:tc>
          <w:tcPr>
            <w:tcW w:w="1351" w:type="dxa"/>
          </w:tcPr>
          <w:p w14:paraId="6A8555B6"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2015</w:t>
            </w:r>
          </w:p>
        </w:tc>
        <w:tc>
          <w:tcPr>
            <w:tcW w:w="992" w:type="dxa"/>
          </w:tcPr>
          <w:p w14:paraId="183606E1"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2020</w:t>
            </w:r>
          </w:p>
        </w:tc>
        <w:tc>
          <w:tcPr>
            <w:tcW w:w="1134" w:type="dxa"/>
          </w:tcPr>
          <w:p w14:paraId="6BB29E75"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2025</w:t>
            </w:r>
          </w:p>
        </w:tc>
        <w:tc>
          <w:tcPr>
            <w:tcW w:w="1276" w:type="dxa"/>
          </w:tcPr>
          <w:p w14:paraId="3E75DB9A" w14:textId="77777777" w:rsidR="00287D2D" w:rsidRPr="006122EE" w:rsidRDefault="00287D2D" w:rsidP="00B509DD">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2030</w:t>
            </w:r>
          </w:p>
        </w:tc>
        <w:tc>
          <w:tcPr>
            <w:tcW w:w="1985" w:type="dxa"/>
          </w:tcPr>
          <w:p w14:paraId="4A766867" w14:textId="77777777" w:rsidR="00287D2D" w:rsidRPr="006122EE" w:rsidRDefault="00287D2D" w:rsidP="0089762C">
            <w:pPr>
              <w:cnfStyle w:val="100000000000" w:firstRow="1" w:lastRow="0" w:firstColumn="0" w:lastColumn="0" w:oddVBand="0" w:evenVBand="0" w:oddHBand="0" w:evenHBand="0" w:firstRowFirstColumn="0" w:firstRowLastColumn="0" w:lastRowFirstColumn="0" w:lastRowLastColumn="0"/>
              <w:rPr>
                <w:rFonts w:eastAsia="Arial" w:cs="Arial"/>
              </w:rPr>
            </w:pPr>
            <w:r w:rsidRPr="006122EE">
              <w:rPr>
                <w:rFonts w:eastAsia="Arial" w:cs="Arial"/>
              </w:rPr>
              <w:t>Cumulative change 2015 – 2030 (%)</w:t>
            </w:r>
          </w:p>
        </w:tc>
      </w:tr>
      <w:tr w:rsidR="00287D2D" w:rsidRPr="006122EE" w14:paraId="1205ADD4" w14:textId="77777777" w:rsidTr="0072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323696F" w14:textId="77777777" w:rsidR="00287D2D" w:rsidRPr="006122EE" w:rsidRDefault="00287D2D" w:rsidP="00B509DD">
            <w:pPr>
              <w:jc w:val="left"/>
              <w:rPr>
                <w:rFonts w:eastAsia="Arial" w:cs="Arial"/>
                <w:bCs w:val="0"/>
                <w:color w:val="000000"/>
              </w:rPr>
            </w:pPr>
            <w:r w:rsidRPr="006122EE">
              <w:rPr>
                <w:rFonts w:eastAsia="Arial" w:cs="Arial"/>
                <w:color w:val="000000"/>
              </w:rPr>
              <w:t>Energy intensity (Btu / USD 2005)</w:t>
            </w:r>
          </w:p>
        </w:tc>
        <w:tc>
          <w:tcPr>
            <w:tcW w:w="1351" w:type="dxa"/>
          </w:tcPr>
          <w:p w14:paraId="20907C60"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 655*</w:t>
            </w:r>
          </w:p>
        </w:tc>
        <w:tc>
          <w:tcPr>
            <w:tcW w:w="992" w:type="dxa"/>
          </w:tcPr>
          <w:p w14:paraId="6200396D"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1,349</w:t>
            </w:r>
          </w:p>
        </w:tc>
        <w:tc>
          <w:tcPr>
            <w:tcW w:w="1134" w:type="dxa"/>
          </w:tcPr>
          <w:p w14:paraId="3DA80089"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1,100</w:t>
            </w:r>
          </w:p>
        </w:tc>
        <w:tc>
          <w:tcPr>
            <w:tcW w:w="1276" w:type="dxa"/>
          </w:tcPr>
          <w:p w14:paraId="71295DDC" w14:textId="77777777" w:rsidR="00287D2D" w:rsidRPr="006122EE" w:rsidRDefault="00287D2D" w:rsidP="00B509DD">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897</w:t>
            </w:r>
          </w:p>
        </w:tc>
        <w:tc>
          <w:tcPr>
            <w:tcW w:w="1985" w:type="dxa"/>
          </w:tcPr>
          <w:p w14:paraId="5B02B5CF" w14:textId="77777777" w:rsidR="00287D2D" w:rsidRPr="006122EE" w:rsidRDefault="00287D2D" w:rsidP="0089762C">
            <w:pPr>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-45.8%</w:t>
            </w:r>
          </w:p>
        </w:tc>
      </w:tr>
    </w:tbl>
    <w:p w14:paraId="7EEA5981" w14:textId="77777777" w:rsidR="00287D2D" w:rsidRPr="006122EE" w:rsidRDefault="00287D2D" w:rsidP="00726AF3">
      <w:pPr>
        <w:ind w:left="1" w:firstLine="1"/>
        <w:jc w:val="left"/>
        <w:rPr>
          <w:i/>
          <w:lang w:eastAsia="en-US"/>
        </w:rPr>
      </w:pPr>
      <w:r w:rsidRPr="006122EE">
        <w:rPr>
          <w:i/>
          <w:lang w:eastAsia="en-US"/>
        </w:rPr>
        <w:t>* Most recent available figure (2011) assumed for a starting point</w:t>
      </w:r>
    </w:p>
    <w:p w14:paraId="7F78B29B" w14:textId="77777777" w:rsidR="00287D2D" w:rsidRPr="00866D96" w:rsidRDefault="00287D2D" w:rsidP="00992F21">
      <w:pPr>
        <w:pStyle w:val="CSubtitle2"/>
        <w:rPr>
          <w:noProof w:val="0"/>
          <w:lang w:val="en-GB"/>
        </w:rPr>
      </w:pPr>
      <w:r w:rsidRPr="00866D96">
        <w:rPr>
          <w:noProof w:val="0"/>
          <w:lang w:val="en-GB"/>
        </w:rPr>
        <w:t>Energy-efficient cooking stoves</w:t>
      </w:r>
    </w:p>
    <w:p w14:paraId="5468D12E" w14:textId="77777777" w:rsidR="00287D2D" w:rsidRPr="006122EE" w:rsidRDefault="00287D2D" w:rsidP="0082018A">
      <w:pPr>
        <w:spacing w:line="276" w:lineRule="auto"/>
      </w:pPr>
      <w:r w:rsidRPr="006122EE">
        <w:rPr>
          <w:lang w:eastAsia="en-US"/>
        </w:rPr>
        <w:t xml:space="preserve">Biomass constitutes a major source of energy for cooking especially for the rural and low-income urban population. The 2030 energy – efficient cook stoves target and the existing gap is described in detail in </w:t>
      </w:r>
      <w:r w:rsidR="00A410C7" w:rsidRPr="006122EE">
        <w:rPr>
          <w:lang w:eastAsia="en-US"/>
        </w:rPr>
        <w:t xml:space="preserve">section </w:t>
      </w:r>
      <w:r w:rsidR="00A410C7" w:rsidRPr="006122EE">
        <w:rPr>
          <w:lang w:eastAsia="en-US"/>
        </w:rPr>
        <w:fldChar w:fldCharType="begin"/>
      </w:r>
      <w:r w:rsidR="00A410C7" w:rsidRPr="006122EE">
        <w:rPr>
          <w:lang w:eastAsia="en-US"/>
        </w:rPr>
        <w:instrText xml:space="preserve"> REF _Ref448423278 \r \h </w:instrText>
      </w:r>
      <w:r w:rsidR="0082018A">
        <w:rPr>
          <w:lang w:eastAsia="en-US"/>
        </w:rPr>
        <w:instrText xml:space="preserve"> \* MERGEFORMAT </w:instrText>
      </w:r>
      <w:r w:rsidR="00A410C7" w:rsidRPr="006122EE">
        <w:rPr>
          <w:lang w:eastAsia="en-US"/>
        </w:rPr>
      </w:r>
      <w:r w:rsidR="00A410C7" w:rsidRPr="006122EE">
        <w:rPr>
          <w:lang w:eastAsia="en-US"/>
        </w:rPr>
        <w:fldChar w:fldCharType="separate"/>
      </w:r>
      <w:r w:rsidR="00866D96">
        <w:rPr>
          <w:lang w:eastAsia="en-US"/>
        </w:rPr>
        <w:t>4.2</w:t>
      </w:r>
      <w:r w:rsidR="00A410C7" w:rsidRPr="006122EE">
        <w:rPr>
          <w:lang w:eastAsia="en-US"/>
        </w:rPr>
        <w:fldChar w:fldCharType="end"/>
      </w:r>
      <w:r w:rsidRPr="006122EE">
        <w:rPr>
          <w:lang w:eastAsia="en-US"/>
        </w:rPr>
        <w:t>.</w:t>
      </w:r>
    </w:p>
    <w:p w14:paraId="542DA8B4" w14:textId="77777777" w:rsidR="00287D2D" w:rsidRPr="00866D96" w:rsidRDefault="00287D2D" w:rsidP="0082018A">
      <w:pPr>
        <w:pStyle w:val="CSubtitle2"/>
        <w:spacing w:line="276" w:lineRule="auto"/>
        <w:rPr>
          <w:noProof w:val="0"/>
          <w:lang w:val="en-GB"/>
        </w:rPr>
      </w:pPr>
      <w:r w:rsidRPr="00866D96">
        <w:rPr>
          <w:noProof w:val="0"/>
          <w:lang w:val="en-GB"/>
        </w:rPr>
        <w:t>Hot Water Heating</w:t>
      </w:r>
    </w:p>
    <w:p w14:paraId="76ADD6CE" w14:textId="77777777" w:rsidR="00287D2D" w:rsidRPr="006122EE" w:rsidRDefault="00287D2D" w:rsidP="0082018A">
      <w:pPr>
        <w:spacing w:line="276" w:lineRule="auto"/>
        <w:rPr>
          <w:lang w:eastAsia="en-US"/>
        </w:rPr>
      </w:pPr>
      <w:r w:rsidRPr="006122EE">
        <w:rPr>
          <w:lang w:eastAsia="en-US"/>
        </w:rPr>
        <w:t xml:space="preserve">There is no consensus </w:t>
      </w:r>
      <w:r w:rsidR="00E564D5" w:rsidRPr="006122EE">
        <w:rPr>
          <w:lang w:eastAsia="en-US"/>
        </w:rPr>
        <w:t>on how many</w:t>
      </w:r>
      <w:r w:rsidRPr="006122EE">
        <w:rPr>
          <w:lang w:eastAsia="en-US"/>
        </w:rPr>
        <w:t xml:space="preserve"> </w:t>
      </w:r>
      <w:r w:rsidR="00E564D5" w:rsidRPr="006122EE">
        <w:rPr>
          <w:lang w:eastAsia="en-US"/>
        </w:rPr>
        <w:t>electric-</w:t>
      </w:r>
      <w:r w:rsidRPr="006122EE">
        <w:rPr>
          <w:lang w:eastAsia="en-US"/>
        </w:rPr>
        <w:t xml:space="preserve">powered solar geysers </w:t>
      </w:r>
      <w:r w:rsidR="00E564D5" w:rsidRPr="006122EE">
        <w:rPr>
          <w:lang w:eastAsia="en-US"/>
        </w:rPr>
        <w:t xml:space="preserve">are </w:t>
      </w:r>
      <w:r w:rsidRPr="006122EE">
        <w:rPr>
          <w:lang w:eastAsia="en-US"/>
        </w:rPr>
        <w:t xml:space="preserve">installed in Malawi. </w:t>
      </w:r>
      <w:r w:rsidR="00E564D5" w:rsidRPr="006122EE">
        <w:rPr>
          <w:lang w:eastAsia="en-US"/>
        </w:rPr>
        <w:t xml:space="preserve">A World Bank </w:t>
      </w:r>
      <w:r w:rsidRPr="006122EE">
        <w:rPr>
          <w:lang w:eastAsia="en-US"/>
        </w:rPr>
        <w:t xml:space="preserve">Energy Sector </w:t>
      </w:r>
      <w:r w:rsidR="00E564D5" w:rsidRPr="006122EE">
        <w:rPr>
          <w:lang w:eastAsia="en-US"/>
        </w:rPr>
        <w:t xml:space="preserve">Management </w:t>
      </w:r>
      <w:r w:rsidRPr="006122EE">
        <w:rPr>
          <w:lang w:eastAsia="en-US"/>
        </w:rPr>
        <w:t xml:space="preserve">Support </w:t>
      </w:r>
      <w:r w:rsidR="00E564D5" w:rsidRPr="006122EE">
        <w:rPr>
          <w:lang w:eastAsia="en-US"/>
        </w:rPr>
        <w:t xml:space="preserve">program </w:t>
      </w:r>
      <w:r w:rsidRPr="006122EE">
        <w:rPr>
          <w:lang w:eastAsia="en-US"/>
        </w:rPr>
        <w:t xml:space="preserve">study </w:t>
      </w:r>
      <w:r w:rsidR="00E564D5" w:rsidRPr="006122EE">
        <w:rPr>
          <w:lang w:eastAsia="en-US"/>
        </w:rPr>
        <w:t>estimated</w:t>
      </w:r>
      <w:r w:rsidRPr="006122EE">
        <w:rPr>
          <w:lang w:eastAsia="en-US"/>
        </w:rPr>
        <w:t xml:space="preserve"> there were around 23 000 installed </w:t>
      </w:r>
      <w:r w:rsidRPr="006122EE">
        <w:t>electric</w:t>
      </w:r>
      <w:r w:rsidRPr="006122EE">
        <w:rPr>
          <w:lang w:eastAsia="en-US"/>
        </w:rPr>
        <w:t xml:space="preserve"> geysers in 2011 so it can be reasonably assumed that the number </w:t>
      </w:r>
      <w:r w:rsidR="00E564D5" w:rsidRPr="006122EE">
        <w:rPr>
          <w:lang w:eastAsia="en-US"/>
        </w:rPr>
        <w:t>has increased</w:t>
      </w:r>
      <w:r w:rsidRPr="006122EE">
        <w:rPr>
          <w:lang w:eastAsia="en-US"/>
        </w:rPr>
        <w:t xml:space="preserve"> to 30,000 – 40,000 in 2015, meaning that approximately 15% of the households with access to grid electricity use electric geysers. The electric heaters are </w:t>
      </w:r>
      <w:r w:rsidR="00E564D5" w:rsidRPr="006122EE">
        <w:rPr>
          <w:lang w:eastAsia="en-US"/>
        </w:rPr>
        <w:t>energy-intensive</w:t>
      </w:r>
      <w:r w:rsidRPr="006122EE">
        <w:rPr>
          <w:lang w:eastAsia="en-US"/>
        </w:rPr>
        <w:t xml:space="preserve"> and may account for up to 40% of </w:t>
      </w:r>
      <w:r w:rsidR="00E564D5" w:rsidRPr="006122EE">
        <w:rPr>
          <w:lang w:eastAsia="en-US"/>
        </w:rPr>
        <w:t xml:space="preserve">household </w:t>
      </w:r>
      <w:r w:rsidRPr="006122EE">
        <w:rPr>
          <w:lang w:eastAsia="en-US"/>
        </w:rPr>
        <w:t xml:space="preserve">electricity </w:t>
      </w:r>
      <w:r w:rsidR="001231B6" w:rsidRPr="006122EE">
        <w:rPr>
          <w:lang w:eastAsia="en-US"/>
        </w:rPr>
        <w:t>bills in</w:t>
      </w:r>
      <w:r w:rsidRPr="006122EE">
        <w:rPr>
          <w:lang w:eastAsia="en-US"/>
        </w:rPr>
        <w:t xml:space="preserve"> households that have them. In its INDC to UNFCCC the GoM has already pledged to replace at least 2</w:t>
      </w:r>
      <w:r w:rsidRPr="00866D96">
        <w:rPr>
          <w:lang w:eastAsia="en-US"/>
        </w:rPr>
        <w:t>0,</w:t>
      </w:r>
      <w:r w:rsidRPr="006122EE">
        <w:rPr>
          <w:lang w:eastAsia="en-US"/>
        </w:rPr>
        <w:t>000 electric heaters with solar</w:t>
      </w:r>
      <w:r w:rsidR="00E564D5" w:rsidRPr="006122EE">
        <w:rPr>
          <w:lang w:eastAsia="en-US"/>
        </w:rPr>
        <w:t>-</w:t>
      </w:r>
      <w:r w:rsidRPr="006122EE">
        <w:rPr>
          <w:lang w:eastAsia="en-US"/>
        </w:rPr>
        <w:t xml:space="preserve">powered </w:t>
      </w:r>
      <w:r w:rsidR="00E564D5" w:rsidRPr="006122EE">
        <w:rPr>
          <w:lang w:eastAsia="en-US"/>
        </w:rPr>
        <w:t xml:space="preserve">water heaters </w:t>
      </w:r>
      <w:r w:rsidRPr="006122EE">
        <w:rPr>
          <w:lang w:eastAsia="en-US"/>
        </w:rPr>
        <w:t xml:space="preserve">by 2030, provided that technical and financial support from third parties (donors) can be obtained. </w:t>
      </w:r>
      <w:r w:rsidR="00E564D5" w:rsidRPr="006122EE">
        <w:rPr>
          <w:lang w:eastAsia="en-US"/>
        </w:rPr>
        <w:t>This is an achievable target</w:t>
      </w:r>
      <w:r w:rsidRPr="006122EE">
        <w:rPr>
          <w:lang w:eastAsia="en-US"/>
        </w:rPr>
        <w:t xml:space="preserve"> </w:t>
      </w:r>
      <w:r w:rsidR="00E564D5" w:rsidRPr="006122EE">
        <w:rPr>
          <w:lang w:eastAsia="en-US"/>
        </w:rPr>
        <w:t xml:space="preserve">but with sufficient funding/financing and government mandate, a more ambitious yet still reasonable target is </w:t>
      </w:r>
      <w:r w:rsidRPr="006122EE">
        <w:rPr>
          <w:lang w:eastAsia="en-US"/>
        </w:rPr>
        <w:t>l 40,000</w:t>
      </w:r>
      <w:r w:rsidR="00922A28" w:rsidRPr="006122EE">
        <w:rPr>
          <w:lang w:eastAsia="en-US"/>
        </w:rPr>
        <w:t xml:space="preserve"> SWH</w:t>
      </w:r>
      <w:r w:rsidRPr="006122EE">
        <w:rPr>
          <w:lang w:eastAsia="en-US"/>
        </w:rPr>
        <w:t xml:space="preserve"> </w:t>
      </w:r>
      <w:r w:rsidR="00922A28" w:rsidRPr="006122EE">
        <w:rPr>
          <w:lang w:eastAsia="en-US"/>
        </w:rPr>
        <w:t>installations.</w:t>
      </w:r>
    </w:p>
    <w:p w14:paraId="06169FBD" w14:textId="77777777" w:rsidR="00287D2D" w:rsidRDefault="00287D2D" w:rsidP="0082018A">
      <w:pPr>
        <w:spacing w:line="276" w:lineRule="auto"/>
        <w:ind w:left="1" w:firstLine="1"/>
        <w:rPr>
          <w:lang w:eastAsia="en-US"/>
        </w:rPr>
      </w:pPr>
      <w:r w:rsidRPr="006122EE">
        <w:rPr>
          <w:lang w:eastAsia="en-US"/>
        </w:rPr>
        <w:t>W</w:t>
      </w:r>
      <w:r w:rsidR="0051349C" w:rsidRPr="006122EE">
        <w:rPr>
          <w:lang w:eastAsia="en-US"/>
        </w:rPr>
        <w:t xml:space="preserve">ith regard to the use of </w:t>
      </w:r>
      <w:r w:rsidR="00E66521" w:rsidRPr="006122EE">
        <w:rPr>
          <w:lang w:eastAsia="en-US"/>
        </w:rPr>
        <w:t>fire</w:t>
      </w:r>
      <w:r w:rsidR="0051349C" w:rsidRPr="006122EE">
        <w:rPr>
          <w:lang w:eastAsia="en-US"/>
        </w:rPr>
        <w:t>w</w:t>
      </w:r>
      <w:r w:rsidRPr="006122EE">
        <w:rPr>
          <w:lang w:eastAsia="en-US"/>
        </w:rPr>
        <w:t>ood</w:t>
      </w:r>
      <w:r w:rsidR="0051349C" w:rsidRPr="006122EE">
        <w:rPr>
          <w:lang w:eastAsia="en-US"/>
        </w:rPr>
        <w:t xml:space="preserve"> for </w:t>
      </w:r>
      <w:r w:rsidRPr="006122EE">
        <w:rPr>
          <w:lang w:eastAsia="en-US"/>
        </w:rPr>
        <w:t>hot water heating</w:t>
      </w:r>
      <w:r w:rsidR="0051349C" w:rsidRPr="006122EE">
        <w:rPr>
          <w:lang w:eastAsia="en-US"/>
        </w:rPr>
        <w:t>,</w:t>
      </w:r>
      <w:r w:rsidRPr="006122EE">
        <w:rPr>
          <w:lang w:eastAsia="en-US"/>
        </w:rPr>
        <w:t xml:space="preserve"> there is no reliable data on the number of households </w:t>
      </w:r>
      <w:r w:rsidR="0051349C" w:rsidRPr="006122EE">
        <w:rPr>
          <w:lang w:eastAsia="en-US"/>
        </w:rPr>
        <w:t xml:space="preserve">or amount of wood that is used for this. </w:t>
      </w:r>
      <w:r w:rsidRPr="006122EE">
        <w:rPr>
          <w:lang w:eastAsia="en-US"/>
        </w:rPr>
        <w:t>The Malawi Biomass Energy Strategy states that</w:t>
      </w:r>
      <w:r w:rsidR="0051349C" w:rsidRPr="006122EE">
        <w:rPr>
          <w:lang w:eastAsia="en-US"/>
        </w:rPr>
        <w:t>,</w:t>
      </w:r>
      <w:r w:rsidRPr="006122EE">
        <w:rPr>
          <w:lang w:eastAsia="en-US"/>
        </w:rPr>
        <w:t xml:space="preserve"> on average</w:t>
      </w:r>
      <w:r w:rsidR="0051349C" w:rsidRPr="006122EE">
        <w:rPr>
          <w:lang w:eastAsia="en-US"/>
        </w:rPr>
        <w:t>,</w:t>
      </w:r>
      <w:r w:rsidRPr="006122EE">
        <w:rPr>
          <w:lang w:eastAsia="en-US"/>
        </w:rPr>
        <w:t xml:space="preserve"> urban households consume 293 kg firewood per capita annually</w:t>
      </w:r>
      <w:r w:rsidR="0051349C" w:rsidRPr="006122EE">
        <w:rPr>
          <w:lang w:eastAsia="en-US"/>
        </w:rPr>
        <w:t>,</w:t>
      </w:r>
      <w:r w:rsidRPr="006122EE">
        <w:rPr>
          <w:lang w:eastAsia="en-US"/>
        </w:rPr>
        <w:t xml:space="preserve"> of which 22% (or 65 kg per capita annually) is used for water heating</w:t>
      </w:r>
      <w:r w:rsidR="0051349C" w:rsidRPr="006122EE">
        <w:rPr>
          <w:lang w:eastAsia="en-US"/>
        </w:rPr>
        <w:t>.</w:t>
      </w:r>
      <w:r w:rsidRPr="006122EE">
        <w:rPr>
          <w:lang w:eastAsia="en-US"/>
        </w:rPr>
        <w:t xml:space="preserve"> </w:t>
      </w:r>
      <w:r w:rsidR="0051349C" w:rsidRPr="006122EE">
        <w:rPr>
          <w:lang w:eastAsia="en-US"/>
        </w:rPr>
        <w:t>R</w:t>
      </w:r>
      <w:r w:rsidRPr="006122EE">
        <w:rPr>
          <w:lang w:eastAsia="en-US"/>
        </w:rPr>
        <w:t>ural households consume 601 kg per capita annually (no indication on what proportion is used for water heating). Assuming that the rural households use 25% of the</w:t>
      </w:r>
      <w:r w:rsidR="0051349C" w:rsidRPr="006122EE">
        <w:rPr>
          <w:lang w:eastAsia="en-US"/>
        </w:rPr>
        <w:t>ir</w:t>
      </w:r>
      <w:r w:rsidRPr="006122EE">
        <w:rPr>
          <w:lang w:eastAsia="en-US"/>
        </w:rPr>
        <w:t xml:space="preserve"> firewood for water heating, the total consumption of firewood for heating in Malawi stands at over 1.8 million </w:t>
      </w:r>
      <w:r w:rsidR="00A410C7" w:rsidRPr="006122EE">
        <w:rPr>
          <w:lang w:eastAsia="en-US"/>
        </w:rPr>
        <w:t>tonnes</w:t>
      </w:r>
      <w:r w:rsidRPr="006122EE">
        <w:rPr>
          <w:lang w:eastAsia="en-US"/>
        </w:rPr>
        <w:t>. If not properly addressed, the water heating</w:t>
      </w:r>
      <w:r w:rsidR="0051349C" w:rsidRPr="006122EE">
        <w:rPr>
          <w:lang w:eastAsia="en-US"/>
        </w:rPr>
        <w:t>-</w:t>
      </w:r>
      <w:r w:rsidRPr="006122EE">
        <w:rPr>
          <w:lang w:eastAsia="en-US"/>
        </w:rPr>
        <w:t xml:space="preserve">related wood consumption </w:t>
      </w:r>
      <w:r w:rsidR="0051349C" w:rsidRPr="006122EE">
        <w:rPr>
          <w:lang w:eastAsia="en-US"/>
        </w:rPr>
        <w:t xml:space="preserve">could </w:t>
      </w:r>
      <w:r w:rsidRPr="006122EE">
        <w:rPr>
          <w:lang w:eastAsia="en-US"/>
        </w:rPr>
        <w:t xml:space="preserve">grow to 2.5 million </w:t>
      </w:r>
      <w:r w:rsidR="00A410C7" w:rsidRPr="006122EE">
        <w:rPr>
          <w:lang w:eastAsia="en-US"/>
        </w:rPr>
        <w:t>tonnes</w:t>
      </w:r>
      <w:r w:rsidRPr="006122EE">
        <w:rPr>
          <w:lang w:eastAsia="en-US"/>
        </w:rPr>
        <w:t xml:space="preserve"> annually by 2030 (assuming the population growth and </w:t>
      </w:r>
      <w:r w:rsidR="0051349C" w:rsidRPr="006122EE">
        <w:rPr>
          <w:lang w:eastAsia="en-US"/>
        </w:rPr>
        <w:t>a</w:t>
      </w:r>
      <w:r w:rsidRPr="006122EE">
        <w:rPr>
          <w:lang w:eastAsia="en-US"/>
        </w:rPr>
        <w:t xml:space="preserve"> distribution of 30% urban and 70% rural). Substantial woodland resources can be spared by supporting 20% of the rural households to install solar powered water heating systems by 2030. Assuming that the number of rural households will reach 3.5 million by 2030, the gap will be as </w:t>
      </w:r>
      <w:r w:rsidR="00D8227C" w:rsidRPr="006122EE">
        <w:rPr>
          <w:lang w:eastAsia="en-US"/>
        </w:rPr>
        <w:t xml:space="preserve">large </w:t>
      </w:r>
      <w:r w:rsidRPr="006122EE">
        <w:rPr>
          <w:lang w:eastAsia="en-US"/>
        </w:rPr>
        <w:t>as 700,000 solar powered domestic hot water heating systems</w:t>
      </w:r>
      <w:r w:rsidR="0082018A">
        <w:rPr>
          <w:lang w:eastAsia="en-US"/>
        </w:rPr>
        <w:t>.</w:t>
      </w:r>
    </w:p>
    <w:p w14:paraId="2CFAD5BA" w14:textId="77777777" w:rsidR="0082018A" w:rsidRPr="006122EE" w:rsidRDefault="0082018A" w:rsidP="0082018A">
      <w:pPr>
        <w:spacing w:line="276" w:lineRule="auto"/>
        <w:ind w:left="1" w:firstLine="1"/>
        <w:rPr>
          <w:lang w:eastAsia="en-US"/>
        </w:rPr>
      </w:pPr>
    </w:p>
    <w:p w14:paraId="2DE5FFA9" w14:textId="77777777" w:rsidR="00287D2D" w:rsidRPr="006122EE" w:rsidRDefault="00287D2D" w:rsidP="00B509DD">
      <w:pPr>
        <w:pStyle w:val="Caption"/>
      </w:pPr>
      <w:bookmarkStart w:id="235" w:name="_Toc481615010"/>
      <w:r w:rsidRPr="006122EE">
        <w:t xml:space="preserve">Table </w:t>
      </w:r>
      <w:r w:rsidR="00DC7D8C">
        <w:fldChar w:fldCharType="begin"/>
      </w:r>
      <w:r w:rsidR="00DC7D8C">
        <w:instrText xml:space="preserve"> SEQ Table \* ARABIC </w:instrText>
      </w:r>
      <w:r w:rsidR="00DC7D8C">
        <w:fldChar w:fldCharType="separate"/>
      </w:r>
      <w:r w:rsidR="00866D96">
        <w:rPr>
          <w:noProof/>
        </w:rPr>
        <w:t>25</w:t>
      </w:r>
      <w:r w:rsidR="00DC7D8C">
        <w:rPr>
          <w:noProof/>
        </w:rPr>
        <w:fldChar w:fldCharType="end"/>
      </w:r>
      <w:r w:rsidRPr="00866D96">
        <w:t>:</w:t>
      </w:r>
      <w:r w:rsidRPr="006122EE">
        <w:t xml:space="preserve"> Target number of solar powered water heaters by 2030</w:t>
      </w:r>
      <w:bookmarkEnd w:id="235"/>
    </w:p>
    <w:tbl>
      <w:tblPr>
        <w:tblStyle w:val="GridTable4-Accent31"/>
        <w:tblW w:w="0" w:type="auto"/>
        <w:tblLook w:val="04A0" w:firstRow="1" w:lastRow="0" w:firstColumn="1" w:lastColumn="0" w:noHBand="0" w:noVBand="1"/>
      </w:tblPr>
      <w:tblGrid>
        <w:gridCol w:w="2819"/>
        <w:gridCol w:w="2346"/>
        <w:gridCol w:w="2347"/>
        <w:gridCol w:w="1882"/>
      </w:tblGrid>
      <w:tr w:rsidR="00287D2D" w:rsidRPr="006122EE" w14:paraId="7C8A369C"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6B8DCDFC" w14:textId="77777777" w:rsidR="00287D2D" w:rsidRPr="006122EE" w:rsidRDefault="00287D2D" w:rsidP="00B509DD">
            <w:pPr>
              <w:keepNext/>
              <w:rPr>
                <w:color w:val="auto"/>
                <w:lang w:eastAsia="en-US"/>
              </w:rPr>
            </w:pPr>
          </w:p>
        </w:tc>
        <w:tc>
          <w:tcPr>
            <w:tcW w:w="2408" w:type="dxa"/>
          </w:tcPr>
          <w:p w14:paraId="3A242359" w14:textId="77777777" w:rsidR="00287D2D" w:rsidRPr="006122EE" w:rsidRDefault="00287D2D" w:rsidP="00B509DD">
            <w:pPr>
              <w:keepNext/>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2020</w:t>
            </w:r>
          </w:p>
        </w:tc>
        <w:tc>
          <w:tcPr>
            <w:tcW w:w="2409" w:type="dxa"/>
          </w:tcPr>
          <w:p w14:paraId="176CEF44" w14:textId="77777777" w:rsidR="00287D2D" w:rsidRPr="006122EE" w:rsidRDefault="00287D2D" w:rsidP="00B509DD">
            <w:pPr>
              <w:keepNext/>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2025</w:t>
            </w:r>
          </w:p>
        </w:tc>
        <w:tc>
          <w:tcPr>
            <w:tcW w:w="1923" w:type="dxa"/>
          </w:tcPr>
          <w:p w14:paraId="4923C6B0" w14:textId="77777777" w:rsidR="00287D2D" w:rsidRPr="006122EE" w:rsidRDefault="00287D2D" w:rsidP="00B509DD">
            <w:pPr>
              <w:keepNext/>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2030</w:t>
            </w:r>
          </w:p>
        </w:tc>
      </w:tr>
      <w:tr w:rsidR="00287D2D" w:rsidRPr="006122EE" w14:paraId="2DD86B74"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5D5DF55B" w14:textId="77777777" w:rsidR="00287D2D" w:rsidRPr="006122EE" w:rsidRDefault="00287D2D" w:rsidP="00B509DD">
            <w:pPr>
              <w:jc w:val="left"/>
              <w:rPr>
                <w:b w:val="0"/>
                <w:color w:val="auto"/>
                <w:lang w:eastAsia="en-US"/>
              </w:rPr>
            </w:pPr>
            <w:r w:rsidRPr="006122EE">
              <w:rPr>
                <w:color w:val="auto"/>
                <w:lang w:eastAsia="en-US"/>
              </w:rPr>
              <w:t xml:space="preserve">Target replacements of existing electric geysers with solar powered </w:t>
            </w:r>
          </w:p>
        </w:tc>
        <w:tc>
          <w:tcPr>
            <w:tcW w:w="2408" w:type="dxa"/>
          </w:tcPr>
          <w:p w14:paraId="789A9978"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6122EE">
              <w:rPr>
                <w:color w:val="auto"/>
                <w:lang w:eastAsia="en-US"/>
              </w:rPr>
              <w:t>12,500</w:t>
            </w:r>
          </w:p>
        </w:tc>
        <w:tc>
          <w:tcPr>
            <w:tcW w:w="2409" w:type="dxa"/>
          </w:tcPr>
          <w:p w14:paraId="5DFE82A2"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6122EE">
              <w:rPr>
                <w:color w:val="auto"/>
                <w:lang w:eastAsia="en-US"/>
              </w:rPr>
              <w:t>25,000</w:t>
            </w:r>
          </w:p>
        </w:tc>
        <w:tc>
          <w:tcPr>
            <w:tcW w:w="1923" w:type="dxa"/>
          </w:tcPr>
          <w:p w14:paraId="07E66C61"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6122EE">
              <w:rPr>
                <w:color w:val="auto"/>
                <w:lang w:eastAsia="en-US"/>
              </w:rPr>
              <w:t>40,000</w:t>
            </w:r>
          </w:p>
        </w:tc>
      </w:tr>
      <w:tr w:rsidR="00287D2D" w:rsidRPr="006122EE" w14:paraId="3C17D7FC" w14:textId="77777777" w:rsidTr="00B509DD">
        <w:tc>
          <w:tcPr>
            <w:cnfStyle w:val="001000000000" w:firstRow="0" w:lastRow="0" w:firstColumn="1" w:lastColumn="0" w:oddVBand="0" w:evenVBand="0" w:oddHBand="0" w:evenHBand="0" w:firstRowFirstColumn="0" w:firstRowLastColumn="0" w:lastRowFirstColumn="0" w:lastRowLastColumn="0"/>
            <w:tcW w:w="2877" w:type="dxa"/>
          </w:tcPr>
          <w:p w14:paraId="629F0D0B" w14:textId="77777777" w:rsidR="00287D2D" w:rsidRPr="006122EE" w:rsidRDefault="00287D2D" w:rsidP="00B509DD">
            <w:pPr>
              <w:jc w:val="left"/>
              <w:rPr>
                <w:b w:val="0"/>
                <w:color w:val="auto"/>
                <w:lang w:eastAsia="en-US"/>
              </w:rPr>
            </w:pPr>
            <w:r w:rsidRPr="006122EE">
              <w:rPr>
                <w:color w:val="auto"/>
                <w:lang w:eastAsia="en-US"/>
              </w:rPr>
              <w:t>Target installations of solar water heaters in rural households</w:t>
            </w:r>
          </w:p>
        </w:tc>
        <w:tc>
          <w:tcPr>
            <w:tcW w:w="2408" w:type="dxa"/>
          </w:tcPr>
          <w:p w14:paraId="0AC438EA" w14:textId="77777777" w:rsidR="00287D2D" w:rsidRPr="006122EE" w:rsidRDefault="00287D2D" w:rsidP="00B509DD">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122EE">
              <w:rPr>
                <w:color w:val="auto"/>
                <w:lang w:eastAsia="en-US"/>
              </w:rPr>
              <w:t>235,000</w:t>
            </w:r>
          </w:p>
        </w:tc>
        <w:tc>
          <w:tcPr>
            <w:tcW w:w="2409" w:type="dxa"/>
          </w:tcPr>
          <w:p w14:paraId="24C81B49" w14:textId="77777777" w:rsidR="00287D2D" w:rsidRPr="006122EE" w:rsidRDefault="00287D2D" w:rsidP="00B509DD">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122EE">
              <w:rPr>
                <w:color w:val="auto"/>
                <w:lang w:eastAsia="en-US"/>
              </w:rPr>
              <w:t>470,000</w:t>
            </w:r>
          </w:p>
        </w:tc>
        <w:tc>
          <w:tcPr>
            <w:tcW w:w="1923" w:type="dxa"/>
          </w:tcPr>
          <w:p w14:paraId="2BCB94CA" w14:textId="77777777" w:rsidR="00287D2D" w:rsidRPr="006122EE" w:rsidRDefault="00287D2D" w:rsidP="00B509DD">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122EE">
              <w:rPr>
                <w:color w:val="auto"/>
                <w:lang w:eastAsia="en-US"/>
              </w:rPr>
              <w:t>700,000</w:t>
            </w:r>
          </w:p>
        </w:tc>
      </w:tr>
    </w:tbl>
    <w:p w14:paraId="79C5A6C6" w14:textId="77777777" w:rsidR="0082018A" w:rsidRDefault="0082018A" w:rsidP="00992F21">
      <w:pPr>
        <w:pStyle w:val="CSubtitle2"/>
        <w:rPr>
          <w:noProof w:val="0"/>
          <w:lang w:val="en-GB"/>
        </w:rPr>
      </w:pPr>
    </w:p>
    <w:p w14:paraId="2E9BFE08" w14:textId="77777777" w:rsidR="00287D2D" w:rsidRPr="00866D96" w:rsidRDefault="00287D2D" w:rsidP="00992F21">
      <w:pPr>
        <w:pStyle w:val="CSubtitle2"/>
        <w:rPr>
          <w:noProof w:val="0"/>
          <w:lang w:val="en-GB" w:eastAsia="en-US"/>
        </w:rPr>
      </w:pPr>
      <w:r w:rsidRPr="00866D96">
        <w:rPr>
          <w:noProof w:val="0"/>
          <w:lang w:val="en-GB"/>
        </w:rPr>
        <w:t>Pre-paid meters</w:t>
      </w:r>
      <w:r w:rsidRPr="00866D96">
        <w:rPr>
          <w:noProof w:val="0"/>
          <w:lang w:val="en-GB" w:eastAsia="en-US"/>
        </w:rPr>
        <w:t xml:space="preserve"> </w:t>
      </w:r>
    </w:p>
    <w:p w14:paraId="316D3560" w14:textId="77777777" w:rsidR="00287D2D" w:rsidRPr="006122EE" w:rsidRDefault="00287D2D" w:rsidP="0082018A">
      <w:pPr>
        <w:spacing w:line="276" w:lineRule="auto"/>
        <w:ind w:left="1" w:firstLine="1"/>
        <w:jc w:val="left"/>
        <w:rPr>
          <w:lang w:eastAsia="en-US"/>
        </w:rPr>
      </w:pPr>
      <w:r w:rsidRPr="006122EE">
        <w:rPr>
          <w:lang w:eastAsia="en-US"/>
        </w:rPr>
        <w:t xml:space="preserve">Based on ESCOM`s early success with the implementation of the pre-paid meters program, an achievable goal would be to shift all grid connected households to pre-paid scheme by 2030. Assuming </w:t>
      </w:r>
      <w:r w:rsidR="0089762C" w:rsidRPr="006122EE">
        <w:rPr>
          <w:lang w:eastAsia="en-US"/>
        </w:rPr>
        <w:t xml:space="preserve">that </w:t>
      </w:r>
      <w:r w:rsidRPr="006122EE">
        <w:rPr>
          <w:lang w:eastAsia="en-US"/>
        </w:rPr>
        <w:t xml:space="preserve">30% of the households will be grid connected by then, this makes a gap of over </w:t>
      </w:r>
      <w:r w:rsidR="000348C9" w:rsidRPr="006122EE">
        <w:rPr>
          <w:lang w:eastAsia="en-US"/>
        </w:rPr>
        <w:t>1.6</w:t>
      </w:r>
      <w:r w:rsidRPr="006122EE">
        <w:rPr>
          <w:lang w:eastAsia="en-US"/>
        </w:rPr>
        <w:t xml:space="preserve"> million pre-paid meters in the residential sector alone.</w:t>
      </w:r>
      <w:r w:rsidR="00F6647E" w:rsidRPr="006122EE">
        <w:rPr>
          <w:lang w:eastAsia="en-US"/>
        </w:rPr>
        <w:t xml:space="preserve"> The 100% pre-paid meters coverage in the household sector should be achieved in 2025 and maintained through 2030 </w:t>
      </w:r>
    </w:p>
    <w:p w14:paraId="45A56DC1" w14:textId="77777777" w:rsidR="00287D2D" w:rsidRPr="006122EE" w:rsidRDefault="00287D2D" w:rsidP="00B509DD">
      <w:pPr>
        <w:pStyle w:val="Caption"/>
      </w:pPr>
      <w:bookmarkStart w:id="236" w:name="_Toc481615011"/>
      <w:r w:rsidRPr="006122EE">
        <w:t xml:space="preserve">Table </w:t>
      </w:r>
      <w:r w:rsidR="00DC7D8C">
        <w:fldChar w:fldCharType="begin"/>
      </w:r>
      <w:r w:rsidR="00DC7D8C">
        <w:instrText xml:space="preserve"> SEQ Table \* ARABIC </w:instrText>
      </w:r>
      <w:r w:rsidR="00DC7D8C">
        <w:fldChar w:fldCharType="separate"/>
      </w:r>
      <w:r w:rsidR="00866D96">
        <w:rPr>
          <w:noProof/>
        </w:rPr>
        <w:t>26</w:t>
      </w:r>
      <w:r w:rsidR="00DC7D8C">
        <w:rPr>
          <w:noProof/>
        </w:rPr>
        <w:fldChar w:fldCharType="end"/>
      </w:r>
      <w:r w:rsidRPr="00866D96">
        <w:t>:</w:t>
      </w:r>
      <w:r w:rsidRPr="006122EE">
        <w:t xml:space="preserve"> Target for pre-paid/smart meters installations</w:t>
      </w:r>
      <w:bookmarkEnd w:id="236"/>
    </w:p>
    <w:tbl>
      <w:tblPr>
        <w:tblStyle w:val="GridTable4-Accent31"/>
        <w:tblW w:w="0" w:type="auto"/>
        <w:tblLook w:val="04A0" w:firstRow="1" w:lastRow="0" w:firstColumn="1" w:lastColumn="0" w:noHBand="0" w:noVBand="1"/>
      </w:tblPr>
      <w:tblGrid>
        <w:gridCol w:w="2364"/>
        <w:gridCol w:w="2342"/>
        <w:gridCol w:w="2344"/>
        <w:gridCol w:w="2344"/>
      </w:tblGrid>
      <w:tr w:rsidR="00287D2D" w:rsidRPr="006122EE" w14:paraId="0C301081" w14:textId="77777777" w:rsidTr="00866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7062B2" w14:textId="77777777" w:rsidR="00287D2D" w:rsidRPr="006122EE" w:rsidRDefault="00287D2D" w:rsidP="00B509DD">
            <w:pPr>
              <w:pStyle w:val="CSubtitle2"/>
              <w:spacing w:before="120"/>
              <w:ind w:left="0"/>
              <w:rPr>
                <w:b/>
                <w:noProof w:val="0"/>
                <w:color w:val="000000" w:themeColor="text1"/>
                <w:lang w:val="en-GB" w:eastAsia="en-US"/>
              </w:rPr>
            </w:pPr>
          </w:p>
        </w:tc>
        <w:tc>
          <w:tcPr>
            <w:tcW w:w="2405" w:type="dxa"/>
          </w:tcPr>
          <w:p w14:paraId="508741D8" w14:textId="77777777" w:rsidR="00287D2D" w:rsidRPr="006122EE" w:rsidRDefault="00287D2D" w:rsidP="00B509DD">
            <w:pPr>
              <w:pStyle w:val="CSubtitle2"/>
              <w:spacing w:before="120"/>
              <w:ind w:left="0"/>
              <w:jc w:val="center"/>
              <w:cnfStyle w:val="100000000000" w:firstRow="1" w:lastRow="0" w:firstColumn="0" w:lastColumn="0" w:oddVBand="0" w:evenVBand="0" w:oddHBand="0" w:evenHBand="0" w:firstRowFirstColumn="0" w:firstRowLastColumn="0" w:lastRowFirstColumn="0" w:lastRowLastColumn="0"/>
              <w:rPr>
                <w:b/>
                <w:noProof w:val="0"/>
                <w:color w:val="FFFFFF" w:themeColor="background1"/>
                <w:lang w:val="en-GB" w:eastAsia="en-US"/>
              </w:rPr>
            </w:pPr>
            <w:r w:rsidRPr="006122EE">
              <w:rPr>
                <w:noProof w:val="0"/>
                <w:color w:val="FFFFFF" w:themeColor="background1"/>
                <w:lang w:val="en-GB" w:eastAsia="en-US"/>
              </w:rPr>
              <w:t>2020</w:t>
            </w:r>
          </w:p>
        </w:tc>
        <w:tc>
          <w:tcPr>
            <w:tcW w:w="2405" w:type="dxa"/>
          </w:tcPr>
          <w:p w14:paraId="6FF5ECFC" w14:textId="77777777" w:rsidR="00287D2D" w:rsidRPr="006122EE" w:rsidRDefault="00287D2D" w:rsidP="00B509DD">
            <w:pPr>
              <w:pStyle w:val="CSubtitle2"/>
              <w:spacing w:before="120"/>
              <w:ind w:left="0"/>
              <w:jc w:val="center"/>
              <w:cnfStyle w:val="100000000000" w:firstRow="1" w:lastRow="0" w:firstColumn="0" w:lastColumn="0" w:oddVBand="0" w:evenVBand="0" w:oddHBand="0" w:evenHBand="0" w:firstRowFirstColumn="0" w:firstRowLastColumn="0" w:lastRowFirstColumn="0" w:lastRowLastColumn="0"/>
              <w:rPr>
                <w:b/>
                <w:noProof w:val="0"/>
                <w:color w:val="FFFFFF" w:themeColor="background1"/>
                <w:lang w:val="en-GB" w:eastAsia="en-US"/>
              </w:rPr>
            </w:pPr>
            <w:r w:rsidRPr="006122EE">
              <w:rPr>
                <w:noProof w:val="0"/>
                <w:color w:val="FFFFFF" w:themeColor="background1"/>
                <w:lang w:val="en-GB" w:eastAsia="en-US"/>
              </w:rPr>
              <w:t>2025</w:t>
            </w:r>
          </w:p>
        </w:tc>
        <w:tc>
          <w:tcPr>
            <w:tcW w:w="2405" w:type="dxa"/>
          </w:tcPr>
          <w:p w14:paraId="48916081" w14:textId="77777777" w:rsidR="00287D2D" w:rsidRPr="006122EE" w:rsidRDefault="00287D2D" w:rsidP="00B509DD">
            <w:pPr>
              <w:pStyle w:val="CSubtitle2"/>
              <w:spacing w:before="120"/>
              <w:ind w:left="0"/>
              <w:jc w:val="center"/>
              <w:cnfStyle w:val="100000000000" w:firstRow="1" w:lastRow="0" w:firstColumn="0" w:lastColumn="0" w:oddVBand="0" w:evenVBand="0" w:oddHBand="0" w:evenHBand="0" w:firstRowFirstColumn="0" w:firstRowLastColumn="0" w:lastRowFirstColumn="0" w:lastRowLastColumn="0"/>
              <w:rPr>
                <w:b/>
                <w:noProof w:val="0"/>
                <w:color w:val="FFFFFF" w:themeColor="background1"/>
                <w:lang w:val="en-GB" w:eastAsia="en-US"/>
              </w:rPr>
            </w:pPr>
            <w:r w:rsidRPr="006122EE">
              <w:rPr>
                <w:noProof w:val="0"/>
                <w:color w:val="FFFFFF" w:themeColor="background1"/>
                <w:lang w:val="en-GB" w:eastAsia="en-US"/>
              </w:rPr>
              <w:t>2030</w:t>
            </w:r>
          </w:p>
        </w:tc>
      </w:tr>
      <w:tr w:rsidR="00287D2D" w:rsidRPr="006122EE" w14:paraId="6C940779" w14:textId="77777777" w:rsidTr="00866D9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05" w:type="dxa"/>
          </w:tcPr>
          <w:p w14:paraId="2AF5DDF6" w14:textId="77777777" w:rsidR="00287D2D" w:rsidRPr="006122EE" w:rsidRDefault="00287D2D" w:rsidP="00B509DD">
            <w:pPr>
              <w:pStyle w:val="CSubtitle2"/>
              <w:spacing w:before="120"/>
              <w:ind w:left="0"/>
              <w:jc w:val="left"/>
              <w:rPr>
                <w:b/>
                <w:noProof w:val="0"/>
                <w:color w:val="000000" w:themeColor="text1"/>
                <w:lang w:val="en-GB" w:eastAsia="en-US"/>
              </w:rPr>
            </w:pPr>
            <w:r w:rsidRPr="006122EE">
              <w:rPr>
                <w:noProof w:val="0"/>
                <w:color w:val="000000" w:themeColor="text1"/>
                <w:lang w:val="en-GB" w:eastAsia="en-US"/>
              </w:rPr>
              <w:t>Number of newly installed pre-paid/smart meters</w:t>
            </w:r>
          </w:p>
        </w:tc>
        <w:tc>
          <w:tcPr>
            <w:tcW w:w="2405" w:type="dxa"/>
          </w:tcPr>
          <w:p w14:paraId="3550E994" w14:textId="77777777" w:rsidR="00287D2D" w:rsidRPr="006122EE" w:rsidRDefault="00287D2D" w:rsidP="00B509DD">
            <w:pPr>
              <w:pStyle w:val="CSubtitle2"/>
              <w:spacing w:before="120"/>
              <w:ind w:left="0"/>
              <w:jc w:val="center"/>
              <w:cnfStyle w:val="000000100000" w:firstRow="0" w:lastRow="0" w:firstColumn="0" w:lastColumn="0" w:oddVBand="0" w:evenVBand="0" w:oddHBand="1"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564 000</w:t>
            </w:r>
          </w:p>
        </w:tc>
        <w:tc>
          <w:tcPr>
            <w:tcW w:w="2405" w:type="dxa"/>
          </w:tcPr>
          <w:p w14:paraId="7C1DA9FB" w14:textId="77777777" w:rsidR="00287D2D" w:rsidRPr="006122EE" w:rsidRDefault="00287D2D" w:rsidP="00B509DD">
            <w:pPr>
              <w:pStyle w:val="CSubtitle2"/>
              <w:spacing w:before="120"/>
              <w:ind w:left="0"/>
              <w:jc w:val="center"/>
              <w:cnfStyle w:val="000000100000" w:firstRow="0" w:lastRow="0" w:firstColumn="0" w:lastColumn="0" w:oddVBand="0" w:evenVBand="0" w:oddHBand="1"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1 250 000</w:t>
            </w:r>
          </w:p>
        </w:tc>
        <w:tc>
          <w:tcPr>
            <w:tcW w:w="2405" w:type="dxa"/>
          </w:tcPr>
          <w:p w14:paraId="190EEC82" w14:textId="77777777" w:rsidR="00287D2D" w:rsidRPr="006122EE" w:rsidRDefault="000348C9" w:rsidP="000348C9">
            <w:pPr>
              <w:pStyle w:val="CSubtitle2"/>
              <w:spacing w:before="120"/>
              <w:ind w:left="0"/>
              <w:jc w:val="center"/>
              <w:cnfStyle w:val="000000100000" w:firstRow="0" w:lastRow="0" w:firstColumn="0" w:lastColumn="0" w:oddVBand="0" w:evenVBand="0" w:oddHBand="1"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1</w:t>
            </w:r>
            <w:r w:rsidR="00287D2D" w:rsidRPr="006122EE">
              <w:rPr>
                <w:b w:val="0"/>
                <w:noProof w:val="0"/>
                <w:color w:val="000000" w:themeColor="text1"/>
                <w:lang w:val="en-GB" w:eastAsia="en-US"/>
              </w:rPr>
              <w:t> </w:t>
            </w:r>
            <w:r w:rsidRPr="006122EE">
              <w:rPr>
                <w:b w:val="0"/>
                <w:noProof w:val="0"/>
                <w:color w:val="000000" w:themeColor="text1"/>
                <w:lang w:val="en-GB" w:eastAsia="en-US"/>
              </w:rPr>
              <w:t>6</w:t>
            </w:r>
            <w:r w:rsidR="00287D2D" w:rsidRPr="006122EE">
              <w:rPr>
                <w:b w:val="0"/>
                <w:noProof w:val="0"/>
                <w:color w:val="000000" w:themeColor="text1"/>
                <w:lang w:val="en-GB" w:eastAsia="en-US"/>
              </w:rPr>
              <w:t>00 000</w:t>
            </w:r>
          </w:p>
        </w:tc>
      </w:tr>
      <w:tr w:rsidR="00CB0B62" w:rsidRPr="006122EE" w14:paraId="5CFD6A1F" w14:textId="77777777" w:rsidTr="00B509DD">
        <w:trPr>
          <w:trHeight w:val="391"/>
        </w:trPr>
        <w:tc>
          <w:tcPr>
            <w:cnfStyle w:val="001000000000" w:firstRow="0" w:lastRow="0" w:firstColumn="1" w:lastColumn="0" w:oddVBand="0" w:evenVBand="0" w:oddHBand="0" w:evenHBand="0" w:firstRowFirstColumn="0" w:firstRowLastColumn="0" w:lastRowFirstColumn="0" w:lastRowLastColumn="0"/>
            <w:tcW w:w="2405" w:type="dxa"/>
          </w:tcPr>
          <w:p w14:paraId="05EF9B68" w14:textId="77777777" w:rsidR="00CB0B62" w:rsidRPr="006122EE" w:rsidRDefault="00CB0B62" w:rsidP="00B509DD">
            <w:pPr>
              <w:pStyle w:val="CSubtitle2"/>
              <w:spacing w:before="120"/>
              <w:ind w:left="0"/>
              <w:jc w:val="left"/>
              <w:rPr>
                <w:noProof w:val="0"/>
                <w:color w:val="000000" w:themeColor="text1"/>
                <w:lang w:val="en-GB" w:eastAsia="en-US"/>
              </w:rPr>
            </w:pPr>
            <w:r w:rsidRPr="006122EE">
              <w:rPr>
                <w:noProof w:val="0"/>
                <w:color w:val="000000" w:themeColor="text1"/>
                <w:lang w:val="en-GB" w:eastAsia="en-US"/>
              </w:rPr>
              <w:t>Share of grid connected households using pre-paid metering</w:t>
            </w:r>
          </w:p>
        </w:tc>
        <w:tc>
          <w:tcPr>
            <w:tcW w:w="2405" w:type="dxa"/>
          </w:tcPr>
          <w:p w14:paraId="54298E5E" w14:textId="77777777" w:rsidR="00CB0B62" w:rsidRPr="006122EE" w:rsidRDefault="00F6647E" w:rsidP="00B509DD">
            <w:pPr>
              <w:pStyle w:val="CSubtitle2"/>
              <w:spacing w:before="120"/>
              <w:ind w:left="0"/>
              <w:jc w:val="center"/>
              <w:cnfStyle w:val="000000000000" w:firstRow="0" w:lastRow="0" w:firstColumn="0" w:lastColumn="0" w:oddVBand="0" w:evenVBand="0" w:oddHBand="0"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85%</w:t>
            </w:r>
          </w:p>
        </w:tc>
        <w:tc>
          <w:tcPr>
            <w:tcW w:w="2405" w:type="dxa"/>
          </w:tcPr>
          <w:p w14:paraId="59477EB8" w14:textId="77777777" w:rsidR="00CB0B62" w:rsidRPr="006122EE" w:rsidRDefault="00F6647E" w:rsidP="00B509DD">
            <w:pPr>
              <w:pStyle w:val="CSubtitle2"/>
              <w:spacing w:before="120"/>
              <w:ind w:left="0"/>
              <w:jc w:val="center"/>
              <w:cnfStyle w:val="000000000000" w:firstRow="0" w:lastRow="0" w:firstColumn="0" w:lastColumn="0" w:oddVBand="0" w:evenVBand="0" w:oddHBand="0"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100%</w:t>
            </w:r>
          </w:p>
        </w:tc>
        <w:tc>
          <w:tcPr>
            <w:tcW w:w="2405" w:type="dxa"/>
          </w:tcPr>
          <w:p w14:paraId="26D53921" w14:textId="77777777" w:rsidR="00CB0B62" w:rsidRPr="006122EE" w:rsidRDefault="00CB0B62" w:rsidP="000348C9">
            <w:pPr>
              <w:pStyle w:val="CSubtitle2"/>
              <w:spacing w:before="120"/>
              <w:ind w:left="0"/>
              <w:jc w:val="center"/>
              <w:cnfStyle w:val="000000000000" w:firstRow="0" w:lastRow="0" w:firstColumn="0" w:lastColumn="0" w:oddVBand="0" w:evenVBand="0" w:oddHBand="0" w:evenHBand="0" w:firstRowFirstColumn="0" w:firstRowLastColumn="0" w:lastRowFirstColumn="0" w:lastRowLastColumn="0"/>
              <w:rPr>
                <w:b w:val="0"/>
                <w:noProof w:val="0"/>
                <w:color w:val="000000" w:themeColor="text1"/>
                <w:lang w:val="en-GB" w:eastAsia="en-US"/>
              </w:rPr>
            </w:pPr>
            <w:r w:rsidRPr="006122EE">
              <w:rPr>
                <w:b w:val="0"/>
                <w:noProof w:val="0"/>
                <w:color w:val="000000" w:themeColor="text1"/>
                <w:lang w:val="en-GB" w:eastAsia="en-US"/>
              </w:rPr>
              <w:t>100%</w:t>
            </w:r>
          </w:p>
        </w:tc>
      </w:tr>
    </w:tbl>
    <w:p w14:paraId="00DD1DE1" w14:textId="77777777" w:rsidR="0082018A" w:rsidRDefault="0082018A" w:rsidP="00B509DD">
      <w:pPr>
        <w:pStyle w:val="CSubtitle2"/>
        <w:rPr>
          <w:noProof w:val="0"/>
          <w:lang w:val="en-GB"/>
        </w:rPr>
      </w:pPr>
    </w:p>
    <w:p w14:paraId="3DCFE275" w14:textId="77777777" w:rsidR="00287D2D" w:rsidRPr="006122EE" w:rsidRDefault="00287D2D" w:rsidP="00B509DD">
      <w:pPr>
        <w:pStyle w:val="CSubtitle2"/>
        <w:rPr>
          <w:noProof w:val="0"/>
          <w:lang w:val="en-GB"/>
        </w:rPr>
      </w:pPr>
      <w:r w:rsidRPr="006122EE">
        <w:rPr>
          <w:noProof w:val="0"/>
          <w:lang w:val="en-GB"/>
        </w:rPr>
        <w:t xml:space="preserve">Lighting </w:t>
      </w:r>
    </w:p>
    <w:p w14:paraId="6B2F724D" w14:textId="77777777" w:rsidR="00287D2D" w:rsidRPr="006122EE" w:rsidRDefault="00F539B6" w:rsidP="0082018A">
      <w:pPr>
        <w:spacing w:line="276" w:lineRule="auto"/>
        <w:rPr>
          <w:lang w:eastAsia="en-US"/>
        </w:rPr>
      </w:pPr>
      <w:r w:rsidRPr="006122EE">
        <w:rPr>
          <w:lang w:eastAsia="en-US"/>
        </w:rPr>
        <w:t xml:space="preserve">An </w:t>
      </w:r>
      <w:r w:rsidR="00287D2D" w:rsidRPr="006122EE">
        <w:rPr>
          <w:lang w:eastAsia="en-US"/>
        </w:rPr>
        <w:t xml:space="preserve">energy saving bulb rollout project </w:t>
      </w:r>
      <w:r w:rsidR="00287D2D" w:rsidRPr="006122EE">
        <w:rPr>
          <w:color w:val="auto"/>
          <w:szCs w:val="20"/>
        </w:rPr>
        <w:t xml:space="preserve">achieved a 65 MW reduction in the morning </w:t>
      </w:r>
      <w:r w:rsidR="0089762C" w:rsidRPr="006122EE">
        <w:rPr>
          <w:color w:val="auto"/>
          <w:szCs w:val="20"/>
        </w:rPr>
        <w:t>peak and</w:t>
      </w:r>
      <w:r w:rsidR="00287D2D" w:rsidRPr="006122EE">
        <w:rPr>
          <w:color w:val="auto"/>
          <w:szCs w:val="20"/>
        </w:rPr>
        <w:t xml:space="preserve"> a 51 MW reduction in the evening peak</w:t>
      </w:r>
      <w:r w:rsidR="001231B6" w:rsidRPr="006122EE">
        <w:rPr>
          <w:color w:val="auto"/>
          <w:szCs w:val="20"/>
        </w:rPr>
        <w:t xml:space="preserve">. </w:t>
      </w:r>
      <w:r w:rsidR="00287D2D" w:rsidRPr="006122EE">
        <w:rPr>
          <w:color w:val="auto"/>
          <w:szCs w:val="20"/>
        </w:rPr>
        <w:t>There was an overall15 - 20% reduction of national peak demand, which proved that lighting efficiency initiatives can have a significant impact in Malawi. To further improve the energy situation in the country, the GoM will, through various programs, subsidize the shift from more energy intensive lighting solutions (incandescent, CFL) to LED. Such programs are not necessarily limited to dissemination of free LED bulbs to the consumers, but can include import duty and tax reliefs, soft loans, MEPS (Minimum Energy Performance Standards) and labelling measures, etc.</w:t>
      </w:r>
    </w:p>
    <w:p w14:paraId="1640EA70" w14:textId="77777777" w:rsidR="0089762C" w:rsidRDefault="00287D2D" w:rsidP="0082018A">
      <w:pPr>
        <w:spacing w:line="276" w:lineRule="auto"/>
        <w:rPr>
          <w:lang w:eastAsia="en-US"/>
        </w:rPr>
      </w:pPr>
      <w:r w:rsidRPr="006122EE">
        <w:rPr>
          <w:lang w:eastAsia="en-US"/>
        </w:rPr>
        <w:t>Assuming 30% grid connected households in 2030 and an average of 8 light bulbs per household, the total number of lighting fixtures in the household sector will increase to 16.5 million. Around 550</w:t>
      </w:r>
      <w:r w:rsidR="001231B6" w:rsidRPr="006122EE">
        <w:rPr>
          <w:lang w:eastAsia="en-US"/>
        </w:rPr>
        <w:t>,</w:t>
      </w:r>
      <w:r w:rsidR="0089762C" w:rsidRPr="006122EE">
        <w:rPr>
          <w:lang w:eastAsia="en-US"/>
        </w:rPr>
        <w:t>000 LEDs</w:t>
      </w:r>
      <w:r w:rsidRPr="006122EE">
        <w:rPr>
          <w:lang w:eastAsia="en-US"/>
        </w:rPr>
        <w:t xml:space="preserve"> on average will need to be installed annually to reach 50% penetration rate by 2030.</w:t>
      </w:r>
      <w:r w:rsidR="00D713E2" w:rsidRPr="006122EE">
        <w:rPr>
          <w:lang w:eastAsia="en-US"/>
        </w:rPr>
        <w:t xml:space="preserve"> The implementation of minimum energy performance standards (MEPS) and the ban on use of inefficient light bulbs will prevent the people from going back to incandescent bulbs after the LEDs burn out.  </w:t>
      </w:r>
    </w:p>
    <w:p w14:paraId="536E84E8" w14:textId="77777777" w:rsidR="0082018A" w:rsidRPr="006122EE" w:rsidRDefault="0082018A" w:rsidP="0082018A">
      <w:pPr>
        <w:spacing w:line="276" w:lineRule="auto"/>
        <w:rPr>
          <w:lang w:eastAsia="en-US"/>
        </w:rPr>
      </w:pPr>
    </w:p>
    <w:p w14:paraId="51ED974A" w14:textId="77777777" w:rsidR="00287D2D" w:rsidRPr="006122EE" w:rsidRDefault="00287D2D" w:rsidP="00B509DD">
      <w:pPr>
        <w:pStyle w:val="Caption"/>
      </w:pPr>
      <w:bookmarkStart w:id="237" w:name="_Toc481615012"/>
      <w:r w:rsidRPr="006122EE">
        <w:t xml:space="preserve">Table </w:t>
      </w:r>
      <w:r w:rsidR="00DC7D8C">
        <w:fldChar w:fldCharType="begin"/>
      </w:r>
      <w:r w:rsidR="00DC7D8C">
        <w:instrText xml:space="preserve"> SEQ Table \* ARABIC </w:instrText>
      </w:r>
      <w:r w:rsidR="00DC7D8C">
        <w:fldChar w:fldCharType="separate"/>
      </w:r>
      <w:r w:rsidR="00866D96">
        <w:rPr>
          <w:noProof/>
        </w:rPr>
        <w:t>27</w:t>
      </w:r>
      <w:r w:rsidR="00DC7D8C">
        <w:rPr>
          <w:noProof/>
        </w:rPr>
        <w:fldChar w:fldCharType="end"/>
      </w:r>
      <w:r w:rsidRPr="00866D96">
        <w:t>:</w:t>
      </w:r>
      <w:r w:rsidRPr="006122EE">
        <w:t xml:space="preserve"> Target number of efficient bulbs</w:t>
      </w:r>
      <w:bookmarkEnd w:id="237"/>
    </w:p>
    <w:tbl>
      <w:tblPr>
        <w:tblStyle w:val="GridTable4-Accent31"/>
        <w:tblW w:w="0" w:type="auto"/>
        <w:tblLook w:val="04A0" w:firstRow="1" w:lastRow="0" w:firstColumn="1" w:lastColumn="0" w:noHBand="0" w:noVBand="1"/>
      </w:tblPr>
      <w:tblGrid>
        <w:gridCol w:w="2364"/>
        <w:gridCol w:w="2344"/>
        <w:gridCol w:w="2342"/>
        <w:gridCol w:w="2344"/>
      </w:tblGrid>
      <w:tr w:rsidR="00287D2D" w:rsidRPr="006122EE" w14:paraId="613D083F"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D1D803" w14:textId="77777777" w:rsidR="00287D2D" w:rsidRPr="006122EE" w:rsidRDefault="00287D2D" w:rsidP="00B509DD">
            <w:pPr>
              <w:rPr>
                <w:lang w:eastAsia="en-US"/>
              </w:rPr>
            </w:pPr>
            <w:r w:rsidRPr="006122EE">
              <w:rPr>
                <w:lang w:eastAsia="en-US"/>
              </w:rPr>
              <w:t>Lighting technology</w:t>
            </w:r>
          </w:p>
        </w:tc>
        <w:tc>
          <w:tcPr>
            <w:tcW w:w="2405" w:type="dxa"/>
          </w:tcPr>
          <w:p w14:paraId="6758B4AB"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2020</w:t>
            </w:r>
          </w:p>
        </w:tc>
        <w:tc>
          <w:tcPr>
            <w:tcW w:w="2405" w:type="dxa"/>
          </w:tcPr>
          <w:p w14:paraId="5117EC32"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2025</w:t>
            </w:r>
          </w:p>
        </w:tc>
        <w:tc>
          <w:tcPr>
            <w:tcW w:w="2405" w:type="dxa"/>
          </w:tcPr>
          <w:p w14:paraId="1DCD1F78"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2030</w:t>
            </w:r>
          </w:p>
        </w:tc>
      </w:tr>
      <w:tr w:rsidR="00287D2D" w:rsidRPr="006122EE" w14:paraId="634D0DDD"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7247ED" w14:textId="77777777" w:rsidR="00287D2D" w:rsidRPr="006122EE" w:rsidRDefault="00287D2D" w:rsidP="00B509DD">
            <w:pPr>
              <w:rPr>
                <w:lang w:eastAsia="en-US"/>
              </w:rPr>
            </w:pPr>
            <w:r w:rsidRPr="006122EE">
              <w:rPr>
                <w:lang w:eastAsia="en-US"/>
              </w:rPr>
              <w:t>LED</w:t>
            </w:r>
          </w:p>
        </w:tc>
        <w:tc>
          <w:tcPr>
            <w:tcW w:w="2405" w:type="dxa"/>
          </w:tcPr>
          <w:p w14:paraId="243E56A5" w14:textId="77777777" w:rsidR="00287D2D" w:rsidRPr="006122EE" w:rsidRDefault="00287D2D" w:rsidP="0089762C">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2 750 000</w:t>
            </w:r>
          </w:p>
        </w:tc>
        <w:tc>
          <w:tcPr>
            <w:tcW w:w="2405" w:type="dxa"/>
          </w:tcPr>
          <w:p w14:paraId="068EC20D" w14:textId="77777777" w:rsidR="00287D2D" w:rsidRPr="006122EE" w:rsidRDefault="00287D2D" w:rsidP="0089762C">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5 50 000</w:t>
            </w:r>
          </w:p>
        </w:tc>
        <w:tc>
          <w:tcPr>
            <w:tcW w:w="2405" w:type="dxa"/>
          </w:tcPr>
          <w:p w14:paraId="2DB7127D" w14:textId="77777777" w:rsidR="00287D2D" w:rsidRPr="006122EE" w:rsidRDefault="00287D2D" w:rsidP="0089762C">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8 250 000</w:t>
            </w:r>
          </w:p>
        </w:tc>
      </w:tr>
    </w:tbl>
    <w:p w14:paraId="1E19C9EE" w14:textId="77777777" w:rsidR="0082018A" w:rsidRDefault="0082018A" w:rsidP="00B509DD">
      <w:pPr>
        <w:pStyle w:val="CSubtitle2"/>
        <w:rPr>
          <w:noProof w:val="0"/>
          <w:lang w:val="en-GB"/>
        </w:rPr>
      </w:pPr>
    </w:p>
    <w:p w14:paraId="5E645F7D" w14:textId="77777777" w:rsidR="00287D2D" w:rsidRPr="006122EE" w:rsidRDefault="00287D2D" w:rsidP="00B509DD">
      <w:pPr>
        <w:pStyle w:val="CSubtitle2"/>
        <w:rPr>
          <w:noProof w:val="0"/>
          <w:lang w:val="en-GB"/>
        </w:rPr>
      </w:pPr>
      <w:r w:rsidRPr="006122EE">
        <w:rPr>
          <w:noProof w:val="0"/>
          <w:lang w:val="en-GB"/>
        </w:rPr>
        <w:t>Agriculture</w:t>
      </w:r>
    </w:p>
    <w:p w14:paraId="4BB028CF" w14:textId="77777777" w:rsidR="00287D2D" w:rsidRPr="006122EE" w:rsidRDefault="00287D2D" w:rsidP="0082018A">
      <w:pPr>
        <w:spacing w:line="276" w:lineRule="auto"/>
        <w:rPr>
          <w:lang w:eastAsia="en-US"/>
        </w:rPr>
      </w:pPr>
      <w:r w:rsidRPr="006122EE">
        <w:rPr>
          <w:lang w:eastAsia="en-US"/>
        </w:rPr>
        <w:t xml:space="preserve">Creating around 80% of the employment, generating over 70% of the foreign exchange earnings and nearly 30% of country`s GDP, the Agriculture is naturally the most important sector of Malawi`s economy. </w:t>
      </w:r>
    </w:p>
    <w:p w14:paraId="401A6457" w14:textId="77777777" w:rsidR="00287D2D" w:rsidRDefault="00287D2D" w:rsidP="0082018A">
      <w:pPr>
        <w:spacing w:line="276" w:lineRule="auto"/>
        <w:ind w:left="1" w:firstLine="1"/>
        <w:rPr>
          <w:lang w:eastAsia="en-US"/>
        </w:rPr>
      </w:pPr>
      <w:r w:rsidRPr="006122EE">
        <w:rPr>
          <w:lang w:eastAsia="en-US"/>
        </w:rPr>
        <w:t>According to the Biomass energy strategy, tobacco curing is the most energy intensive activity within the agricultural sector, consuming 100,000 tones dry wood equivalent</w:t>
      </w:r>
      <w:r w:rsidRPr="006122EE">
        <w:rPr>
          <w:rStyle w:val="FootnoteReference"/>
        </w:rPr>
        <w:footnoteReference w:id="50"/>
      </w:r>
      <w:r w:rsidRPr="006122EE">
        <w:rPr>
          <w:lang w:eastAsia="en-US"/>
        </w:rPr>
        <w:t xml:space="preserve"> per year. Small-holder farmers have limited capital, which leads them to resort to ‘low cost’ fuel wood for curing tobacco.</w:t>
      </w:r>
      <w:r w:rsidRPr="006122EE">
        <w:t xml:space="preserve"> Data from Tobacco control comm</w:t>
      </w:r>
      <w:r w:rsidR="003B16C1" w:rsidRPr="006122EE">
        <w:t>i</w:t>
      </w:r>
      <w:r w:rsidR="00B5536D" w:rsidRPr="006122EE">
        <w:t>s</w:t>
      </w:r>
      <w:r w:rsidR="003B16C1" w:rsidRPr="006122EE">
        <w:t xml:space="preserve">sion </w:t>
      </w:r>
      <w:r w:rsidRPr="006122EE">
        <w:t xml:space="preserve">of Malawi indicates that as of 2016 there are nearly 30,000 tobacco growers in the country, most of these small scale farmers, using </w:t>
      </w:r>
      <w:r w:rsidRPr="006122EE">
        <w:rPr>
          <w:lang w:eastAsia="en-US"/>
        </w:rPr>
        <w:t xml:space="preserve">wood for curing. Helping the small scale growers </w:t>
      </w:r>
      <w:r w:rsidRPr="006122EE">
        <w:t>to</w:t>
      </w:r>
      <w:r w:rsidRPr="006122EE">
        <w:rPr>
          <w:lang w:eastAsia="en-US"/>
        </w:rPr>
        <w:t xml:space="preserve"> shift to more efficient (rocket type) barns or barns based on other energy sources can halve the tobacco curing related wood consumption by 2030.</w:t>
      </w:r>
    </w:p>
    <w:p w14:paraId="4F8840F6" w14:textId="77777777" w:rsidR="0082018A" w:rsidRDefault="0082018A">
      <w:pPr>
        <w:spacing w:before="0" w:after="0" w:line="240" w:lineRule="auto"/>
        <w:jc w:val="left"/>
        <w:rPr>
          <w:lang w:eastAsia="en-US"/>
        </w:rPr>
      </w:pPr>
      <w:r>
        <w:rPr>
          <w:lang w:eastAsia="en-US"/>
        </w:rPr>
        <w:br w:type="page"/>
      </w:r>
    </w:p>
    <w:p w14:paraId="3930F1AA" w14:textId="77777777" w:rsidR="0082018A" w:rsidRPr="006122EE" w:rsidRDefault="0082018A" w:rsidP="0082018A">
      <w:pPr>
        <w:spacing w:line="276" w:lineRule="auto"/>
        <w:ind w:left="1" w:firstLine="1"/>
        <w:rPr>
          <w:lang w:eastAsia="en-US"/>
        </w:rPr>
      </w:pPr>
    </w:p>
    <w:p w14:paraId="25B3C77F" w14:textId="77777777" w:rsidR="00287D2D" w:rsidRPr="006122EE" w:rsidRDefault="00287D2D" w:rsidP="00B509DD">
      <w:pPr>
        <w:pStyle w:val="Caption"/>
      </w:pPr>
      <w:bookmarkStart w:id="238" w:name="_Toc481615013"/>
      <w:r w:rsidRPr="006122EE">
        <w:t xml:space="preserve">Table </w:t>
      </w:r>
      <w:r w:rsidR="00DC7D8C">
        <w:fldChar w:fldCharType="begin"/>
      </w:r>
      <w:r w:rsidR="00DC7D8C">
        <w:instrText xml:space="preserve"> SEQ Table \* ARABIC </w:instrText>
      </w:r>
      <w:r w:rsidR="00DC7D8C">
        <w:fldChar w:fldCharType="separate"/>
      </w:r>
      <w:r w:rsidR="00866D96">
        <w:rPr>
          <w:noProof/>
        </w:rPr>
        <w:t>28</w:t>
      </w:r>
      <w:r w:rsidR="00DC7D8C">
        <w:rPr>
          <w:noProof/>
        </w:rPr>
        <w:fldChar w:fldCharType="end"/>
      </w:r>
      <w:r w:rsidRPr="006122EE">
        <w:t>: Efficient tobacco curing barns target</w:t>
      </w:r>
      <w:bookmarkEnd w:id="238"/>
    </w:p>
    <w:tbl>
      <w:tblPr>
        <w:tblStyle w:val="GridTable4-Accent31"/>
        <w:tblW w:w="5000" w:type="pct"/>
        <w:tblLook w:val="04A0" w:firstRow="1" w:lastRow="0" w:firstColumn="1" w:lastColumn="0" w:noHBand="0" w:noVBand="1"/>
      </w:tblPr>
      <w:tblGrid>
        <w:gridCol w:w="6045"/>
        <w:gridCol w:w="1013"/>
        <w:gridCol w:w="1169"/>
        <w:gridCol w:w="1167"/>
      </w:tblGrid>
      <w:tr w:rsidR="00287D2D" w:rsidRPr="006122EE" w14:paraId="7D8F64A4"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7CF92A93" w14:textId="77777777" w:rsidR="00287D2D" w:rsidRPr="006122EE" w:rsidRDefault="00287D2D" w:rsidP="00B509DD">
            <w:pPr>
              <w:rPr>
                <w:lang w:eastAsia="en-US"/>
              </w:rPr>
            </w:pPr>
          </w:p>
        </w:tc>
        <w:tc>
          <w:tcPr>
            <w:tcW w:w="539" w:type="pct"/>
          </w:tcPr>
          <w:p w14:paraId="7DE348A1"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2020</w:t>
            </w:r>
          </w:p>
        </w:tc>
        <w:tc>
          <w:tcPr>
            <w:tcW w:w="622" w:type="pct"/>
          </w:tcPr>
          <w:p w14:paraId="136632D1"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2025</w:t>
            </w:r>
          </w:p>
        </w:tc>
        <w:tc>
          <w:tcPr>
            <w:tcW w:w="621" w:type="pct"/>
          </w:tcPr>
          <w:p w14:paraId="52B825CF"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2030</w:t>
            </w:r>
          </w:p>
        </w:tc>
      </w:tr>
      <w:tr w:rsidR="00287D2D" w:rsidRPr="006122EE" w14:paraId="157BD1ED"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0114DDBF" w14:textId="77777777" w:rsidR="00287D2D" w:rsidRPr="006122EE" w:rsidRDefault="00287D2D" w:rsidP="00B509DD">
            <w:pPr>
              <w:rPr>
                <w:lang w:eastAsia="en-US"/>
              </w:rPr>
            </w:pPr>
            <w:r w:rsidRPr="006122EE">
              <w:rPr>
                <w:lang w:eastAsia="en-US"/>
              </w:rPr>
              <w:t>Number of new efficient barns constructed</w:t>
            </w:r>
          </w:p>
        </w:tc>
        <w:tc>
          <w:tcPr>
            <w:tcW w:w="539" w:type="pct"/>
          </w:tcPr>
          <w:p w14:paraId="188B86BC"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2,000</w:t>
            </w:r>
          </w:p>
        </w:tc>
        <w:tc>
          <w:tcPr>
            <w:tcW w:w="622" w:type="pct"/>
          </w:tcPr>
          <w:p w14:paraId="3BBCA36E" w14:textId="77777777" w:rsidR="00287D2D" w:rsidRPr="006122EE" w:rsidRDefault="00CB2BC2" w:rsidP="00CB2BC2">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3</w:t>
            </w:r>
            <w:r w:rsidR="00287D2D" w:rsidRPr="006122EE">
              <w:rPr>
                <w:lang w:eastAsia="en-US"/>
              </w:rPr>
              <w:t>,</w:t>
            </w:r>
            <w:r w:rsidRPr="006122EE">
              <w:rPr>
                <w:lang w:eastAsia="en-US"/>
              </w:rPr>
              <w:t>5</w:t>
            </w:r>
            <w:r w:rsidR="00287D2D" w:rsidRPr="006122EE">
              <w:rPr>
                <w:lang w:eastAsia="en-US"/>
              </w:rPr>
              <w:t>00</w:t>
            </w:r>
          </w:p>
        </w:tc>
        <w:tc>
          <w:tcPr>
            <w:tcW w:w="621" w:type="pct"/>
          </w:tcPr>
          <w:p w14:paraId="4ED67CBA" w14:textId="77777777" w:rsidR="00287D2D" w:rsidRPr="006122EE" w:rsidRDefault="00CB2BC2" w:rsidP="00B509DD">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5</w:t>
            </w:r>
            <w:r w:rsidR="00287D2D" w:rsidRPr="006122EE">
              <w:rPr>
                <w:lang w:eastAsia="en-US"/>
              </w:rPr>
              <w:t>,000</w:t>
            </w:r>
          </w:p>
        </w:tc>
      </w:tr>
    </w:tbl>
    <w:p w14:paraId="4A312938" w14:textId="77777777" w:rsidR="00287D2D" w:rsidRPr="006122EE" w:rsidRDefault="00287D2D" w:rsidP="00B509DD">
      <w:pPr>
        <w:pStyle w:val="CSubtitle2"/>
        <w:rPr>
          <w:noProof w:val="0"/>
          <w:lang w:val="en-GB"/>
        </w:rPr>
      </w:pPr>
      <w:r w:rsidRPr="006122EE">
        <w:rPr>
          <w:noProof w:val="0"/>
          <w:lang w:val="en-GB"/>
        </w:rPr>
        <w:t xml:space="preserve">Electricity production, transmission and distribution </w:t>
      </w:r>
    </w:p>
    <w:p w14:paraId="5B07250E" w14:textId="77777777" w:rsidR="00287D2D" w:rsidRPr="006122EE" w:rsidRDefault="00287D2D" w:rsidP="0082018A">
      <w:pPr>
        <w:spacing w:line="276" w:lineRule="auto"/>
        <w:ind w:left="1" w:firstLine="1"/>
        <w:rPr>
          <w:color w:val="auto"/>
        </w:rPr>
      </w:pPr>
      <w:r w:rsidRPr="006122EE">
        <w:rPr>
          <w:color w:val="auto"/>
        </w:rPr>
        <w:t>According to the W</w:t>
      </w:r>
      <w:r w:rsidR="00EC40F7" w:rsidRPr="006122EE">
        <w:rPr>
          <w:color w:val="auto"/>
        </w:rPr>
        <w:t xml:space="preserve">orld Bank </w:t>
      </w:r>
      <w:r w:rsidRPr="006122EE">
        <w:rPr>
          <w:color w:val="auto"/>
        </w:rPr>
        <w:t xml:space="preserve">Energy Sector </w:t>
      </w:r>
      <w:r w:rsidR="00EC40F7" w:rsidRPr="006122EE">
        <w:rPr>
          <w:color w:val="auto"/>
        </w:rPr>
        <w:t>Management Program (ESMAP)</w:t>
      </w:r>
      <w:r w:rsidRPr="006122EE">
        <w:rPr>
          <w:color w:val="auto"/>
        </w:rPr>
        <w:t xml:space="preserve"> report, the combined distribution and transmission losses of ESCOM amount to some 22% (17.4% attributed to distribution operations). Malawi is already addressing this problem and the implementation of this project alone (upgrade of 5 substations, and rehabilitation of at least 26 km. of distribution lines) should result in decrease of distribution losses from 17.4% to 13.4% over a period of five years. Benefiting from the Millennium Challenge Corporation compact and other internationally funded energy sector projects, Malawi will be able to bring down the combined distribution and transmission losses to as low as 12% by 2030.</w:t>
      </w:r>
    </w:p>
    <w:p w14:paraId="3C257083" w14:textId="77777777" w:rsidR="00287D2D" w:rsidRPr="006122EE" w:rsidRDefault="00287D2D" w:rsidP="00B509DD">
      <w:pPr>
        <w:pStyle w:val="Caption"/>
        <w:rPr>
          <w:color w:val="auto"/>
        </w:rPr>
      </w:pPr>
      <w:bookmarkStart w:id="239" w:name="_Toc481615014"/>
      <w:r w:rsidRPr="006122EE">
        <w:t xml:space="preserve">Table </w:t>
      </w:r>
      <w:r w:rsidR="00DC7D8C">
        <w:fldChar w:fldCharType="begin"/>
      </w:r>
      <w:r w:rsidR="00DC7D8C">
        <w:instrText xml:space="preserve"> S</w:instrText>
      </w:r>
      <w:r w:rsidR="00DC7D8C">
        <w:instrText xml:space="preserve">EQ Table \* ARABIC </w:instrText>
      </w:r>
      <w:r w:rsidR="00DC7D8C">
        <w:fldChar w:fldCharType="separate"/>
      </w:r>
      <w:r w:rsidR="00866D96">
        <w:rPr>
          <w:noProof/>
        </w:rPr>
        <w:t>29</w:t>
      </w:r>
      <w:r w:rsidR="00DC7D8C">
        <w:rPr>
          <w:noProof/>
        </w:rPr>
        <w:fldChar w:fldCharType="end"/>
      </w:r>
      <w:r w:rsidRPr="006122EE">
        <w:t>: Transmission and distribution losses targets</w:t>
      </w:r>
      <w:bookmarkEnd w:id="239"/>
    </w:p>
    <w:tbl>
      <w:tblPr>
        <w:tblStyle w:val="GridTable4-Accent31"/>
        <w:tblW w:w="5000" w:type="pct"/>
        <w:tblLook w:val="04A0" w:firstRow="1" w:lastRow="0" w:firstColumn="1" w:lastColumn="0" w:noHBand="0" w:noVBand="1"/>
      </w:tblPr>
      <w:tblGrid>
        <w:gridCol w:w="6045"/>
        <w:gridCol w:w="1013"/>
        <w:gridCol w:w="1169"/>
        <w:gridCol w:w="1167"/>
      </w:tblGrid>
      <w:tr w:rsidR="00287D2D" w:rsidRPr="006122EE" w14:paraId="1C8D6BB3" w14:textId="77777777" w:rsidTr="00B50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035A370C" w14:textId="77777777" w:rsidR="00287D2D" w:rsidRPr="006122EE" w:rsidRDefault="00287D2D" w:rsidP="00B509DD">
            <w:pPr>
              <w:rPr>
                <w:lang w:eastAsia="en-US"/>
              </w:rPr>
            </w:pPr>
          </w:p>
        </w:tc>
        <w:tc>
          <w:tcPr>
            <w:tcW w:w="539" w:type="pct"/>
          </w:tcPr>
          <w:p w14:paraId="36FE7897"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2020</w:t>
            </w:r>
          </w:p>
        </w:tc>
        <w:tc>
          <w:tcPr>
            <w:tcW w:w="622" w:type="pct"/>
          </w:tcPr>
          <w:p w14:paraId="5B64F94B"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2025</w:t>
            </w:r>
          </w:p>
        </w:tc>
        <w:tc>
          <w:tcPr>
            <w:tcW w:w="621" w:type="pct"/>
          </w:tcPr>
          <w:p w14:paraId="4BBC942D" w14:textId="77777777" w:rsidR="00287D2D" w:rsidRPr="006122EE" w:rsidRDefault="00287D2D" w:rsidP="00B509DD">
            <w:pPr>
              <w:jc w:val="center"/>
              <w:cnfStyle w:val="100000000000" w:firstRow="1" w:lastRow="0" w:firstColumn="0" w:lastColumn="0" w:oddVBand="0" w:evenVBand="0" w:oddHBand="0" w:evenHBand="0" w:firstRowFirstColumn="0" w:firstRowLastColumn="0" w:lastRowFirstColumn="0" w:lastRowLastColumn="0"/>
              <w:rPr>
                <w:lang w:eastAsia="en-US"/>
              </w:rPr>
            </w:pPr>
            <w:r w:rsidRPr="006122EE">
              <w:rPr>
                <w:lang w:eastAsia="en-US"/>
              </w:rPr>
              <w:t>2030</w:t>
            </w:r>
          </w:p>
        </w:tc>
      </w:tr>
      <w:tr w:rsidR="00287D2D" w:rsidRPr="006122EE" w14:paraId="7F3DB289" w14:textId="77777777" w:rsidTr="00B5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78697456" w14:textId="77777777" w:rsidR="00287D2D" w:rsidRPr="006122EE" w:rsidRDefault="00287D2D" w:rsidP="00B509DD">
            <w:pPr>
              <w:rPr>
                <w:lang w:eastAsia="en-US"/>
              </w:rPr>
            </w:pPr>
            <w:r w:rsidRPr="006122EE">
              <w:rPr>
                <w:lang w:eastAsia="en-US"/>
              </w:rPr>
              <w:t>Combined transmission and distribution losses</w:t>
            </w:r>
          </w:p>
        </w:tc>
        <w:tc>
          <w:tcPr>
            <w:tcW w:w="539" w:type="pct"/>
          </w:tcPr>
          <w:p w14:paraId="00A0FDEF"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17%</w:t>
            </w:r>
          </w:p>
        </w:tc>
        <w:tc>
          <w:tcPr>
            <w:tcW w:w="622" w:type="pct"/>
          </w:tcPr>
          <w:p w14:paraId="3B3A6283"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15%</w:t>
            </w:r>
          </w:p>
        </w:tc>
        <w:tc>
          <w:tcPr>
            <w:tcW w:w="621" w:type="pct"/>
          </w:tcPr>
          <w:p w14:paraId="49E20745" w14:textId="77777777" w:rsidR="00287D2D" w:rsidRPr="006122EE" w:rsidRDefault="00287D2D" w:rsidP="00B509DD">
            <w:pPr>
              <w:jc w:val="center"/>
              <w:cnfStyle w:val="000000100000" w:firstRow="0" w:lastRow="0" w:firstColumn="0" w:lastColumn="0" w:oddVBand="0" w:evenVBand="0" w:oddHBand="1" w:evenHBand="0" w:firstRowFirstColumn="0" w:firstRowLastColumn="0" w:lastRowFirstColumn="0" w:lastRowLastColumn="0"/>
              <w:rPr>
                <w:lang w:eastAsia="en-US"/>
              </w:rPr>
            </w:pPr>
            <w:r w:rsidRPr="006122EE">
              <w:rPr>
                <w:lang w:eastAsia="en-US"/>
              </w:rPr>
              <w:t>12%</w:t>
            </w:r>
          </w:p>
        </w:tc>
      </w:tr>
    </w:tbl>
    <w:p w14:paraId="7CF7351E" w14:textId="77777777" w:rsidR="00287D2D" w:rsidRPr="006122EE" w:rsidRDefault="00287D2D" w:rsidP="00B509DD">
      <w:pPr>
        <w:pStyle w:val="BTitle3"/>
        <w:rPr>
          <w:noProof w:val="0"/>
          <w:lang w:val="en-GB"/>
        </w:rPr>
      </w:pPr>
      <w:bookmarkStart w:id="240" w:name="_Toc481614910"/>
      <w:r w:rsidRPr="006122EE">
        <w:rPr>
          <w:noProof w:val="0"/>
          <w:lang w:val="en-GB"/>
        </w:rPr>
        <w:t>What is the gap between BAU trajectory and the new targets? What are the barriers?</w:t>
      </w:r>
      <w:bookmarkEnd w:id="240"/>
    </w:p>
    <w:p w14:paraId="32BDA9C6" w14:textId="77777777" w:rsidR="00287D2D" w:rsidRPr="006122EE" w:rsidRDefault="00287D2D" w:rsidP="0082018A">
      <w:pPr>
        <w:spacing w:line="276" w:lineRule="auto"/>
        <w:rPr>
          <w:rFonts w:cs="Arial"/>
          <w:lang w:eastAsia="en-US"/>
        </w:rPr>
      </w:pPr>
      <w:r w:rsidRPr="006122EE">
        <w:rPr>
          <w:rFonts w:cs="Arial"/>
          <w:lang w:eastAsia="en-US"/>
        </w:rPr>
        <w:t>The list below includes major challenges for mainstreaming EE at the National level, identified by Malawi`s various energy related policies and strategies as well as barriers outlined by SE4ALL stakeholders during the bilateral meetings and workshops held:</w:t>
      </w:r>
    </w:p>
    <w:p w14:paraId="3126DDBB" w14:textId="77777777" w:rsidR="00287D2D" w:rsidRPr="00866D96" w:rsidRDefault="00287D2D" w:rsidP="0082018A">
      <w:pPr>
        <w:pStyle w:val="DBulletlevel1"/>
        <w:spacing w:line="276" w:lineRule="auto"/>
        <w:rPr>
          <w:noProof w:val="0"/>
        </w:rPr>
      </w:pPr>
      <w:r w:rsidRPr="00866D96">
        <w:rPr>
          <w:noProof w:val="0"/>
        </w:rPr>
        <w:t>Inefficient production of biomass and use of inefficient technologies. Very low uptake of efficient biomass cook stoves</w:t>
      </w:r>
      <w:r w:rsidR="001231B6" w:rsidRPr="00866D96">
        <w:rPr>
          <w:noProof w:val="0"/>
        </w:rPr>
        <w:t>.</w:t>
      </w:r>
    </w:p>
    <w:p w14:paraId="3B152FBE" w14:textId="77777777" w:rsidR="00287D2D" w:rsidRPr="00866D96" w:rsidRDefault="00287D2D" w:rsidP="0082018A">
      <w:pPr>
        <w:pStyle w:val="DBulletlevel1"/>
        <w:spacing w:line="276" w:lineRule="auto"/>
        <w:rPr>
          <w:noProof w:val="0"/>
        </w:rPr>
      </w:pPr>
      <w:r w:rsidRPr="00866D96">
        <w:rPr>
          <w:noProof w:val="0"/>
        </w:rPr>
        <w:t>Insufficient awareness among energy end-users about energy conservation possibilities. Social preferences towards traditional technologies</w:t>
      </w:r>
      <w:r w:rsidR="001231B6" w:rsidRPr="00866D96">
        <w:rPr>
          <w:noProof w:val="0"/>
        </w:rPr>
        <w:t>.</w:t>
      </w:r>
    </w:p>
    <w:p w14:paraId="36D55993" w14:textId="77777777" w:rsidR="00287D2D" w:rsidRPr="00866D96" w:rsidRDefault="00287D2D" w:rsidP="0082018A">
      <w:pPr>
        <w:pStyle w:val="DBulletlevel1"/>
        <w:spacing w:line="276" w:lineRule="auto"/>
        <w:rPr>
          <w:noProof w:val="0"/>
        </w:rPr>
      </w:pPr>
      <w:r w:rsidRPr="00866D96">
        <w:rPr>
          <w:noProof w:val="0"/>
        </w:rPr>
        <w:t>High upfront costs of EE technologies (usually imported and associated with additional foreign exchange issues)</w:t>
      </w:r>
      <w:r w:rsidR="001231B6" w:rsidRPr="00866D96">
        <w:rPr>
          <w:noProof w:val="0"/>
        </w:rPr>
        <w:t>.</w:t>
      </w:r>
    </w:p>
    <w:p w14:paraId="31DA362B" w14:textId="77777777" w:rsidR="00287D2D" w:rsidRPr="00866D96" w:rsidRDefault="00287D2D" w:rsidP="0082018A">
      <w:pPr>
        <w:pStyle w:val="DBulletlevel1"/>
        <w:spacing w:line="276" w:lineRule="auto"/>
        <w:rPr>
          <w:noProof w:val="0"/>
        </w:rPr>
      </w:pPr>
      <w:r w:rsidRPr="00866D96">
        <w:rPr>
          <w:noProof w:val="0"/>
        </w:rPr>
        <w:t>Inadequate funding to finance energy efficiency and conservation initiatives</w:t>
      </w:r>
      <w:r w:rsidR="001231B6" w:rsidRPr="00866D96">
        <w:rPr>
          <w:noProof w:val="0"/>
        </w:rPr>
        <w:t>.</w:t>
      </w:r>
    </w:p>
    <w:p w14:paraId="1B5CDA54" w14:textId="77777777" w:rsidR="00287D2D" w:rsidRPr="00866D96" w:rsidRDefault="00287D2D" w:rsidP="0082018A">
      <w:pPr>
        <w:pStyle w:val="DBulletlevel1"/>
        <w:spacing w:line="276" w:lineRule="auto"/>
        <w:rPr>
          <w:noProof w:val="0"/>
        </w:rPr>
      </w:pPr>
      <w:r w:rsidRPr="00866D96">
        <w:rPr>
          <w:noProof w:val="0"/>
        </w:rPr>
        <w:t>Insufficient economic analysis of the EE implementation benefits</w:t>
      </w:r>
      <w:r w:rsidR="001231B6" w:rsidRPr="00866D96">
        <w:rPr>
          <w:noProof w:val="0"/>
        </w:rPr>
        <w:t>.</w:t>
      </w:r>
    </w:p>
    <w:p w14:paraId="54307FA9" w14:textId="77777777" w:rsidR="00287D2D" w:rsidRPr="00866D96" w:rsidRDefault="00287D2D" w:rsidP="0082018A">
      <w:pPr>
        <w:pStyle w:val="DBulletlevel1"/>
        <w:spacing w:line="276" w:lineRule="auto"/>
        <w:rPr>
          <w:noProof w:val="0"/>
        </w:rPr>
      </w:pPr>
      <w:r w:rsidRPr="00866D96">
        <w:rPr>
          <w:noProof w:val="0"/>
        </w:rPr>
        <w:t>Insufficient capacity of efficiency testing labs</w:t>
      </w:r>
      <w:r w:rsidR="001231B6" w:rsidRPr="00866D96">
        <w:rPr>
          <w:noProof w:val="0"/>
        </w:rPr>
        <w:t>.</w:t>
      </w:r>
    </w:p>
    <w:p w14:paraId="639E6A9B" w14:textId="77777777" w:rsidR="00287D2D" w:rsidRPr="00866D96" w:rsidRDefault="00287D2D" w:rsidP="0082018A">
      <w:pPr>
        <w:pStyle w:val="DBulletlevel1"/>
        <w:spacing w:line="276" w:lineRule="auto"/>
        <w:rPr>
          <w:noProof w:val="0"/>
        </w:rPr>
      </w:pPr>
      <w:r w:rsidRPr="00866D96">
        <w:rPr>
          <w:noProof w:val="0"/>
        </w:rPr>
        <w:t>Use of outdated and energy inefficient equipment (motors, boilers, etc.) in major economy subsectors (mining, agriculture, industry). Low penetration of modern energy saving technologies</w:t>
      </w:r>
      <w:r w:rsidR="001231B6" w:rsidRPr="00866D96">
        <w:rPr>
          <w:noProof w:val="0"/>
        </w:rPr>
        <w:t>.</w:t>
      </w:r>
    </w:p>
    <w:p w14:paraId="4F6CB1F2" w14:textId="77777777" w:rsidR="00287D2D" w:rsidRPr="00866D96" w:rsidRDefault="00287D2D" w:rsidP="0082018A">
      <w:pPr>
        <w:pStyle w:val="DBulletlevel1"/>
        <w:spacing w:line="276" w:lineRule="auto"/>
        <w:rPr>
          <w:noProof w:val="0"/>
        </w:rPr>
      </w:pPr>
      <w:r w:rsidRPr="00866D96">
        <w:rPr>
          <w:noProof w:val="0"/>
        </w:rPr>
        <w:t>Very limited capacity at the National level to conduct energy audits</w:t>
      </w:r>
      <w:r w:rsidR="001231B6" w:rsidRPr="00866D96">
        <w:rPr>
          <w:noProof w:val="0"/>
        </w:rPr>
        <w:t>.</w:t>
      </w:r>
    </w:p>
    <w:p w14:paraId="17F37180" w14:textId="77777777" w:rsidR="00287D2D" w:rsidRPr="00866D96" w:rsidRDefault="00287D2D" w:rsidP="0082018A">
      <w:pPr>
        <w:pStyle w:val="DBulletlevel1"/>
        <w:spacing w:line="276" w:lineRule="auto"/>
        <w:rPr>
          <w:noProof w:val="0"/>
        </w:rPr>
      </w:pPr>
      <w:r w:rsidRPr="00866D96">
        <w:rPr>
          <w:noProof w:val="0"/>
        </w:rPr>
        <w:t>Lack of EE related technical expertise in the industrial sector</w:t>
      </w:r>
      <w:r w:rsidR="001231B6" w:rsidRPr="00866D96">
        <w:rPr>
          <w:noProof w:val="0"/>
        </w:rPr>
        <w:t>.</w:t>
      </w:r>
    </w:p>
    <w:p w14:paraId="7155F425" w14:textId="77777777" w:rsidR="00287D2D" w:rsidRPr="00866D96" w:rsidRDefault="00287D2D" w:rsidP="0082018A">
      <w:pPr>
        <w:pStyle w:val="DBulletlevel1"/>
        <w:spacing w:line="276" w:lineRule="auto"/>
        <w:rPr>
          <w:noProof w:val="0"/>
        </w:rPr>
      </w:pPr>
      <w:r w:rsidRPr="00866D96">
        <w:rPr>
          <w:noProof w:val="0"/>
        </w:rPr>
        <w:t>Lack of financial incentives encouraging EE investments to offset the higher cost of modern EE equipment</w:t>
      </w:r>
      <w:r w:rsidR="001231B6" w:rsidRPr="00866D96">
        <w:rPr>
          <w:noProof w:val="0"/>
        </w:rPr>
        <w:t>.</w:t>
      </w:r>
    </w:p>
    <w:p w14:paraId="09841593" w14:textId="77777777" w:rsidR="00287D2D" w:rsidRPr="00866D96" w:rsidRDefault="00287D2D" w:rsidP="0082018A">
      <w:pPr>
        <w:pStyle w:val="DBulletlevel1"/>
        <w:spacing w:line="276" w:lineRule="auto"/>
        <w:rPr>
          <w:noProof w:val="0"/>
        </w:rPr>
      </w:pPr>
      <w:r w:rsidRPr="00866D96">
        <w:rPr>
          <w:noProof w:val="0"/>
        </w:rPr>
        <w:t>Electricity tariff encouraging inefficient energy use</w:t>
      </w:r>
      <w:r w:rsidR="001231B6" w:rsidRPr="00866D96">
        <w:rPr>
          <w:noProof w:val="0"/>
        </w:rPr>
        <w:t>.</w:t>
      </w:r>
    </w:p>
    <w:p w14:paraId="2B3C4BB2" w14:textId="77777777" w:rsidR="005F27B0" w:rsidRPr="00866D96" w:rsidRDefault="005F27B0" w:rsidP="006E363C">
      <w:pPr>
        <w:pStyle w:val="BTitle20"/>
        <w:rPr>
          <w:noProof w:val="0"/>
        </w:rPr>
      </w:pPr>
      <w:bookmarkStart w:id="241" w:name="_Toc448426452"/>
      <w:bookmarkStart w:id="242" w:name="_Toc481614911"/>
      <w:bookmarkEnd w:id="225"/>
      <w:bookmarkEnd w:id="241"/>
      <w:r w:rsidRPr="00866D96">
        <w:rPr>
          <w:noProof w:val="0"/>
        </w:rPr>
        <w:t>Transportation – Alternative Fuels</w:t>
      </w:r>
      <w:bookmarkEnd w:id="242"/>
    </w:p>
    <w:p w14:paraId="4330B458" w14:textId="77777777" w:rsidR="005F27B0" w:rsidRPr="006122EE" w:rsidRDefault="005F27B0" w:rsidP="0082018A">
      <w:pPr>
        <w:spacing w:line="276" w:lineRule="auto"/>
      </w:pPr>
      <w:r w:rsidRPr="006122EE">
        <w:rPr>
          <w:lang w:eastAsia="fr-FR"/>
        </w:rPr>
        <w:t>This section provides an overview of the current status, trajectory, target and gaps in relation to the use of alternative fuels in Malawi. In the context of the Action Agenda “alternative fuels” include the introduction of the following types of energy supply:</w:t>
      </w:r>
      <w:r w:rsidRPr="006122EE">
        <w:t xml:space="preserve"> biofuels (ethanol and biodiesel); electricity (introduction of electric vehicles and electric modes of mass transportation); biogas (bioLNG - bio Liquified Natural Gas - and bioCNG - bio Compressed Natural Gas - in city buses).</w:t>
      </w:r>
    </w:p>
    <w:p w14:paraId="3E837527" w14:textId="77777777" w:rsidR="005F27B0" w:rsidRPr="006122EE" w:rsidRDefault="005F27B0" w:rsidP="0082018A">
      <w:pPr>
        <w:spacing w:line="276" w:lineRule="auto"/>
        <w:rPr>
          <w:rFonts w:eastAsia="Times New Roman" w:cs="Arial"/>
          <w:color w:val="auto"/>
          <w:lang w:eastAsia="fr-FR"/>
        </w:rPr>
      </w:pPr>
      <w:r w:rsidRPr="006122EE">
        <w:t>In addition, this section provides findings on the use of conventional fuels in the transportation sector in order to assess the potential of partially replacing those fuels with the alternative fuels mentioned above</w:t>
      </w:r>
      <w:r w:rsidRPr="006122EE">
        <w:rPr>
          <w:rStyle w:val="FootnoteReference"/>
        </w:rPr>
        <w:footnoteReference w:id="51"/>
      </w:r>
      <w:r w:rsidRPr="006122EE">
        <w:t>.</w:t>
      </w:r>
    </w:p>
    <w:p w14:paraId="54322332" w14:textId="77777777" w:rsidR="005F27B0" w:rsidRPr="006122EE" w:rsidRDefault="005F27B0" w:rsidP="0082018A">
      <w:pPr>
        <w:pStyle w:val="BTitle3"/>
        <w:numPr>
          <w:ilvl w:val="2"/>
          <w:numId w:val="26"/>
        </w:numPr>
        <w:spacing w:line="276" w:lineRule="auto"/>
        <w:ind w:left="1429"/>
        <w:rPr>
          <w:noProof w:val="0"/>
          <w:lang w:val="en-GB"/>
        </w:rPr>
      </w:pPr>
      <w:bookmarkStart w:id="243" w:name="_Toc481614912"/>
      <w:r w:rsidRPr="006122EE">
        <w:rPr>
          <w:noProof w:val="0"/>
          <w:lang w:val="en-GB"/>
        </w:rPr>
        <w:t>What is the current status and BAU trajectory to 2030?</w:t>
      </w:r>
      <w:bookmarkEnd w:id="243"/>
    </w:p>
    <w:p w14:paraId="227D20B0" w14:textId="77777777" w:rsidR="005F27B0" w:rsidRPr="006122EE" w:rsidRDefault="005F27B0" w:rsidP="0082018A">
      <w:pPr>
        <w:pStyle w:val="Style1"/>
        <w:spacing w:line="276" w:lineRule="auto"/>
      </w:pPr>
      <w:r w:rsidRPr="006122EE">
        <w:t>Conventional fuel consumption</w:t>
      </w:r>
    </w:p>
    <w:p w14:paraId="355BCC84" w14:textId="77777777" w:rsidR="005F27B0" w:rsidRDefault="005F27B0" w:rsidP="0082018A">
      <w:pPr>
        <w:spacing w:line="276" w:lineRule="auto"/>
        <w:rPr>
          <w:lang w:eastAsia="fr-FR"/>
        </w:rPr>
      </w:pPr>
      <w:r w:rsidRPr="006122EE">
        <w:rPr>
          <w:lang w:eastAsia="fr-FR"/>
        </w:rPr>
        <w:t>Malawi imports</w:t>
      </w:r>
      <w:r w:rsidR="00D067AF" w:rsidRPr="006122EE">
        <w:rPr>
          <w:lang w:eastAsia="fr-FR"/>
        </w:rPr>
        <w:t xml:space="preserve"> almost</w:t>
      </w:r>
      <w:r w:rsidRPr="006122EE">
        <w:rPr>
          <w:lang w:eastAsia="fr-FR"/>
        </w:rPr>
        <w:t xml:space="preserve"> all of its liquid fuel requirements</w:t>
      </w:r>
      <w:r w:rsidR="00D067AF" w:rsidRPr="006122EE">
        <w:rPr>
          <w:lang w:eastAsia="fr-FR"/>
        </w:rPr>
        <w:t xml:space="preserve"> (Ethanol is domestically produced)</w:t>
      </w:r>
      <w:r w:rsidRPr="006122EE">
        <w:rPr>
          <w:lang w:eastAsia="fr-FR"/>
        </w:rPr>
        <w:t>. Since 1999, the compound annual growth rate of diesel is 3.3% and gasoline (petrol) is a little bit more than 1%. Diesel is, in 2013</w:t>
      </w:r>
      <w:r w:rsidRPr="006122EE">
        <w:rPr>
          <w:rStyle w:val="FootnoteReference"/>
          <w:lang w:eastAsia="fr-FR"/>
        </w:rPr>
        <w:footnoteReference w:id="52"/>
      </w:r>
      <w:r w:rsidRPr="006122EE">
        <w:rPr>
          <w:lang w:eastAsia="fr-FR"/>
        </w:rPr>
        <w:t>, twice as imported as petrol (212 million litres and 109 million litres).</w:t>
      </w:r>
    </w:p>
    <w:p w14:paraId="1DC1AFDC" w14:textId="77777777" w:rsidR="0082018A" w:rsidRPr="006122EE" w:rsidRDefault="0082018A" w:rsidP="0082018A">
      <w:pPr>
        <w:spacing w:line="276" w:lineRule="auto"/>
        <w:rPr>
          <w:lang w:eastAsia="fr-FR"/>
        </w:rPr>
      </w:pPr>
    </w:p>
    <w:p w14:paraId="2A843E79" w14:textId="77777777" w:rsidR="005F27B0" w:rsidRPr="006122EE" w:rsidRDefault="005F27B0" w:rsidP="005F27B0">
      <w:pPr>
        <w:pStyle w:val="Caption"/>
      </w:pPr>
      <w:bookmarkStart w:id="244" w:name="_Ref448152168"/>
      <w:bookmarkStart w:id="245" w:name="_Ref447882523"/>
      <w:bookmarkStart w:id="246" w:name="_Toc481614979"/>
      <w:r w:rsidRPr="006122EE">
        <w:t xml:space="preserve">Figure </w:t>
      </w:r>
      <w:r w:rsidR="00DC7D8C">
        <w:fldChar w:fldCharType="begin"/>
      </w:r>
      <w:r w:rsidR="00DC7D8C">
        <w:instrText xml:space="preserve"> SEQ Figure \* ARABIC </w:instrText>
      </w:r>
      <w:r w:rsidR="00DC7D8C">
        <w:fldChar w:fldCharType="separate"/>
      </w:r>
      <w:r w:rsidR="00866D96">
        <w:rPr>
          <w:noProof/>
        </w:rPr>
        <w:t>15</w:t>
      </w:r>
      <w:r w:rsidR="00DC7D8C">
        <w:rPr>
          <w:noProof/>
        </w:rPr>
        <w:fldChar w:fldCharType="end"/>
      </w:r>
      <w:bookmarkEnd w:id="244"/>
      <w:r w:rsidRPr="006122EE">
        <w:t>: National importations of petroleum products between 1999 and 2013</w:t>
      </w:r>
      <w:bookmarkEnd w:id="245"/>
      <w:r w:rsidRPr="006122EE">
        <w:t xml:space="preserve"> (million litres)</w:t>
      </w:r>
      <w:r w:rsidR="001231B6" w:rsidRPr="006122EE">
        <w:rPr>
          <w:rStyle w:val="FootnoteReference"/>
        </w:rPr>
        <w:footnoteReference w:id="53"/>
      </w:r>
      <w:bookmarkEnd w:id="246"/>
    </w:p>
    <w:p w14:paraId="2E5D8099" w14:textId="77777777" w:rsidR="005F27B0" w:rsidRPr="006122EE" w:rsidRDefault="005F27B0" w:rsidP="005F27B0">
      <w:pPr>
        <w:jc w:val="center"/>
        <w:rPr>
          <w:lang w:eastAsia="fr-FR"/>
        </w:rPr>
      </w:pPr>
      <w:r w:rsidRPr="00866D96">
        <w:rPr>
          <w:noProof/>
          <w:lang w:val="en-US" w:eastAsia="en-US"/>
        </w:rPr>
        <w:drawing>
          <wp:inline distT="0" distB="0" distL="0" distR="0" wp14:anchorId="58F61892" wp14:editId="74198B9A">
            <wp:extent cx="5486400" cy="320040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1B42D9" w14:textId="77777777" w:rsidR="005F27B0" w:rsidRPr="00866D96" w:rsidRDefault="005F27B0" w:rsidP="006E363C">
      <w:pPr>
        <w:pStyle w:val="CSubtitle1"/>
        <w:rPr>
          <w:noProof w:val="0"/>
          <w:lang w:val="en-GB"/>
        </w:rPr>
      </w:pPr>
      <w:bookmarkStart w:id="247" w:name="_Toc447217025"/>
      <w:bookmarkStart w:id="248" w:name="_Toc481614913"/>
      <w:r w:rsidRPr="00866D96">
        <w:rPr>
          <w:noProof w:val="0"/>
          <w:lang w:val="en-GB"/>
        </w:rPr>
        <w:t>Biofuels production and consumption</w:t>
      </w:r>
      <w:bookmarkEnd w:id="247"/>
      <w:bookmarkEnd w:id="248"/>
    </w:p>
    <w:p w14:paraId="34E073CC" w14:textId="77777777" w:rsidR="005F27B0" w:rsidRPr="00866D96" w:rsidRDefault="005F27B0" w:rsidP="005F27B0">
      <w:pPr>
        <w:pStyle w:val="CSubtitle2"/>
        <w:rPr>
          <w:noProof w:val="0"/>
          <w:lang w:val="en-GB"/>
        </w:rPr>
      </w:pPr>
      <w:r w:rsidRPr="00866D96">
        <w:rPr>
          <w:noProof w:val="0"/>
          <w:lang w:val="en-GB"/>
        </w:rPr>
        <w:t>Ethanol production levels</w:t>
      </w:r>
    </w:p>
    <w:p w14:paraId="21C72158" w14:textId="77777777" w:rsidR="005F27B0" w:rsidRPr="006122EE" w:rsidRDefault="005F27B0" w:rsidP="0082018A">
      <w:pPr>
        <w:spacing w:line="276" w:lineRule="auto"/>
        <w:rPr>
          <w:lang w:eastAsia="fr-FR"/>
        </w:rPr>
      </w:pPr>
      <w:r w:rsidRPr="006122EE">
        <w:rPr>
          <w:lang w:eastAsia="fr-FR"/>
        </w:rPr>
        <w:t>The ethanol consumed in Malawi is produced locally with no importations nor exportations. The national production is presented in the table below.</w:t>
      </w:r>
    </w:p>
    <w:p w14:paraId="6F56E457" w14:textId="77777777" w:rsidR="005F27B0" w:rsidRPr="006122EE" w:rsidRDefault="005F27B0" w:rsidP="005F27B0">
      <w:pPr>
        <w:pStyle w:val="Caption"/>
      </w:pPr>
      <w:bookmarkStart w:id="249" w:name="_Ref443051702"/>
      <w:bookmarkStart w:id="250" w:name="_Toc481615015"/>
      <w:r w:rsidRPr="006122EE">
        <w:t xml:space="preserve">Table </w:t>
      </w:r>
      <w:r w:rsidR="00DC7D8C">
        <w:fldChar w:fldCharType="begin"/>
      </w:r>
      <w:r w:rsidR="00DC7D8C">
        <w:instrText xml:space="preserve"> SEQ Table \* ARABIC </w:instrText>
      </w:r>
      <w:r w:rsidR="00DC7D8C">
        <w:fldChar w:fldCharType="separate"/>
      </w:r>
      <w:r w:rsidR="00866D96">
        <w:rPr>
          <w:noProof/>
        </w:rPr>
        <w:t>30</w:t>
      </w:r>
      <w:r w:rsidR="00DC7D8C">
        <w:rPr>
          <w:noProof/>
        </w:rPr>
        <w:fldChar w:fldCharType="end"/>
      </w:r>
      <w:bookmarkEnd w:id="249"/>
      <w:r w:rsidRPr="006122EE">
        <w:t>: Malawi ethanol production since 2007 and projections to 203</w:t>
      </w:r>
      <w:r w:rsidR="00E27684" w:rsidRPr="006122EE">
        <w:t>0</w:t>
      </w:r>
      <w:r w:rsidR="001231B6" w:rsidRPr="006122EE">
        <w:rPr>
          <w:rStyle w:val="FootnoteReference"/>
        </w:rPr>
        <w:footnoteReference w:id="54"/>
      </w:r>
      <w:bookmarkEnd w:id="250"/>
    </w:p>
    <w:p w14:paraId="7382C05C" w14:textId="77777777" w:rsidR="005F27B0" w:rsidRPr="006122EE" w:rsidRDefault="004020E0" w:rsidP="005F27B0">
      <w:pPr>
        <w:jc w:val="center"/>
      </w:pPr>
      <w:r w:rsidRPr="00866D96">
        <w:rPr>
          <w:noProof/>
          <w:lang w:val="en-US" w:eastAsia="en-US"/>
        </w:rPr>
        <mc:AlternateContent>
          <mc:Choice Requires="wps">
            <w:drawing>
              <wp:anchor distT="0" distB="0" distL="114300" distR="114300" simplePos="0" relativeHeight="251677696" behindDoc="0" locked="0" layoutInCell="1" allowOverlap="1" wp14:anchorId="130D88BC" wp14:editId="09435C75">
                <wp:simplePos x="0" y="0"/>
                <wp:positionH relativeFrom="column">
                  <wp:posOffset>1865314</wp:posOffset>
                </wp:positionH>
                <wp:positionV relativeFrom="paragraph">
                  <wp:posOffset>1531939</wp:posOffset>
                </wp:positionV>
                <wp:extent cx="134346" cy="241532"/>
                <wp:effectExtent l="22543" t="53657" r="21907" b="40958"/>
                <wp:wrapNone/>
                <wp:docPr id="91" name="Rectangle 91"/>
                <wp:cNvGraphicFramePr/>
                <a:graphic xmlns:a="http://schemas.openxmlformats.org/drawingml/2006/main">
                  <a:graphicData uri="http://schemas.microsoft.com/office/word/2010/wordprocessingShape">
                    <wps:wsp>
                      <wps:cNvSpPr/>
                      <wps:spPr>
                        <a:xfrm rot="17413459">
                          <a:off x="0" y="0"/>
                          <a:ext cx="134346" cy="241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E4C8" id="Rectangle 91" o:spid="_x0000_s1026" style="position:absolute;margin-left:146.9pt;margin-top:120.65pt;width:10.6pt;height:19pt;rotation:-457281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5648" behindDoc="0" locked="0" layoutInCell="1" allowOverlap="1" wp14:anchorId="783EA4E8" wp14:editId="16493F29">
                <wp:simplePos x="0" y="0"/>
                <wp:positionH relativeFrom="column">
                  <wp:posOffset>3533319</wp:posOffset>
                </wp:positionH>
                <wp:positionV relativeFrom="paragraph">
                  <wp:posOffset>361950</wp:posOffset>
                </wp:positionV>
                <wp:extent cx="167213" cy="218675"/>
                <wp:effectExtent l="57150" t="38100" r="23495" b="29210"/>
                <wp:wrapNone/>
                <wp:docPr id="92" name="Rectangle 92"/>
                <wp:cNvGraphicFramePr/>
                <a:graphic xmlns:a="http://schemas.openxmlformats.org/drawingml/2006/main">
                  <a:graphicData uri="http://schemas.microsoft.com/office/word/2010/wordprocessingShape">
                    <wps:wsp>
                      <wps:cNvSpPr/>
                      <wps:spPr>
                        <a:xfrm rot="19703379">
                          <a:off x="0" y="0"/>
                          <a:ext cx="167213" cy="218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1DF36" id="Rectangle 92" o:spid="_x0000_s1026" style="position:absolute;margin-left:278.2pt;margin-top:28.5pt;width:13.15pt;height:17.2pt;rotation:-207161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4624" behindDoc="0" locked="0" layoutInCell="1" allowOverlap="1" wp14:anchorId="1308CA82" wp14:editId="534DA30F">
                <wp:simplePos x="0" y="0"/>
                <wp:positionH relativeFrom="column">
                  <wp:posOffset>3276600</wp:posOffset>
                </wp:positionH>
                <wp:positionV relativeFrom="paragraph">
                  <wp:posOffset>514985</wp:posOffset>
                </wp:positionV>
                <wp:extent cx="167213" cy="218675"/>
                <wp:effectExtent l="57150" t="38100" r="23495" b="29210"/>
                <wp:wrapNone/>
                <wp:docPr id="93" name="Rectangle 93"/>
                <wp:cNvGraphicFramePr/>
                <a:graphic xmlns:a="http://schemas.openxmlformats.org/drawingml/2006/main">
                  <a:graphicData uri="http://schemas.microsoft.com/office/word/2010/wordprocessingShape">
                    <wps:wsp>
                      <wps:cNvSpPr/>
                      <wps:spPr>
                        <a:xfrm rot="19703379">
                          <a:off x="0" y="0"/>
                          <a:ext cx="167213" cy="218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DE39" id="Rectangle 93" o:spid="_x0000_s1026" style="position:absolute;margin-left:258pt;margin-top:40.55pt;width:13.15pt;height:17.2pt;rotation:-207161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3600" behindDoc="0" locked="0" layoutInCell="1" allowOverlap="1" wp14:anchorId="64755B60" wp14:editId="053F656B">
                <wp:simplePos x="0" y="0"/>
                <wp:positionH relativeFrom="page">
                  <wp:align>center</wp:align>
                </wp:positionH>
                <wp:positionV relativeFrom="paragraph">
                  <wp:posOffset>673735</wp:posOffset>
                </wp:positionV>
                <wp:extent cx="167213" cy="218675"/>
                <wp:effectExtent l="57150" t="38100" r="23495" b="29210"/>
                <wp:wrapNone/>
                <wp:docPr id="94" name="Rectangle 94"/>
                <wp:cNvGraphicFramePr/>
                <a:graphic xmlns:a="http://schemas.openxmlformats.org/drawingml/2006/main">
                  <a:graphicData uri="http://schemas.microsoft.com/office/word/2010/wordprocessingShape">
                    <wps:wsp>
                      <wps:cNvSpPr/>
                      <wps:spPr>
                        <a:xfrm rot="19703379">
                          <a:off x="0" y="0"/>
                          <a:ext cx="167213" cy="218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FDA1" id="Rectangle 94" o:spid="_x0000_s1026" style="position:absolute;margin-left:0;margin-top:53.05pt;width:13.15pt;height:17.2pt;rotation:-2071616fd;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" fillcolor="white [3212]" stroked="f" strokeweight="2pt">
                <w10:wrap anchorx="page"/>
              </v:rect>
            </w:pict>
          </mc:Fallback>
        </mc:AlternateContent>
      </w:r>
      <w:r w:rsidRPr="00866D96">
        <w:rPr>
          <w:noProof/>
          <w:lang w:val="en-US" w:eastAsia="en-US"/>
        </w:rPr>
        <mc:AlternateContent>
          <mc:Choice Requires="wps">
            <w:drawing>
              <wp:anchor distT="0" distB="0" distL="114300" distR="114300" simplePos="0" relativeHeight="251672576" behindDoc="0" locked="0" layoutInCell="1" allowOverlap="1" wp14:anchorId="6C2270CB" wp14:editId="004DFB0F">
                <wp:simplePos x="0" y="0"/>
                <wp:positionH relativeFrom="column">
                  <wp:posOffset>2699385</wp:posOffset>
                </wp:positionH>
                <wp:positionV relativeFrom="paragraph">
                  <wp:posOffset>832485</wp:posOffset>
                </wp:positionV>
                <wp:extent cx="167005" cy="218440"/>
                <wp:effectExtent l="57150" t="38100" r="23495" b="29210"/>
                <wp:wrapNone/>
                <wp:docPr id="95" name="Rectangle 95"/>
                <wp:cNvGraphicFramePr/>
                <a:graphic xmlns:a="http://schemas.openxmlformats.org/drawingml/2006/main">
                  <a:graphicData uri="http://schemas.microsoft.com/office/word/2010/wordprocessingShape">
                    <wps:wsp>
                      <wps:cNvSpPr/>
                      <wps:spPr>
                        <a:xfrm rot="19703379">
                          <a:off x="0" y="0"/>
                          <a:ext cx="167005" cy="21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40C8" id="Rectangle 95" o:spid="_x0000_s1026" style="position:absolute;margin-left:212.55pt;margin-top:65.55pt;width:13.15pt;height:17.2pt;rotation:-207161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1552" behindDoc="0" locked="0" layoutInCell="1" allowOverlap="1" wp14:anchorId="4AA523B9" wp14:editId="3C584FAB">
                <wp:simplePos x="0" y="0"/>
                <wp:positionH relativeFrom="column">
                  <wp:posOffset>2381885</wp:posOffset>
                </wp:positionH>
                <wp:positionV relativeFrom="paragraph">
                  <wp:posOffset>1029970</wp:posOffset>
                </wp:positionV>
                <wp:extent cx="167005" cy="218440"/>
                <wp:effectExtent l="57150" t="38100" r="23495" b="29210"/>
                <wp:wrapNone/>
                <wp:docPr id="96" name="Rectangle 96"/>
                <wp:cNvGraphicFramePr/>
                <a:graphic xmlns:a="http://schemas.openxmlformats.org/drawingml/2006/main">
                  <a:graphicData uri="http://schemas.microsoft.com/office/word/2010/wordprocessingShape">
                    <wps:wsp>
                      <wps:cNvSpPr/>
                      <wps:spPr>
                        <a:xfrm rot="19703379">
                          <a:off x="0" y="0"/>
                          <a:ext cx="167005" cy="21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1799" id="Rectangle 96" o:spid="_x0000_s1026" style="position:absolute;margin-left:187.55pt;margin-top:81.1pt;width:13.15pt;height:17.2pt;rotation:-207161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0528" behindDoc="0" locked="0" layoutInCell="1" allowOverlap="1" wp14:anchorId="22F524B8" wp14:editId="318E7944">
                <wp:simplePos x="0" y="0"/>
                <wp:positionH relativeFrom="column">
                  <wp:posOffset>2065020</wp:posOffset>
                </wp:positionH>
                <wp:positionV relativeFrom="paragraph">
                  <wp:posOffset>1151890</wp:posOffset>
                </wp:positionV>
                <wp:extent cx="167005" cy="218440"/>
                <wp:effectExtent l="57150" t="38100" r="23495" b="29210"/>
                <wp:wrapNone/>
                <wp:docPr id="97" name="Rectangle 97"/>
                <wp:cNvGraphicFramePr/>
                <a:graphic xmlns:a="http://schemas.openxmlformats.org/drawingml/2006/main">
                  <a:graphicData uri="http://schemas.microsoft.com/office/word/2010/wordprocessingShape">
                    <wps:wsp>
                      <wps:cNvSpPr/>
                      <wps:spPr>
                        <a:xfrm rot="19703379">
                          <a:off x="0" y="0"/>
                          <a:ext cx="167005" cy="21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CA23" id="Rectangle 97" o:spid="_x0000_s1026" style="position:absolute;margin-left:162.6pt;margin-top:90.7pt;width:13.15pt;height:17.2pt;rotation:-207161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8720" behindDoc="0" locked="0" layoutInCell="1" allowOverlap="1" wp14:anchorId="41CEF80D" wp14:editId="3C0ED61A">
                <wp:simplePos x="0" y="0"/>
                <wp:positionH relativeFrom="column">
                  <wp:posOffset>1775777</wp:posOffset>
                </wp:positionH>
                <wp:positionV relativeFrom="paragraph">
                  <wp:posOffset>1293813</wp:posOffset>
                </wp:positionV>
                <wp:extent cx="105205" cy="241532"/>
                <wp:effectExtent l="26988" t="49212" r="17462" b="55563"/>
                <wp:wrapNone/>
                <wp:docPr id="98" name="Rectangle 98"/>
                <wp:cNvGraphicFramePr/>
                <a:graphic xmlns:a="http://schemas.openxmlformats.org/drawingml/2006/main">
                  <a:graphicData uri="http://schemas.microsoft.com/office/word/2010/wordprocessingShape">
                    <wps:wsp>
                      <wps:cNvSpPr/>
                      <wps:spPr>
                        <a:xfrm rot="17413459">
                          <a:off x="0" y="0"/>
                          <a:ext cx="105205" cy="241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37A92" id="Rectangle 98" o:spid="_x0000_s1026" style="position:absolute;margin-left:139.8pt;margin-top:101.9pt;width:8.3pt;height:19pt;rotation:-457281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" fillcolor="white [3212]" stroked="f" strokeweight="2pt"/>
            </w:pict>
          </mc:Fallback>
        </mc:AlternateContent>
      </w:r>
      <w:r w:rsidRPr="00866D96">
        <w:rPr>
          <w:noProof/>
          <w:lang w:val="en-US" w:eastAsia="en-US"/>
        </w:rPr>
        <mc:AlternateContent>
          <mc:Choice Requires="wps">
            <w:drawing>
              <wp:anchor distT="0" distB="0" distL="114300" distR="114300" simplePos="0" relativeHeight="251676672" behindDoc="0" locked="0" layoutInCell="1" allowOverlap="1" wp14:anchorId="203872F2" wp14:editId="309E7D0A">
                <wp:simplePos x="0" y="0"/>
                <wp:positionH relativeFrom="column">
                  <wp:posOffset>1808161</wp:posOffset>
                </wp:positionH>
                <wp:positionV relativeFrom="paragraph">
                  <wp:posOffset>1762443</wp:posOffset>
                </wp:positionV>
                <wp:extent cx="134346" cy="241532"/>
                <wp:effectExtent l="22543" t="53657" r="21907" b="40958"/>
                <wp:wrapNone/>
                <wp:docPr id="99" name="Rectangle 99"/>
                <wp:cNvGraphicFramePr/>
                <a:graphic xmlns:a="http://schemas.openxmlformats.org/drawingml/2006/main">
                  <a:graphicData uri="http://schemas.microsoft.com/office/word/2010/wordprocessingShape">
                    <wps:wsp>
                      <wps:cNvSpPr/>
                      <wps:spPr>
                        <a:xfrm rot="17413459">
                          <a:off x="0" y="0"/>
                          <a:ext cx="134346" cy="2415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7635" id="Rectangle 99" o:spid="_x0000_s1026" style="position:absolute;margin-left:142.35pt;margin-top:138.8pt;width:10.6pt;height:19pt;rotation:-457281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" fillcolor="white [3212]" stroked="f" strokeweight="2pt"/>
            </w:pict>
          </mc:Fallback>
        </mc:AlternateContent>
      </w:r>
      <w:r w:rsidR="001319AF" w:rsidRPr="00866D96">
        <w:rPr>
          <w:noProof/>
          <w:lang w:val="en-US" w:eastAsia="en-US"/>
        </w:rPr>
        <mc:AlternateContent>
          <mc:Choice Requires="wps">
            <w:drawing>
              <wp:anchor distT="0" distB="0" distL="114300" distR="114300" simplePos="0" relativeHeight="251669504" behindDoc="0" locked="0" layoutInCell="1" allowOverlap="1" wp14:anchorId="4B2FBB47" wp14:editId="01307A0C">
                <wp:simplePos x="0" y="0"/>
                <wp:positionH relativeFrom="column">
                  <wp:posOffset>1748155</wp:posOffset>
                </wp:positionH>
                <wp:positionV relativeFrom="paragraph">
                  <wp:posOffset>2788451</wp:posOffset>
                </wp:positionV>
                <wp:extent cx="180537" cy="58971"/>
                <wp:effectExtent l="0" t="0" r="0" b="0"/>
                <wp:wrapNone/>
                <wp:docPr id="100" name="Rectangle 100"/>
                <wp:cNvGraphicFramePr/>
                <a:graphic xmlns:a="http://schemas.openxmlformats.org/drawingml/2006/main">
                  <a:graphicData uri="http://schemas.microsoft.com/office/word/2010/wordprocessingShape">
                    <wps:wsp>
                      <wps:cNvSpPr/>
                      <wps:spPr>
                        <a:xfrm>
                          <a:off x="0" y="0"/>
                          <a:ext cx="180537" cy="589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B00A" id="Rectangle 100" o:spid="_x0000_s1026" style="position:absolute;margin-left:137.65pt;margin-top:219.55pt;width:14.2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" fillcolor="white [3212]" stroked="f" strokeweight="2pt"/>
            </w:pict>
          </mc:Fallback>
        </mc:AlternateContent>
      </w:r>
      <w:r w:rsidR="005F27B0" w:rsidRPr="00866D96">
        <w:rPr>
          <w:noProof/>
          <w:lang w:val="en-US" w:eastAsia="en-US"/>
        </w:rPr>
        <w:drawing>
          <wp:inline distT="0" distB="0" distL="0" distR="0" wp14:anchorId="3BC6DD60" wp14:editId="57277C7F">
            <wp:extent cx="5486400" cy="3200400"/>
            <wp:effectExtent l="0" t="0" r="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1A72D8" w14:textId="77777777" w:rsidR="005F27B0" w:rsidRPr="006122EE" w:rsidRDefault="005F27B0" w:rsidP="0082018A">
      <w:pPr>
        <w:spacing w:line="276" w:lineRule="auto"/>
      </w:pPr>
      <w:r w:rsidRPr="006122EE">
        <w:t>The average production of ethanol in Malawi is currently 26 million litres, split between the two ethanol production companies Ethanol Company Ltd (ETHCO) and Press Cane Ltd. Each of these companies has potential to produce 17 to 18 million litres per year</w:t>
      </w:r>
      <w:r w:rsidR="001231B6" w:rsidRPr="006122EE">
        <w:rPr>
          <w:vertAlign w:val="superscript"/>
        </w:rPr>
        <w:footnoteReference w:id="55"/>
      </w:r>
      <w:r w:rsidR="001231B6" w:rsidRPr="006122EE">
        <w:t xml:space="preserve">, </w:t>
      </w:r>
      <w:r w:rsidRPr="006122EE">
        <w:t>according to consultations with Press cane Ltd, the company’s production does not meet its capacity due to inconsistent supply of raw materials and power cuts.</w:t>
      </w:r>
    </w:p>
    <w:p w14:paraId="63B4B82F" w14:textId="77777777" w:rsidR="005F27B0" w:rsidRPr="006122EE" w:rsidRDefault="005F27B0" w:rsidP="0082018A">
      <w:pPr>
        <w:spacing w:line="276" w:lineRule="auto"/>
      </w:pPr>
      <w:r w:rsidRPr="006122EE">
        <w:t>The 2013 Malawi Ethanol Programme, promoted by the National Commission for Science and Technology (NCST) aimed to “increase ethanol production and its use as fuel”. To this end, targets were established for 2015 and 2020 (see the following section on targets). Nevertheless, according to a PwC draft study to update the National Energy Policy, there is no evidence on the ground to show that Malawi has registered any sensitive increases in ethanol production since the release of the Malawi Ethanol Program in 2013.</w:t>
      </w:r>
    </w:p>
    <w:p w14:paraId="270ADCAF" w14:textId="77777777" w:rsidR="005F27B0" w:rsidRPr="006122EE" w:rsidRDefault="005F27B0" w:rsidP="0082018A">
      <w:pPr>
        <w:spacing w:line="276" w:lineRule="auto"/>
        <w:rPr>
          <w:lang w:eastAsia="fr-FR"/>
        </w:rPr>
      </w:pPr>
      <w:r w:rsidRPr="006122EE">
        <w:rPr>
          <w:lang w:eastAsia="fr-FR"/>
        </w:rPr>
        <w:t xml:space="preserve">Locally produced ethanol is blended with petrol at the </w:t>
      </w:r>
      <w:r w:rsidR="00B54942" w:rsidRPr="006122EE">
        <w:rPr>
          <w:lang w:eastAsia="fr-FR"/>
        </w:rPr>
        <w:t xml:space="preserve">officially designated </w:t>
      </w:r>
      <w:r w:rsidRPr="006122EE">
        <w:rPr>
          <w:lang w:eastAsia="fr-FR"/>
        </w:rPr>
        <w:t>average rate of 20% (E20</w:t>
      </w:r>
      <w:r w:rsidRPr="006122EE">
        <w:rPr>
          <w:rStyle w:val="FootnoteReference"/>
          <w:lang w:eastAsia="fr-FR"/>
        </w:rPr>
        <w:footnoteReference w:id="56"/>
      </w:r>
      <w:r w:rsidRPr="006122EE">
        <w:rPr>
          <w:lang w:eastAsia="fr-FR"/>
        </w:rPr>
        <w:t xml:space="preserve">). Nevertheless, </w:t>
      </w:r>
      <w:r w:rsidRPr="006122EE">
        <w:t xml:space="preserve">according to </w:t>
      </w:r>
      <w:r w:rsidR="00B54942" w:rsidRPr="006122EE">
        <w:t>market observers,</w:t>
      </w:r>
      <w:r w:rsidRPr="006122EE">
        <w:t xml:space="preserve"> ethanol </w:t>
      </w:r>
      <w:r w:rsidR="00B54942" w:rsidRPr="006122EE">
        <w:t>is often</w:t>
      </w:r>
      <w:r w:rsidRPr="006122EE">
        <w:t xml:space="preserve"> </w:t>
      </w:r>
      <w:r w:rsidR="00B54942" w:rsidRPr="006122EE">
        <w:t>marketed at</w:t>
      </w:r>
      <w:r w:rsidRPr="006122EE">
        <w:t xml:space="preserve"> </w:t>
      </w:r>
      <w:r w:rsidR="00B54942" w:rsidRPr="006122EE">
        <w:t xml:space="preserve">a </w:t>
      </w:r>
      <w:r w:rsidRPr="006122EE">
        <w:t>10% blend with petrol</w:t>
      </w:r>
      <w:r w:rsidRPr="006122EE">
        <w:rPr>
          <w:rStyle w:val="FootnoteReference"/>
        </w:rPr>
        <w:footnoteReference w:id="57"/>
      </w:r>
      <w:r w:rsidRPr="006122EE">
        <w:t>.</w:t>
      </w:r>
    </w:p>
    <w:p w14:paraId="66C0F7D8" w14:textId="77777777" w:rsidR="008D4062" w:rsidRPr="006122EE" w:rsidRDefault="008D4062" w:rsidP="0082018A">
      <w:pPr>
        <w:spacing w:line="276" w:lineRule="auto"/>
        <w:rPr>
          <w:lang w:eastAsia="fr-FR"/>
        </w:rPr>
      </w:pPr>
      <w:r w:rsidRPr="006122EE">
        <w:rPr>
          <w:lang w:eastAsia="fr-FR"/>
        </w:rPr>
        <w:t xml:space="preserve">According to both ethanol producers in Malawi, a total of 43 million litres is possible by 2020 as the two ethanol companies in the country are currently implementing an expansion program. By 2030, 70-80 million litres of Ethanol is possible </w:t>
      </w:r>
      <w:r w:rsidR="000F114D" w:rsidRPr="006122EE">
        <w:rPr>
          <w:lang w:eastAsia="fr-FR"/>
        </w:rPr>
        <w:t>through an increase</w:t>
      </w:r>
      <w:r w:rsidRPr="006122EE">
        <w:rPr>
          <w:lang w:eastAsia="fr-FR"/>
        </w:rPr>
        <w:t xml:space="preserve"> of</w:t>
      </w:r>
      <w:r w:rsidR="000F114D" w:rsidRPr="006122EE">
        <w:rPr>
          <w:lang w:eastAsia="fr-FR"/>
        </w:rPr>
        <w:t xml:space="preserve"> the production by</w:t>
      </w:r>
      <w:r w:rsidRPr="006122EE">
        <w:rPr>
          <w:lang w:eastAsia="fr-FR"/>
        </w:rPr>
        <w:t xml:space="preserve"> 5% per year from 2020.</w:t>
      </w:r>
      <w:r w:rsidR="000F114D" w:rsidRPr="006122EE">
        <w:rPr>
          <w:lang w:eastAsia="fr-FR"/>
        </w:rPr>
        <w:t xml:space="preserve"> This increase can be achieved either by a higher production from the current producers or the entrance of new producers in the market. </w:t>
      </w:r>
    </w:p>
    <w:p w14:paraId="13F1043F" w14:textId="77777777" w:rsidR="005F27B0" w:rsidRPr="00866D96" w:rsidRDefault="005F27B0" w:rsidP="0082018A">
      <w:pPr>
        <w:pStyle w:val="CSubtitle2"/>
        <w:spacing w:line="276" w:lineRule="auto"/>
        <w:rPr>
          <w:noProof w:val="0"/>
          <w:lang w:val="en-GB"/>
        </w:rPr>
      </w:pPr>
      <w:r w:rsidRPr="00866D96">
        <w:rPr>
          <w:noProof w:val="0"/>
          <w:lang w:val="en-GB"/>
        </w:rPr>
        <w:t>Biodiesel production levels</w:t>
      </w:r>
    </w:p>
    <w:p w14:paraId="203C9225" w14:textId="77777777" w:rsidR="005F27B0" w:rsidRPr="006122EE" w:rsidRDefault="005F27B0" w:rsidP="0082018A">
      <w:pPr>
        <w:spacing w:line="276" w:lineRule="auto"/>
        <w:rPr>
          <w:lang w:eastAsia="fr-FR"/>
        </w:rPr>
      </w:pPr>
      <w:r w:rsidRPr="006122EE">
        <w:rPr>
          <w:lang w:eastAsia="fr-FR"/>
        </w:rPr>
        <w:t xml:space="preserve">Biodiesel is produced by Bio Energy Resources Ltd (BERL), the only biodiesel producer in the country and is used by some diesel cars and tractors. In 2015, BERL produced 70,000 litres of biodiesel but aims at increase its production </w:t>
      </w:r>
      <w:r w:rsidR="0016794C" w:rsidRPr="006122EE">
        <w:rPr>
          <w:lang w:eastAsia="fr-FR"/>
        </w:rPr>
        <w:t>to nearly 600,000 litres in 2017 and 60 million litres in 2030</w:t>
      </w:r>
      <w:r w:rsidRPr="006122EE">
        <w:rPr>
          <w:lang w:eastAsia="fr-FR"/>
        </w:rPr>
        <w:t>. The following figures are given by the company.</w:t>
      </w:r>
    </w:p>
    <w:p w14:paraId="4EBF6431" w14:textId="77777777" w:rsidR="005F27B0" w:rsidRPr="006122EE" w:rsidRDefault="005F27B0" w:rsidP="005F27B0">
      <w:pPr>
        <w:pStyle w:val="Caption"/>
      </w:pPr>
      <w:bookmarkStart w:id="251" w:name="_Ref448137853"/>
      <w:bookmarkStart w:id="252" w:name="_Ref447888871"/>
      <w:bookmarkStart w:id="253" w:name="_Toc481614980"/>
      <w:r w:rsidRPr="006122EE">
        <w:t xml:space="preserve">Figure </w:t>
      </w:r>
      <w:r w:rsidR="00DC7D8C">
        <w:fldChar w:fldCharType="begin"/>
      </w:r>
      <w:r w:rsidR="00DC7D8C">
        <w:instrText xml:space="preserve"> SEQ Figure \* ARABIC </w:instrText>
      </w:r>
      <w:r w:rsidR="00DC7D8C">
        <w:fldChar w:fldCharType="separate"/>
      </w:r>
      <w:r w:rsidR="00866D96">
        <w:rPr>
          <w:noProof/>
        </w:rPr>
        <w:t>16</w:t>
      </w:r>
      <w:r w:rsidR="00DC7D8C">
        <w:rPr>
          <w:noProof/>
        </w:rPr>
        <w:fldChar w:fldCharType="end"/>
      </w:r>
      <w:bookmarkEnd w:id="251"/>
      <w:r w:rsidRPr="006122EE">
        <w:t>: Expected biodiesel production of BERL through 2030 (million litres)</w:t>
      </w:r>
      <w:bookmarkEnd w:id="252"/>
      <w:bookmarkEnd w:id="253"/>
    </w:p>
    <w:p w14:paraId="1F7381F8" w14:textId="77777777" w:rsidR="005F27B0" w:rsidRPr="006122EE" w:rsidRDefault="0016794C" w:rsidP="005F27B0">
      <w:pPr>
        <w:jc w:val="center"/>
        <w:rPr>
          <w:lang w:eastAsia="fr-FR"/>
        </w:rPr>
      </w:pPr>
      <w:r w:rsidRPr="00866D96">
        <w:rPr>
          <w:noProof/>
          <w:lang w:val="en-US" w:eastAsia="en-US"/>
        </w:rPr>
        <w:drawing>
          <wp:inline distT="0" distB="0" distL="0" distR="0" wp14:anchorId="20E00A87" wp14:editId="4E009038">
            <wp:extent cx="4397828" cy="2362200"/>
            <wp:effectExtent l="0" t="0" r="3175"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4DDC97" w14:textId="77777777" w:rsidR="005F27B0" w:rsidRPr="00866D96" w:rsidRDefault="005F27B0" w:rsidP="005F27B0">
      <w:pPr>
        <w:pStyle w:val="CSubtitle2"/>
        <w:rPr>
          <w:noProof w:val="0"/>
          <w:lang w:val="en-GB"/>
        </w:rPr>
      </w:pPr>
      <w:r w:rsidRPr="00866D96">
        <w:rPr>
          <w:noProof w:val="0"/>
          <w:lang w:val="en-GB"/>
        </w:rPr>
        <w:t>Existing plans to support biofuels</w:t>
      </w:r>
    </w:p>
    <w:p w14:paraId="1F144A00" w14:textId="77777777" w:rsidR="005F27B0" w:rsidRPr="006122EE" w:rsidRDefault="005F27B0" w:rsidP="0082018A">
      <w:pPr>
        <w:spacing w:line="276" w:lineRule="auto"/>
      </w:pPr>
      <w:r w:rsidRPr="006122EE">
        <w:t>Regarding biofuels consumption, there have been some efforts to incentivise motorists to use ethanol. Specifically, in 2016, NCST developed the Ethanol Driven Vehicle Project (EDVP). The Commission carried out various trials of motor vehicle performance while using ethanol on three different car models, namely, Mitsubish Pajero, Ford Escort and Nissan Tiida. Following a series of trials, in October 2012, the Cabinet approved the EDVP and authorized the NCST to proceed with the rolling out of a programme for the increased use of ethanol in motor vehicles.</w:t>
      </w:r>
    </w:p>
    <w:p w14:paraId="68679DDE" w14:textId="77777777" w:rsidR="005F27B0" w:rsidRPr="006122EE" w:rsidRDefault="005F27B0" w:rsidP="0082018A">
      <w:pPr>
        <w:spacing w:after="0" w:line="276" w:lineRule="auto"/>
        <w:rPr>
          <w:bCs/>
        </w:rPr>
      </w:pPr>
      <w:r w:rsidRPr="006122EE">
        <w:t xml:space="preserve">NCST proceeded to develop the </w:t>
      </w:r>
      <w:r w:rsidRPr="006122EE">
        <w:rPr>
          <w:bCs/>
        </w:rPr>
        <w:t>Roll out Programme of Increased Ethanol Use as Vehicle Fuel under the Malawi Ethanol Programme in July 2013.</w:t>
      </w:r>
      <w:r w:rsidRPr="006122EE">
        <w:rPr>
          <w:b/>
          <w:bCs/>
        </w:rPr>
        <w:t xml:space="preserve"> </w:t>
      </w:r>
      <w:r w:rsidRPr="006122EE">
        <w:rPr>
          <w:bCs/>
        </w:rPr>
        <w:t>The roll out programme among other things aimed to:</w:t>
      </w:r>
    </w:p>
    <w:p w14:paraId="6A202C81" w14:textId="77777777" w:rsidR="005F27B0" w:rsidRPr="00866D96" w:rsidRDefault="005F27B0" w:rsidP="0082018A">
      <w:pPr>
        <w:pStyle w:val="DBulletlevel1"/>
        <w:spacing w:line="276" w:lineRule="auto"/>
        <w:rPr>
          <w:noProof w:val="0"/>
        </w:rPr>
      </w:pPr>
      <w:r w:rsidRPr="00866D96">
        <w:rPr>
          <w:noProof w:val="0"/>
        </w:rPr>
        <w:t>Review policies and regulations related to ethanol fuel, its distribution and utilization within the ethanol supply chain</w:t>
      </w:r>
      <w:r w:rsidR="00B024D5" w:rsidRPr="00866D96">
        <w:rPr>
          <w:noProof w:val="0"/>
        </w:rPr>
        <w:t>.</w:t>
      </w:r>
    </w:p>
    <w:p w14:paraId="6F584F6A" w14:textId="77777777" w:rsidR="005F27B0" w:rsidRPr="00866D96" w:rsidRDefault="005F27B0" w:rsidP="0082018A">
      <w:pPr>
        <w:pStyle w:val="DBulletlevel1"/>
        <w:spacing w:line="276" w:lineRule="auto"/>
        <w:rPr>
          <w:noProof w:val="0"/>
        </w:rPr>
      </w:pPr>
      <w:r w:rsidRPr="00866D96">
        <w:rPr>
          <w:noProof w:val="0"/>
        </w:rPr>
        <w:t>Increase ethanol production, distribution and storage</w:t>
      </w:r>
      <w:r w:rsidR="00B024D5" w:rsidRPr="00866D96">
        <w:rPr>
          <w:noProof w:val="0"/>
        </w:rPr>
        <w:t>.</w:t>
      </w:r>
    </w:p>
    <w:p w14:paraId="29EB8DB2" w14:textId="77777777" w:rsidR="005F27B0" w:rsidRPr="00866D96" w:rsidRDefault="005F27B0" w:rsidP="0082018A">
      <w:pPr>
        <w:pStyle w:val="DBulletlevel1"/>
        <w:spacing w:line="276" w:lineRule="auto"/>
        <w:rPr>
          <w:noProof w:val="0"/>
        </w:rPr>
      </w:pPr>
      <w:r w:rsidRPr="00866D96">
        <w:rPr>
          <w:noProof w:val="0"/>
        </w:rPr>
        <w:t>Carry out capacity building activities throughout the ethanol value chain</w:t>
      </w:r>
      <w:r w:rsidR="00B024D5" w:rsidRPr="00866D96">
        <w:rPr>
          <w:noProof w:val="0"/>
        </w:rPr>
        <w:t>.</w:t>
      </w:r>
    </w:p>
    <w:p w14:paraId="4CA7A6A0" w14:textId="77777777" w:rsidR="005F27B0" w:rsidRPr="00866D96" w:rsidRDefault="005F27B0" w:rsidP="0082018A">
      <w:pPr>
        <w:pStyle w:val="DBulletlevel1"/>
        <w:spacing w:line="276" w:lineRule="auto"/>
        <w:rPr>
          <w:noProof w:val="0"/>
        </w:rPr>
      </w:pPr>
      <w:r w:rsidRPr="00866D96">
        <w:rPr>
          <w:noProof w:val="0"/>
        </w:rPr>
        <w:t>Increase public awareness of the programme</w:t>
      </w:r>
      <w:r w:rsidR="00B024D5" w:rsidRPr="00866D96">
        <w:rPr>
          <w:noProof w:val="0"/>
        </w:rPr>
        <w:t>.</w:t>
      </w:r>
    </w:p>
    <w:p w14:paraId="56B03478" w14:textId="77777777" w:rsidR="005F27B0" w:rsidRPr="00866D96" w:rsidRDefault="005F27B0" w:rsidP="0082018A">
      <w:pPr>
        <w:pStyle w:val="DBulletlevel1"/>
        <w:spacing w:line="276" w:lineRule="auto"/>
        <w:rPr>
          <w:noProof w:val="0"/>
        </w:rPr>
      </w:pPr>
      <w:r w:rsidRPr="00866D96">
        <w:rPr>
          <w:noProof w:val="0"/>
        </w:rPr>
        <w:t>Undertake research and development (R&amp;D) on emerging issues on ethanol at all levels of the supply chain</w:t>
      </w:r>
      <w:r w:rsidR="00B024D5" w:rsidRPr="00866D96">
        <w:rPr>
          <w:noProof w:val="0"/>
        </w:rPr>
        <w:t>.</w:t>
      </w:r>
    </w:p>
    <w:p w14:paraId="40D9D276" w14:textId="77777777" w:rsidR="005F27B0" w:rsidRPr="00866D96" w:rsidRDefault="005F27B0" w:rsidP="0082018A">
      <w:pPr>
        <w:pStyle w:val="DBulletlevel1"/>
        <w:spacing w:line="276" w:lineRule="auto"/>
        <w:rPr>
          <w:noProof w:val="0"/>
        </w:rPr>
      </w:pPr>
      <w:r w:rsidRPr="00866D96">
        <w:rPr>
          <w:noProof w:val="0"/>
        </w:rPr>
        <w:t>Monitor and evaluate of the programme</w:t>
      </w:r>
      <w:r w:rsidR="00B024D5" w:rsidRPr="00866D96">
        <w:rPr>
          <w:noProof w:val="0"/>
        </w:rPr>
        <w:t>.</w:t>
      </w:r>
    </w:p>
    <w:p w14:paraId="7F6BBDCC" w14:textId="77777777" w:rsidR="005F27B0" w:rsidRPr="006122EE" w:rsidRDefault="005F27B0" w:rsidP="0082018A">
      <w:pPr>
        <w:spacing w:line="276" w:lineRule="auto"/>
        <w:rPr>
          <w:lang w:eastAsia="fr-FR"/>
        </w:rPr>
      </w:pPr>
      <w:r w:rsidRPr="006122EE">
        <w:rPr>
          <w:b/>
          <w:lang w:eastAsia="fr-FR"/>
        </w:rPr>
        <w:t>The 2003 National Energy Policy (NEP)</w:t>
      </w:r>
      <w:r w:rsidRPr="006122EE">
        <w:rPr>
          <w:lang w:eastAsia="fr-FR"/>
        </w:rPr>
        <w:t xml:space="preserve"> and the </w:t>
      </w:r>
      <w:r w:rsidRPr="006122EE">
        <w:rPr>
          <w:b/>
          <w:lang w:eastAsia="fr-FR"/>
        </w:rPr>
        <w:t>Malawi Growth and Development Strategy II</w:t>
      </w:r>
      <w:r w:rsidRPr="006122EE">
        <w:rPr>
          <w:lang w:eastAsia="fr-FR"/>
        </w:rPr>
        <w:t xml:space="preserve"> (2011-2016), aimed at increasing the ethanol mandatory and average percentage from 10% to 20% in volume. That increased blending rate has not been achieved yet because of insufficient ethanol production. The new National Energy Policy also sets production level targets for ethanol and biodiesel in 2017 and 2035 (</w:t>
      </w:r>
      <w:r w:rsidR="004D49BF" w:rsidRPr="006122EE">
        <w:rPr>
          <w:lang w:eastAsia="fr-FR"/>
        </w:rPr>
        <w:t>t</w:t>
      </w:r>
      <w:r w:rsidRPr="006122EE">
        <w:rPr>
          <w:lang w:eastAsia="fr-FR"/>
        </w:rPr>
        <w:t xml:space="preserve">hese targets </w:t>
      </w:r>
      <w:r w:rsidR="00B024D5" w:rsidRPr="006122EE">
        <w:rPr>
          <w:lang w:eastAsia="fr-FR"/>
        </w:rPr>
        <w:t>are</w:t>
      </w:r>
      <w:r w:rsidRPr="006122EE">
        <w:rPr>
          <w:lang w:eastAsia="fr-FR"/>
        </w:rPr>
        <w:t xml:space="preserve"> discussed in </w:t>
      </w:r>
      <w:r w:rsidRPr="006122EE">
        <w:rPr>
          <w:lang w:eastAsia="fr-FR"/>
        </w:rPr>
        <w:fldChar w:fldCharType="begin"/>
      </w:r>
      <w:r w:rsidRPr="006122EE">
        <w:rPr>
          <w:lang w:eastAsia="fr-FR"/>
        </w:rPr>
        <w:instrText xml:space="preserve"> REF _Ref448139597 \r \h </w:instrText>
      </w:r>
      <w:r w:rsidR="0082018A">
        <w:rPr>
          <w:lang w:eastAsia="fr-FR"/>
        </w:rPr>
        <w:instrText xml:space="preserve"> \* MERGEFORMAT </w:instrText>
      </w:r>
      <w:r w:rsidRPr="006122EE">
        <w:rPr>
          <w:lang w:eastAsia="fr-FR"/>
        </w:rPr>
      </w:r>
      <w:r w:rsidRPr="006122EE">
        <w:rPr>
          <w:lang w:eastAsia="fr-FR"/>
        </w:rPr>
        <w:fldChar w:fldCharType="separate"/>
      </w:r>
      <w:r w:rsidR="00866D96">
        <w:rPr>
          <w:lang w:eastAsia="fr-FR"/>
        </w:rPr>
        <w:t>4.6.2</w:t>
      </w:r>
      <w:r w:rsidRPr="006122EE">
        <w:rPr>
          <w:lang w:eastAsia="fr-FR"/>
        </w:rPr>
        <w:fldChar w:fldCharType="end"/>
      </w:r>
      <w:r w:rsidRPr="006122EE">
        <w:rPr>
          <w:lang w:eastAsia="fr-FR"/>
        </w:rPr>
        <w:t>).</w:t>
      </w:r>
    </w:p>
    <w:p w14:paraId="635D3F81" w14:textId="77777777" w:rsidR="005F27B0" w:rsidRPr="006122EE" w:rsidRDefault="005F27B0" w:rsidP="0082018A">
      <w:pPr>
        <w:spacing w:line="276" w:lineRule="auto"/>
        <w:rPr>
          <w:lang w:eastAsia="fr-FR"/>
        </w:rPr>
      </w:pPr>
      <w:r w:rsidRPr="006122EE">
        <w:rPr>
          <w:lang w:eastAsia="fr-FR"/>
        </w:rPr>
        <w:t xml:space="preserve">In order to encourage ethanol companies to increase investment in ethanol production, the </w:t>
      </w:r>
      <w:r w:rsidR="00983ED1" w:rsidRPr="006122EE">
        <w:rPr>
          <w:lang w:eastAsia="fr-FR"/>
        </w:rPr>
        <w:t>g</w:t>
      </w:r>
      <w:r w:rsidRPr="006122EE">
        <w:rPr>
          <w:lang w:eastAsia="fr-FR"/>
        </w:rPr>
        <w:t xml:space="preserve">overnment established an appropriate </w:t>
      </w:r>
      <w:r w:rsidR="0082018A">
        <w:rPr>
          <w:lang w:eastAsia="fr-FR"/>
        </w:rPr>
        <w:t xml:space="preserve">rate of </w:t>
      </w:r>
      <w:r w:rsidRPr="006122EE">
        <w:rPr>
          <w:lang w:eastAsia="fr-FR"/>
        </w:rPr>
        <w:t xml:space="preserve">return on investment by pricing ethanol on the basis of full cost recovery. Specifically, </w:t>
      </w:r>
      <w:r w:rsidRPr="006122EE">
        <w:rPr>
          <w:b/>
          <w:lang w:eastAsia="fr-FR"/>
        </w:rPr>
        <w:t>rule 25 of the 2004 Liquid Fuels and Gas (Production and Supply) Regulations</w:t>
      </w:r>
      <w:r w:rsidRPr="006122EE">
        <w:rPr>
          <w:lang w:eastAsia="fr-FR"/>
        </w:rPr>
        <w:t xml:space="preserve"> requires that for the definition of the price of biofuels, MERA shall take into account the cost of production, transportation, distribution, weighted storage cost, cost of goods-in-transit insurance and transit losses, taxes and levies plus the licensee’s mark-up, and thus define a price sufficiently high to encourage ethanol production. However, currently, the price of ethanol is pegged to price movements of petrol, meaning that this regulation is still not implemented. MERA is in charge of defining this price structure that reflects "true" cost of ethanol and will be independent of petrol price. They hope to achieve this by the beginning of the new financial year (1st July 2016).</w:t>
      </w:r>
    </w:p>
    <w:p w14:paraId="0B5A3692" w14:textId="77777777" w:rsidR="005F27B0" w:rsidRPr="006122EE" w:rsidRDefault="005F27B0" w:rsidP="0082018A">
      <w:pPr>
        <w:spacing w:line="276" w:lineRule="auto"/>
      </w:pPr>
      <w:r w:rsidRPr="006122EE">
        <w:t>The Malawi Ethanol Programme (2013) aimed to increase ethanol production and its use as fuel from the 2013 level (18 million litres of hydrous / anhydrous ethanol produced) to 49 million litres and 104 million litres per year respectively by 2015 and 2020</w:t>
      </w:r>
      <w:r w:rsidRPr="006122EE">
        <w:rPr>
          <w:rStyle w:val="FootnoteReference"/>
          <w:rFonts w:eastAsia="SimHei"/>
        </w:rPr>
        <w:footnoteReference w:id="58"/>
      </w:r>
      <w:r w:rsidRPr="006122EE">
        <w:t xml:space="preserve">. </w:t>
      </w:r>
    </w:p>
    <w:p w14:paraId="1EEC3870" w14:textId="77777777" w:rsidR="005F27B0" w:rsidRPr="006122EE" w:rsidRDefault="005F27B0" w:rsidP="0082018A">
      <w:pPr>
        <w:spacing w:line="276" w:lineRule="auto"/>
        <w:rPr>
          <w:lang w:eastAsia="fr-FR"/>
        </w:rPr>
      </w:pPr>
      <w:r w:rsidRPr="006122EE">
        <w:rPr>
          <w:lang w:eastAsia="fr-FR"/>
        </w:rPr>
        <w:t xml:space="preserve">In 2014, </w:t>
      </w:r>
      <w:r w:rsidR="005B54BE" w:rsidRPr="006122EE">
        <w:rPr>
          <w:lang w:eastAsia="fr-FR"/>
        </w:rPr>
        <w:t xml:space="preserve">MERA approved </w:t>
      </w:r>
      <w:r w:rsidRPr="006122EE">
        <w:rPr>
          <w:lang w:eastAsia="fr-FR"/>
        </w:rPr>
        <w:t xml:space="preserve">ethanol as a </w:t>
      </w:r>
      <w:r w:rsidR="005B54BE" w:rsidRPr="006122EE">
        <w:rPr>
          <w:lang w:eastAsia="fr-FR"/>
        </w:rPr>
        <w:t xml:space="preserve">motor vehicle </w:t>
      </w:r>
      <w:r w:rsidRPr="006122EE">
        <w:rPr>
          <w:lang w:eastAsia="fr-FR"/>
        </w:rPr>
        <w:t>fuel (100% ethanol, not only in b</w:t>
      </w:r>
      <w:r w:rsidR="005B54BE" w:rsidRPr="006122EE">
        <w:rPr>
          <w:lang w:eastAsia="fr-FR"/>
        </w:rPr>
        <w:t>lending). This has resulted in</w:t>
      </w:r>
      <w:r w:rsidRPr="006122EE">
        <w:rPr>
          <w:lang w:eastAsia="fr-FR"/>
        </w:rPr>
        <w:t xml:space="preserve"> plans which are underway to construct separate </w:t>
      </w:r>
      <w:r w:rsidR="005B54BE" w:rsidRPr="006122EE">
        <w:rPr>
          <w:lang w:eastAsia="fr-FR"/>
        </w:rPr>
        <w:t xml:space="preserve">ethanol </w:t>
      </w:r>
      <w:r w:rsidRPr="006122EE">
        <w:rPr>
          <w:lang w:eastAsia="fr-FR"/>
        </w:rPr>
        <w:t xml:space="preserve">pumps </w:t>
      </w:r>
      <w:r w:rsidR="005B54BE" w:rsidRPr="006122EE">
        <w:rPr>
          <w:lang w:eastAsia="fr-FR"/>
        </w:rPr>
        <w:t xml:space="preserve">at filling stations </w:t>
      </w:r>
      <w:r w:rsidRPr="006122EE">
        <w:rPr>
          <w:lang w:eastAsia="fr-FR"/>
        </w:rPr>
        <w:t>in all major towns.</w:t>
      </w:r>
    </w:p>
    <w:p w14:paraId="673DD968" w14:textId="77777777" w:rsidR="005F27B0" w:rsidRPr="006122EE" w:rsidRDefault="005F27B0" w:rsidP="0082018A">
      <w:pPr>
        <w:spacing w:line="276" w:lineRule="auto"/>
        <w:rPr>
          <w:lang w:eastAsia="fr-FR"/>
        </w:rPr>
      </w:pPr>
      <w:r w:rsidRPr="006122EE">
        <w:rPr>
          <w:lang w:eastAsia="fr-FR"/>
        </w:rPr>
        <w:t xml:space="preserve">Following this initiative, Press Corporation Limited </w:t>
      </w:r>
      <w:r w:rsidR="005B54BE" w:rsidRPr="006122EE">
        <w:rPr>
          <w:lang w:eastAsia="fr-FR"/>
        </w:rPr>
        <w:t>rolled</w:t>
      </w:r>
      <w:r w:rsidRPr="006122EE">
        <w:rPr>
          <w:lang w:eastAsia="fr-FR"/>
        </w:rPr>
        <w:t xml:space="preserve"> out the Flexi fuel vehicle which can run </w:t>
      </w:r>
      <w:r w:rsidR="005B54BE" w:rsidRPr="006122EE">
        <w:rPr>
          <w:lang w:eastAsia="fr-FR"/>
        </w:rPr>
        <w:t>on either 100% ethanol or</w:t>
      </w:r>
      <w:r w:rsidRPr="006122EE">
        <w:rPr>
          <w:lang w:eastAsia="fr-FR"/>
        </w:rPr>
        <w:t xml:space="preserve"> 100% </w:t>
      </w:r>
      <w:r w:rsidR="005B54BE" w:rsidRPr="006122EE">
        <w:rPr>
          <w:lang w:eastAsia="fr-FR"/>
        </w:rPr>
        <w:t xml:space="preserve">or </w:t>
      </w:r>
      <w:r w:rsidRPr="006122EE">
        <w:rPr>
          <w:lang w:eastAsia="fr-FR"/>
        </w:rPr>
        <w:t xml:space="preserve">on </w:t>
      </w:r>
      <w:r w:rsidR="005B54BE" w:rsidRPr="006122EE">
        <w:rPr>
          <w:lang w:eastAsia="fr-FR"/>
        </w:rPr>
        <w:t xml:space="preserve">any blend </w:t>
      </w:r>
      <w:r w:rsidRPr="006122EE">
        <w:rPr>
          <w:lang w:eastAsia="fr-FR"/>
        </w:rPr>
        <w:t xml:space="preserve">of the two </w:t>
      </w:r>
      <w:r w:rsidR="005B54BE" w:rsidRPr="006122EE">
        <w:rPr>
          <w:lang w:eastAsia="fr-FR"/>
        </w:rPr>
        <w:t>through installation</w:t>
      </w:r>
      <w:r w:rsidRPr="006122EE">
        <w:rPr>
          <w:lang w:eastAsia="fr-FR"/>
        </w:rPr>
        <w:t xml:space="preserve"> of a conversion </w:t>
      </w:r>
      <w:r w:rsidR="005B54BE" w:rsidRPr="006122EE">
        <w:rPr>
          <w:lang w:eastAsia="fr-FR"/>
        </w:rPr>
        <w:t>kit. Fifty cars were used in a</w:t>
      </w:r>
      <w:r w:rsidRPr="006122EE">
        <w:rPr>
          <w:lang w:eastAsia="fr-FR"/>
        </w:rPr>
        <w:t xml:space="preserve"> </w:t>
      </w:r>
      <w:r w:rsidR="005B54BE" w:rsidRPr="006122EE">
        <w:rPr>
          <w:lang w:eastAsia="fr-FR"/>
        </w:rPr>
        <w:t xml:space="preserve">successful </w:t>
      </w:r>
      <w:r w:rsidRPr="006122EE">
        <w:rPr>
          <w:lang w:eastAsia="fr-FR"/>
        </w:rPr>
        <w:t xml:space="preserve">trial run </w:t>
      </w:r>
      <w:r w:rsidR="005B54BE" w:rsidRPr="006122EE">
        <w:rPr>
          <w:lang w:eastAsia="fr-FR"/>
        </w:rPr>
        <w:t>of the vehicles</w:t>
      </w:r>
      <w:r w:rsidRPr="006122EE">
        <w:rPr>
          <w:lang w:eastAsia="fr-FR"/>
        </w:rPr>
        <w:t xml:space="preserve">. The full program rollout is awaiting the finalisation </w:t>
      </w:r>
      <w:r w:rsidR="005B54BE" w:rsidRPr="006122EE">
        <w:rPr>
          <w:lang w:eastAsia="fr-FR"/>
        </w:rPr>
        <w:t xml:space="preserve">of </w:t>
      </w:r>
      <w:r w:rsidR="00B024D5" w:rsidRPr="006122EE">
        <w:rPr>
          <w:lang w:eastAsia="fr-FR"/>
        </w:rPr>
        <w:t>a pricing</w:t>
      </w:r>
      <w:r w:rsidRPr="006122EE">
        <w:rPr>
          <w:lang w:eastAsia="fr-FR"/>
        </w:rPr>
        <w:t xml:space="preserve"> model.</w:t>
      </w:r>
    </w:p>
    <w:p w14:paraId="4ACA57E0" w14:textId="77777777" w:rsidR="005F27B0" w:rsidRPr="006122EE" w:rsidRDefault="005F27B0" w:rsidP="0082018A">
      <w:pPr>
        <w:pStyle w:val="Style1"/>
        <w:spacing w:line="276" w:lineRule="auto"/>
      </w:pPr>
      <w:r w:rsidRPr="006122EE">
        <w:t>Electricity and biogas</w:t>
      </w:r>
    </w:p>
    <w:p w14:paraId="4F9A1832" w14:textId="77777777" w:rsidR="005F27B0" w:rsidRPr="00866D96" w:rsidRDefault="005F27B0" w:rsidP="0082018A">
      <w:pPr>
        <w:pStyle w:val="CSubtitle2"/>
        <w:spacing w:line="276" w:lineRule="auto"/>
        <w:rPr>
          <w:noProof w:val="0"/>
          <w:lang w:val="en-GB"/>
        </w:rPr>
      </w:pPr>
      <w:r w:rsidRPr="00866D96">
        <w:rPr>
          <w:noProof w:val="0"/>
          <w:lang w:val="en-GB"/>
        </w:rPr>
        <w:t>Alternative fuels: electricity</w:t>
      </w:r>
    </w:p>
    <w:p w14:paraId="659F1E9D" w14:textId="77777777" w:rsidR="005F27B0" w:rsidRPr="006122EE" w:rsidRDefault="005F27B0" w:rsidP="0082018A">
      <w:pPr>
        <w:spacing w:line="276" w:lineRule="auto"/>
        <w:rPr>
          <w:lang w:eastAsia="fr-FR"/>
        </w:rPr>
      </w:pPr>
      <w:r w:rsidRPr="006122EE">
        <w:rPr>
          <w:lang w:eastAsia="fr-FR"/>
        </w:rPr>
        <w:t xml:space="preserve">There are no electric road vehicles in the country (neither small nor large vehicles). </w:t>
      </w:r>
    </w:p>
    <w:p w14:paraId="24664ED2" w14:textId="77777777" w:rsidR="005F27B0" w:rsidRPr="00866D96" w:rsidRDefault="005F27B0" w:rsidP="0082018A">
      <w:pPr>
        <w:pStyle w:val="CSubtitle2"/>
        <w:spacing w:line="276" w:lineRule="auto"/>
        <w:rPr>
          <w:noProof w:val="0"/>
          <w:lang w:val="en-GB"/>
        </w:rPr>
      </w:pPr>
      <w:r w:rsidRPr="00866D96">
        <w:rPr>
          <w:noProof w:val="0"/>
          <w:lang w:val="en-GB"/>
        </w:rPr>
        <w:t>Alternative fuels: biogas</w:t>
      </w:r>
    </w:p>
    <w:p w14:paraId="03EA8358" w14:textId="77777777" w:rsidR="005F27B0" w:rsidRPr="006122EE" w:rsidRDefault="005F27B0" w:rsidP="0082018A">
      <w:pPr>
        <w:spacing w:line="276" w:lineRule="auto"/>
        <w:rPr>
          <w:lang w:eastAsia="fr-FR"/>
        </w:rPr>
      </w:pPr>
      <w:r w:rsidRPr="006122EE">
        <w:rPr>
          <w:lang w:eastAsia="fr-FR"/>
        </w:rPr>
        <w:t>Biogas is not used in transportation.</w:t>
      </w:r>
    </w:p>
    <w:p w14:paraId="56BD6B28" w14:textId="77777777" w:rsidR="005F27B0" w:rsidRPr="006122EE" w:rsidRDefault="005F27B0" w:rsidP="0082018A">
      <w:pPr>
        <w:pStyle w:val="BTitle3"/>
        <w:numPr>
          <w:ilvl w:val="2"/>
          <w:numId w:val="26"/>
        </w:numPr>
        <w:spacing w:line="276" w:lineRule="auto"/>
        <w:ind w:left="1429"/>
        <w:rPr>
          <w:noProof w:val="0"/>
          <w:lang w:val="en-GB"/>
        </w:rPr>
      </w:pPr>
      <w:bookmarkStart w:id="254" w:name="_Ref448139597"/>
      <w:bookmarkStart w:id="255" w:name="_Ref448139601"/>
      <w:bookmarkStart w:id="256" w:name="_Toc481614914"/>
      <w:r w:rsidRPr="006122EE">
        <w:rPr>
          <w:noProof w:val="0"/>
          <w:lang w:val="en-GB"/>
        </w:rPr>
        <w:t>What is the target for 2030?</w:t>
      </w:r>
      <w:bookmarkEnd w:id="254"/>
      <w:bookmarkEnd w:id="255"/>
      <w:bookmarkEnd w:id="256"/>
    </w:p>
    <w:p w14:paraId="3BC4D378" w14:textId="77777777" w:rsidR="005F27B0" w:rsidRPr="006122EE" w:rsidRDefault="005F27B0" w:rsidP="0082018A">
      <w:pPr>
        <w:pStyle w:val="Style1"/>
        <w:spacing w:line="276" w:lineRule="auto"/>
      </w:pPr>
      <w:r w:rsidRPr="006122EE">
        <w:t>Biofuels target</w:t>
      </w:r>
    </w:p>
    <w:p w14:paraId="08F178B1" w14:textId="77777777" w:rsidR="0016794C" w:rsidRPr="00866D96" w:rsidRDefault="0016794C" w:rsidP="0082018A">
      <w:pPr>
        <w:pStyle w:val="CSubtitle2"/>
        <w:spacing w:line="276" w:lineRule="auto"/>
        <w:rPr>
          <w:noProof w:val="0"/>
          <w:lang w:val="en-GB"/>
        </w:rPr>
      </w:pPr>
      <w:r w:rsidRPr="00866D96">
        <w:rPr>
          <w:noProof w:val="0"/>
          <w:lang w:val="en-GB"/>
        </w:rPr>
        <w:t>Proposed targets</w:t>
      </w:r>
    </w:p>
    <w:p w14:paraId="32AFC677" w14:textId="77777777" w:rsidR="005F27B0" w:rsidRPr="006122EE" w:rsidRDefault="005F27B0" w:rsidP="0082018A">
      <w:pPr>
        <w:spacing w:line="276" w:lineRule="auto"/>
        <w:rPr>
          <w:lang w:eastAsia="en-US"/>
        </w:rPr>
      </w:pPr>
      <w:r w:rsidRPr="006122EE">
        <w:rPr>
          <w:lang w:eastAsia="en-US"/>
        </w:rPr>
        <w:t xml:space="preserve">Currently there is no consensus on what is the maximum level of ethanol blending in low-blends (blends that do not require any transformation on vehicle’s engines) that can be used in conventional vehicles. Car manufacturers and oil companies generally are in favour of a 10:90 blending wall, while ethanol producers and farming promote a higher blending wall. Indeed, a blending rate higher than 20:80 might require an engine conversion. However, the increasing share of flex-fuel vehicles will allow a blending rate of E85, and even higher.  </w:t>
      </w:r>
    </w:p>
    <w:p w14:paraId="1C5D847F" w14:textId="77777777" w:rsidR="005F27B0" w:rsidRPr="006122EE" w:rsidRDefault="005F27B0" w:rsidP="0082018A">
      <w:pPr>
        <w:spacing w:line="276" w:lineRule="auto"/>
      </w:pPr>
      <w:r w:rsidRPr="006122EE">
        <w:rPr>
          <w:lang w:eastAsia="en-US"/>
        </w:rPr>
        <w:t xml:space="preserve">Although </w:t>
      </w:r>
      <w:r w:rsidRPr="006122EE">
        <w:t>ethanol is now produced in quantities sufficient to allow blending higher than 10%, the situation is different for biodiesel, with Jatropha production in the country still very modest. The determination of necessary biofuel supply is complicated by gaps in fuel usage data per sector, especially for diesel.</w:t>
      </w:r>
    </w:p>
    <w:p w14:paraId="4AB0B7A1" w14:textId="77777777" w:rsidR="005F27B0" w:rsidRPr="006122EE" w:rsidRDefault="005F27B0" w:rsidP="0082018A">
      <w:pPr>
        <w:spacing w:line="276" w:lineRule="auto"/>
      </w:pPr>
      <w:r w:rsidRPr="006122EE">
        <w:t xml:space="preserve">Nevertheless, due to rapid growth of the number of vehicles, the demand for petroleum products will witness a growth in demand and it is expected to rise in the coming years. It is possible to anticipate national liquid fuel demand, based on different methodologies and studies. </w:t>
      </w:r>
    </w:p>
    <w:p w14:paraId="78817DDE" w14:textId="77777777" w:rsidR="005F27B0" w:rsidRPr="006122EE" w:rsidRDefault="004A666D" w:rsidP="0082018A">
      <w:pPr>
        <w:spacing w:line="276" w:lineRule="auto"/>
      </w:pPr>
      <w:r w:rsidRPr="006122EE">
        <w:t xml:space="preserve">The NCST noted that estimated annual fuel requirements for petrol driven vehicles for the country would reach 198.6 million litres by 2015 and 320 million litres by 2020. </w:t>
      </w:r>
      <w:r w:rsidR="005F27B0" w:rsidRPr="006122EE">
        <w:t>Assuming straight line growth from importation levels between 1999 and 2013, liquid fuels are expected to rise to more than 325 million litres by 2015 (111 million for petrol and 226 million for diesel), which will further increase to nearly 500 million litres by 2030 (132 million for petrol and 366 for diesel).</w:t>
      </w:r>
    </w:p>
    <w:p w14:paraId="1AC69A72" w14:textId="77777777" w:rsidR="005F27B0" w:rsidRPr="006122EE" w:rsidRDefault="005F27B0" w:rsidP="0082018A">
      <w:pPr>
        <w:spacing w:line="276" w:lineRule="auto"/>
      </w:pPr>
      <w:r w:rsidRPr="006122EE">
        <w:t>Ethanol and biodiesel expected production through 2030 can then be settled, depending on blending targets decided for each of this liquid fuel:</w:t>
      </w:r>
    </w:p>
    <w:p w14:paraId="501FD75D" w14:textId="77777777" w:rsidR="005F27B0" w:rsidRPr="00866D96" w:rsidRDefault="005F27B0" w:rsidP="0082018A">
      <w:pPr>
        <w:pStyle w:val="DBulletlevel1"/>
        <w:spacing w:line="276" w:lineRule="auto"/>
        <w:rPr>
          <w:noProof w:val="0"/>
        </w:rPr>
      </w:pPr>
      <w:r w:rsidRPr="00866D96">
        <w:rPr>
          <w:noProof w:val="0"/>
        </w:rPr>
        <w:t>E20 through 2020, according to the recommendations of Malawi Growth and Development Strategy II (2011-2016)</w:t>
      </w:r>
      <w:r w:rsidR="00BB3150" w:rsidRPr="00866D96">
        <w:rPr>
          <w:noProof w:val="0"/>
        </w:rPr>
        <w:t>.</w:t>
      </w:r>
    </w:p>
    <w:p w14:paraId="7095DD5A" w14:textId="77777777" w:rsidR="005F27B0" w:rsidRPr="00866D96" w:rsidRDefault="005F27B0" w:rsidP="0082018A">
      <w:pPr>
        <w:pStyle w:val="DBulletlevel1"/>
        <w:spacing w:line="276" w:lineRule="auto"/>
        <w:rPr>
          <w:noProof w:val="0"/>
        </w:rPr>
      </w:pPr>
      <w:r w:rsidRPr="00866D96">
        <w:rPr>
          <w:noProof w:val="0"/>
        </w:rPr>
        <w:t>E30 from 2020 to 2030 (</w:t>
      </w:r>
      <w:r w:rsidR="0067500A" w:rsidRPr="00866D96">
        <w:rPr>
          <w:noProof w:val="0"/>
        </w:rPr>
        <w:t xml:space="preserve">according to projections, </w:t>
      </w:r>
      <w:r w:rsidR="00EF136F" w:rsidRPr="00866D96">
        <w:rPr>
          <w:noProof w:val="0"/>
        </w:rPr>
        <w:t xml:space="preserve">ethanol will be produced in sufficient volumes by </w:t>
      </w:r>
      <w:r w:rsidRPr="00866D96">
        <w:rPr>
          <w:noProof w:val="0"/>
        </w:rPr>
        <w:t>Ethco and Press Cane Ltd</w:t>
      </w:r>
      <w:r w:rsidR="00EF136F" w:rsidRPr="00866D96">
        <w:rPr>
          <w:noProof w:val="0"/>
        </w:rPr>
        <w:t xml:space="preserve"> </w:t>
      </w:r>
      <w:r w:rsidR="0067500A" w:rsidRPr="00866D96">
        <w:rPr>
          <w:noProof w:val="0"/>
        </w:rPr>
        <w:t>by 2030</w:t>
      </w:r>
      <w:r w:rsidR="00EF136F" w:rsidRPr="00866D96">
        <w:rPr>
          <w:noProof w:val="0"/>
        </w:rPr>
        <w:t xml:space="preserve">. But it seems difficult to go further </w:t>
      </w:r>
      <w:r w:rsidR="0067500A" w:rsidRPr="00866D96">
        <w:rPr>
          <w:noProof w:val="0"/>
        </w:rPr>
        <w:t>th</w:t>
      </w:r>
      <w:r w:rsidR="00EF136F" w:rsidRPr="00866D96">
        <w:rPr>
          <w:noProof w:val="0"/>
        </w:rPr>
        <w:t xml:space="preserve">an </w:t>
      </w:r>
      <w:r w:rsidR="0067500A" w:rsidRPr="00866D96">
        <w:rPr>
          <w:noProof w:val="0"/>
        </w:rPr>
        <w:t xml:space="preserve">a </w:t>
      </w:r>
      <w:r w:rsidR="00EF136F" w:rsidRPr="00866D96">
        <w:rPr>
          <w:noProof w:val="0"/>
        </w:rPr>
        <w:t>E30 blend without adapting the whole car fleet engines</w:t>
      </w:r>
      <w:r w:rsidRPr="00866D96">
        <w:rPr>
          <w:noProof w:val="0"/>
        </w:rPr>
        <w:t>)</w:t>
      </w:r>
      <w:r w:rsidR="00BB3150" w:rsidRPr="00866D96">
        <w:rPr>
          <w:noProof w:val="0"/>
        </w:rPr>
        <w:t>.</w:t>
      </w:r>
    </w:p>
    <w:p w14:paraId="4059CC57" w14:textId="77777777" w:rsidR="005F27B0" w:rsidRPr="00866D96" w:rsidRDefault="005F27B0" w:rsidP="0082018A">
      <w:pPr>
        <w:pStyle w:val="DBulletlevel1"/>
        <w:spacing w:line="276" w:lineRule="auto"/>
        <w:rPr>
          <w:noProof w:val="0"/>
        </w:rPr>
      </w:pPr>
      <w:r w:rsidRPr="00866D96">
        <w:rPr>
          <w:noProof w:val="0"/>
        </w:rPr>
        <w:t xml:space="preserve">For biodiesel, the production is not expected to exceed the level of one million litres until </w:t>
      </w:r>
      <w:r w:rsidR="0016794C" w:rsidRPr="00866D96">
        <w:rPr>
          <w:noProof w:val="0"/>
        </w:rPr>
        <w:t>2019</w:t>
      </w:r>
      <w:r w:rsidRPr="00866D96">
        <w:rPr>
          <w:noProof w:val="0"/>
        </w:rPr>
        <w:t xml:space="preserve">. </w:t>
      </w:r>
      <w:r w:rsidR="0016794C" w:rsidRPr="00866D96">
        <w:rPr>
          <w:noProof w:val="0"/>
        </w:rPr>
        <w:t>Considering the high volumes of diesel imported and consumed (265 million litres in 2020), it</w:t>
      </w:r>
      <w:r w:rsidRPr="00866D96">
        <w:rPr>
          <w:noProof w:val="0"/>
        </w:rPr>
        <w:t xml:space="preserve"> is then difficult to set a minimum blending ratio before </w:t>
      </w:r>
      <w:r w:rsidR="00BF287B" w:rsidRPr="00866D96">
        <w:rPr>
          <w:noProof w:val="0"/>
        </w:rPr>
        <w:t>2025</w:t>
      </w:r>
      <w:r w:rsidRPr="00866D96">
        <w:rPr>
          <w:noProof w:val="0"/>
        </w:rPr>
        <w:t xml:space="preserve">. The participants to the consultation agree that the </w:t>
      </w:r>
      <w:r w:rsidR="0016794C" w:rsidRPr="00866D96">
        <w:rPr>
          <w:noProof w:val="0"/>
        </w:rPr>
        <w:t xml:space="preserve">achievable </w:t>
      </w:r>
      <w:r w:rsidRPr="00866D96">
        <w:rPr>
          <w:noProof w:val="0"/>
        </w:rPr>
        <w:t xml:space="preserve">targets are </w:t>
      </w:r>
      <w:r w:rsidR="0016794C" w:rsidRPr="00866D96">
        <w:rPr>
          <w:noProof w:val="0"/>
        </w:rPr>
        <w:t>5</w:t>
      </w:r>
      <w:r w:rsidRPr="00866D96">
        <w:rPr>
          <w:noProof w:val="0"/>
        </w:rPr>
        <w:t>% (</w:t>
      </w:r>
      <w:r w:rsidR="0016794C" w:rsidRPr="00866D96">
        <w:rPr>
          <w:noProof w:val="0"/>
        </w:rPr>
        <w:t>B5</w:t>
      </w:r>
      <w:r w:rsidRPr="00866D96">
        <w:rPr>
          <w:noProof w:val="0"/>
        </w:rPr>
        <w:t xml:space="preserve">) in 2025 and </w:t>
      </w:r>
      <w:r w:rsidR="00BF287B" w:rsidRPr="00866D96">
        <w:rPr>
          <w:noProof w:val="0"/>
        </w:rPr>
        <w:t>15</w:t>
      </w:r>
      <w:r w:rsidRPr="00866D96">
        <w:rPr>
          <w:noProof w:val="0"/>
        </w:rPr>
        <w:t>% (</w:t>
      </w:r>
      <w:r w:rsidR="00BF287B" w:rsidRPr="00866D96">
        <w:rPr>
          <w:noProof w:val="0"/>
        </w:rPr>
        <w:t>B15</w:t>
      </w:r>
      <w:r w:rsidRPr="00866D96">
        <w:rPr>
          <w:noProof w:val="0"/>
        </w:rPr>
        <w:t xml:space="preserve">) in 2030. That would represent a need of </w:t>
      </w:r>
      <w:r w:rsidR="00BF287B" w:rsidRPr="00866D96">
        <w:rPr>
          <w:noProof w:val="0"/>
        </w:rPr>
        <w:t xml:space="preserve">16 </w:t>
      </w:r>
      <w:r w:rsidRPr="00866D96">
        <w:rPr>
          <w:noProof w:val="0"/>
        </w:rPr>
        <w:t xml:space="preserve">million litres of biodiesel produced in 2025 and </w:t>
      </w:r>
      <w:r w:rsidR="00BF287B" w:rsidRPr="00866D96">
        <w:rPr>
          <w:noProof w:val="0"/>
        </w:rPr>
        <w:t>55</w:t>
      </w:r>
      <w:r w:rsidRPr="00866D96">
        <w:rPr>
          <w:noProof w:val="0"/>
        </w:rPr>
        <w:t xml:space="preserve"> million litres in 2030.</w:t>
      </w:r>
    </w:p>
    <w:p w14:paraId="50010F2E" w14:textId="77777777" w:rsidR="005F27B0" w:rsidRPr="006122EE" w:rsidRDefault="005F27B0" w:rsidP="005F27B0">
      <w:pPr>
        <w:pStyle w:val="Caption"/>
      </w:pPr>
      <w:bookmarkStart w:id="257" w:name="_Toc481614981"/>
      <w:r w:rsidRPr="006122EE">
        <w:t xml:space="preserve">Figure </w:t>
      </w:r>
      <w:r w:rsidR="00DC7D8C">
        <w:fldChar w:fldCharType="begin"/>
      </w:r>
      <w:r w:rsidR="00DC7D8C">
        <w:instrText xml:space="preserve"> SEQ Figure \* ARABIC </w:instrText>
      </w:r>
      <w:r w:rsidR="00DC7D8C">
        <w:fldChar w:fldCharType="separate"/>
      </w:r>
      <w:r w:rsidR="00866D96">
        <w:rPr>
          <w:noProof/>
        </w:rPr>
        <w:t>17</w:t>
      </w:r>
      <w:r w:rsidR="00DC7D8C">
        <w:rPr>
          <w:noProof/>
        </w:rPr>
        <w:fldChar w:fldCharType="end"/>
      </w:r>
      <w:r w:rsidRPr="006122EE">
        <w:t>: Petroleum products importations since 1999 and projection through 2030 compared to biofuel production levels since 2012 and targets through 2030 (million litres)</w:t>
      </w:r>
      <w:r w:rsidR="00BB3150" w:rsidRPr="006122EE">
        <w:rPr>
          <w:rStyle w:val="FootnoteReference"/>
        </w:rPr>
        <w:footnoteReference w:id="59"/>
      </w:r>
      <w:bookmarkEnd w:id="257"/>
    </w:p>
    <w:tbl>
      <w:tblPr>
        <w:tblStyle w:val="TableGrid"/>
        <w:tblW w:w="0" w:type="auto"/>
        <w:tblLook w:val="04A0" w:firstRow="1" w:lastRow="0" w:firstColumn="1" w:lastColumn="0" w:noHBand="0" w:noVBand="1"/>
      </w:tblPr>
      <w:tblGrid>
        <w:gridCol w:w="4659"/>
        <w:gridCol w:w="4735"/>
      </w:tblGrid>
      <w:tr w:rsidR="0016794C" w:rsidRPr="006122EE" w14:paraId="45531368" w14:textId="77777777" w:rsidTr="00F94B63">
        <w:tc>
          <w:tcPr>
            <w:tcW w:w="4772" w:type="dxa"/>
          </w:tcPr>
          <w:p w14:paraId="53B02EED" w14:textId="77777777" w:rsidR="0016794C" w:rsidRPr="006122EE" w:rsidRDefault="0016794C" w:rsidP="00F94B63">
            <w:r w:rsidRPr="00866D96">
              <w:rPr>
                <w:noProof/>
                <w:lang w:val="en-US" w:eastAsia="en-US"/>
              </w:rPr>
              <w:drawing>
                <wp:inline distT="0" distB="0" distL="0" distR="0" wp14:anchorId="06A99082" wp14:editId="32198EBD">
                  <wp:extent cx="2659380" cy="2065020"/>
                  <wp:effectExtent l="0" t="0" r="7620" b="1143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72" w:type="dxa"/>
          </w:tcPr>
          <w:p w14:paraId="2905246C" w14:textId="77777777" w:rsidR="0016794C" w:rsidRPr="006122EE" w:rsidRDefault="0016794C" w:rsidP="00F94B63">
            <w:r w:rsidRPr="00866D96">
              <w:rPr>
                <w:noProof/>
                <w:lang w:val="en-US" w:eastAsia="en-US"/>
              </w:rPr>
              <w:drawing>
                <wp:inline distT="0" distB="0" distL="0" distR="0" wp14:anchorId="1985B564" wp14:editId="398C70CE">
                  <wp:extent cx="2804160" cy="2042160"/>
                  <wp:effectExtent l="0" t="0" r="15240" b="1524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F1C6442" w14:textId="77777777" w:rsidR="00920738" w:rsidRPr="006122EE" w:rsidRDefault="00920738" w:rsidP="0082018A">
      <w:pPr>
        <w:spacing w:line="276" w:lineRule="auto"/>
      </w:pPr>
      <w:r w:rsidRPr="006122EE">
        <w:t xml:space="preserve">The biodiesel target through 2030 (55 million litres) </w:t>
      </w:r>
      <w:r w:rsidR="0067500A" w:rsidRPr="006122EE">
        <w:t xml:space="preserve">is </w:t>
      </w:r>
      <w:r w:rsidR="000C3D74" w:rsidRPr="006122EE">
        <w:t xml:space="preserve">close </w:t>
      </w:r>
      <w:r w:rsidR="0067500A" w:rsidRPr="006122EE">
        <w:t>to</w:t>
      </w:r>
      <w:r w:rsidRPr="006122EE">
        <w:t xml:space="preserve"> the production </w:t>
      </w:r>
      <w:r w:rsidR="0067500A" w:rsidRPr="006122EE">
        <w:t>projections provided</w:t>
      </w:r>
      <w:r w:rsidRPr="006122EE">
        <w:t xml:space="preserve"> by BERL (59 million litres). On the </w:t>
      </w:r>
      <w:r w:rsidR="0067500A" w:rsidRPr="006122EE">
        <w:t>contrary</w:t>
      </w:r>
      <w:r w:rsidRPr="006122EE">
        <w:t xml:space="preserve">, the ethanol target (40 million litres) is lower than PressCane and EthCo production expectations (75 million litres). The gap between the average blend (E30) and production </w:t>
      </w:r>
      <w:r w:rsidR="00D21B5D" w:rsidRPr="006122EE">
        <w:t>projections</w:t>
      </w:r>
      <w:r w:rsidRPr="006122EE">
        <w:t xml:space="preserve"> may be </w:t>
      </w:r>
      <w:r w:rsidR="00D21B5D" w:rsidRPr="006122EE">
        <w:t>absorbed</w:t>
      </w:r>
      <w:r w:rsidRPr="006122EE">
        <w:t xml:space="preserve"> if the country initiates a flex-fuel vehicles importation policy</w:t>
      </w:r>
      <w:r w:rsidR="005D5DB7" w:rsidRPr="006122EE">
        <w:t xml:space="preserve"> (see below)</w:t>
      </w:r>
      <w:r w:rsidRPr="006122EE">
        <w:t xml:space="preserve">, </w:t>
      </w:r>
      <w:r w:rsidR="00D21B5D" w:rsidRPr="006122EE">
        <w:t xml:space="preserve">which would allow the increase of </w:t>
      </w:r>
      <w:r w:rsidRPr="006122EE">
        <w:t xml:space="preserve">the average blend </w:t>
      </w:r>
      <w:r w:rsidR="00D21B5D" w:rsidRPr="006122EE">
        <w:t>from</w:t>
      </w:r>
      <w:r w:rsidRPr="006122EE">
        <w:t xml:space="preserve"> E30 </w:t>
      </w:r>
      <w:r w:rsidR="00D21B5D" w:rsidRPr="006122EE">
        <w:t>to</w:t>
      </w:r>
      <w:r w:rsidRPr="006122EE">
        <w:t xml:space="preserve"> E85 vehicles</w:t>
      </w:r>
      <w:r w:rsidR="00D21B5D" w:rsidRPr="006122EE">
        <w:t>. Alternatively</w:t>
      </w:r>
      <w:r w:rsidRPr="006122EE">
        <w:t xml:space="preserve"> the country </w:t>
      </w:r>
      <w:r w:rsidR="00D21B5D" w:rsidRPr="006122EE">
        <w:t>could</w:t>
      </w:r>
      <w:r w:rsidRPr="006122EE">
        <w:t xml:space="preserve"> export </w:t>
      </w:r>
      <w:r w:rsidR="00D21B5D" w:rsidRPr="006122EE">
        <w:t xml:space="preserve">the surplus </w:t>
      </w:r>
      <w:r w:rsidRPr="006122EE">
        <w:t>ethanol</w:t>
      </w:r>
      <w:r w:rsidR="00D21B5D" w:rsidRPr="006122EE">
        <w:t xml:space="preserve"> produced.</w:t>
      </w:r>
    </w:p>
    <w:p w14:paraId="1F3F0BE6" w14:textId="77777777" w:rsidR="004F44A8" w:rsidRPr="00866D96" w:rsidRDefault="004F44A8" w:rsidP="0082018A">
      <w:pPr>
        <w:pStyle w:val="CSubtitle2"/>
        <w:spacing w:line="276" w:lineRule="auto"/>
        <w:rPr>
          <w:noProof w:val="0"/>
          <w:lang w:val="en-GB"/>
        </w:rPr>
      </w:pPr>
      <w:r w:rsidRPr="00866D96">
        <w:rPr>
          <w:noProof w:val="0"/>
          <w:lang w:val="en-GB"/>
        </w:rPr>
        <w:t>Keeping the targets updated</w:t>
      </w:r>
    </w:p>
    <w:p w14:paraId="50B83AD0" w14:textId="77777777" w:rsidR="004F44A8" w:rsidRPr="006122EE" w:rsidRDefault="004F44A8" w:rsidP="0082018A">
      <w:pPr>
        <w:spacing w:line="276" w:lineRule="auto"/>
      </w:pPr>
      <w:r w:rsidRPr="006122EE">
        <w:t xml:space="preserve">These targets are calculated in a static model and based on </w:t>
      </w:r>
      <w:r w:rsidR="00D21B5D" w:rsidRPr="006122EE">
        <w:t>linear</w:t>
      </w:r>
      <w:r w:rsidRPr="006122EE">
        <w:t xml:space="preserve"> growth </w:t>
      </w:r>
      <w:r w:rsidR="00D21B5D" w:rsidRPr="006122EE">
        <w:t>projections</w:t>
      </w:r>
      <w:r w:rsidRPr="006122EE">
        <w:t xml:space="preserve">. </w:t>
      </w:r>
      <w:r w:rsidR="00D21B5D" w:rsidRPr="006122EE">
        <w:t>Nevertheless, there might be some technological, economic or political developments with</w:t>
      </w:r>
      <w:r w:rsidRPr="006122EE">
        <w:t xml:space="preserve"> an impact on </w:t>
      </w:r>
      <w:r w:rsidR="00D21B5D" w:rsidRPr="006122EE">
        <w:t xml:space="preserve">the levels of </w:t>
      </w:r>
      <w:r w:rsidRPr="006122EE">
        <w:t>consumption</w:t>
      </w:r>
      <w:r w:rsidR="00D21B5D" w:rsidRPr="006122EE">
        <w:t>.</w:t>
      </w:r>
      <w:r w:rsidRPr="006122EE">
        <w:t xml:space="preserve"> </w:t>
      </w:r>
      <w:r w:rsidR="00D21B5D" w:rsidRPr="006122EE">
        <w:t xml:space="preserve">For example, </w:t>
      </w:r>
      <w:r w:rsidRPr="006122EE">
        <w:t xml:space="preserve">if the country starts importing flex-fuel vehicles in the coming years, the target </w:t>
      </w:r>
      <w:r w:rsidR="00D21B5D" w:rsidRPr="006122EE">
        <w:t>could be</w:t>
      </w:r>
      <w:r w:rsidRPr="006122EE">
        <w:t xml:space="preserve"> </w:t>
      </w:r>
      <w:r w:rsidR="00D21B5D" w:rsidRPr="006122EE">
        <w:t>increased and met</w:t>
      </w:r>
      <w:r w:rsidR="00BF21C5" w:rsidRPr="006122EE">
        <w:t xml:space="preserve"> </w:t>
      </w:r>
      <w:r w:rsidR="00D21B5D" w:rsidRPr="006122EE">
        <w:t>by the</w:t>
      </w:r>
      <w:r w:rsidR="00BF21C5" w:rsidRPr="006122EE">
        <w:t xml:space="preserve"> ethanol </w:t>
      </w:r>
      <w:r w:rsidR="004B3761" w:rsidRPr="006122EE">
        <w:t>produced in Malawi</w:t>
      </w:r>
      <w:r w:rsidR="00BF21C5" w:rsidRPr="006122EE">
        <w:t xml:space="preserve"> (E30 on</w:t>
      </w:r>
      <w:r w:rsidR="004B3761" w:rsidRPr="006122EE">
        <w:t xml:space="preserve"> all conventional</w:t>
      </w:r>
      <w:r w:rsidR="00BF21C5" w:rsidRPr="006122EE">
        <w:t xml:space="preserve"> vehicles, plus E85 on flex-fuel fleet)</w:t>
      </w:r>
      <w:r w:rsidRPr="006122EE">
        <w:t>.</w:t>
      </w:r>
      <w:r w:rsidR="00C627B0" w:rsidRPr="006122EE">
        <w:t xml:space="preserve"> </w:t>
      </w:r>
      <w:r w:rsidR="004B3761" w:rsidRPr="006122EE">
        <w:t>Alternatively</w:t>
      </w:r>
      <w:r w:rsidR="00F94B63" w:rsidRPr="006122EE">
        <w:t xml:space="preserve"> </w:t>
      </w:r>
      <w:r w:rsidR="00C627B0" w:rsidRPr="006122EE">
        <w:t xml:space="preserve">an ambitious policy supporting the importation and use of electric vehicles (see below) will impact the </w:t>
      </w:r>
      <w:r w:rsidR="004B3761" w:rsidRPr="006122EE">
        <w:t>demand of liquid</w:t>
      </w:r>
      <w:r w:rsidR="00C627B0" w:rsidRPr="006122EE">
        <w:t xml:space="preserve"> fuels </w:t>
      </w:r>
      <w:r w:rsidR="004B3761" w:rsidRPr="006122EE">
        <w:t xml:space="preserve">in transportation, including </w:t>
      </w:r>
      <w:r w:rsidR="00C627B0" w:rsidRPr="006122EE">
        <w:t>biofuels</w:t>
      </w:r>
      <w:r w:rsidR="000476E0" w:rsidRPr="006122EE">
        <w:t xml:space="preserve">, and the target will need to be </w:t>
      </w:r>
      <w:r w:rsidR="004B3761" w:rsidRPr="006122EE">
        <w:t>reduced</w:t>
      </w:r>
      <w:r w:rsidR="00C627B0" w:rsidRPr="006122EE">
        <w:t>.</w:t>
      </w:r>
    </w:p>
    <w:p w14:paraId="46B5299C" w14:textId="77777777" w:rsidR="005F27B0" w:rsidRPr="006122EE" w:rsidRDefault="005F27B0" w:rsidP="0082018A">
      <w:pPr>
        <w:pStyle w:val="Style1"/>
        <w:spacing w:line="276" w:lineRule="auto"/>
      </w:pPr>
      <w:bookmarkStart w:id="258" w:name="_Toc447217029"/>
      <w:r w:rsidRPr="006122EE">
        <w:t>Electric vehicles target</w:t>
      </w:r>
      <w:bookmarkEnd w:id="258"/>
    </w:p>
    <w:p w14:paraId="2F0A1CAA" w14:textId="77777777" w:rsidR="005F27B0" w:rsidRPr="006122EE" w:rsidRDefault="005F27B0" w:rsidP="0082018A">
      <w:pPr>
        <w:spacing w:line="276" w:lineRule="auto"/>
      </w:pPr>
      <w:r w:rsidRPr="006122EE">
        <w:t>The discussions with the stakeholders will have to help deciding whether it is possible to envision the introduction of electric vehicles in Malawi in the coming years. An ambitious target expressed in percentage of EVs in Malawi car fleet or in number of EVs can then be set.</w:t>
      </w:r>
    </w:p>
    <w:p w14:paraId="31FA7B2D" w14:textId="77777777" w:rsidR="005F27B0" w:rsidRPr="006122EE" w:rsidRDefault="005F27B0" w:rsidP="0082018A">
      <w:pPr>
        <w:pStyle w:val="BTitle3"/>
        <w:numPr>
          <w:ilvl w:val="2"/>
          <w:numId w:val="26"/>
        </w:numPr>
        <w:spacing w:line="276" w:lineRule="auto"/>
        <w:ind w:left="1429"/>
        <w:rPr>
          <w:noProof w:val="0"/>
          <w:lang w:val="en-GB"/>
        </w:rPr>
      </w:pPr>
      <w:bookmarkStart w:id="259" w:name="_Toc481614915"/>
      <w:r w:rsidRPr="006122EE">
        <w:rPr>
          <w:noProof w:val="0"/>
          <w:lang w:val="en-GB"/>
        </w:rPr>
        <w:t>What is the gap between BAU trajectory and the new targets? What are the barriers?</w:t>
      </w:r>
      <w:bookmarkEnd w:id="259"/>
    </w:p>
    <w:p w14:paraId="715449E2" w14:textId="77777777" w:rsidR="005F27B0" w:rsidRPr="006122EE" w:rsidRDefault="005F27B0" w:rsidP="0082018A">
      <w:pPr>
        <w:pStyle w:val="Style1"/>
        <w:spacing w:line="276" w:lineRule="auto"/>
      </w:pPr>
      <w:bookmarkStart w:id="260" w:name="_Toc447217031"/>
      <w:r w:rsidRPr="006122EE">
        <w:t>Gaps between business as usual and targets</w:t>
      </w:r>
      <w:bookmarkEnd w:id="260"/>
    </w:p>
    <w:p w14:paraId="49A34974" w14:textId="77777777" w:rsidR="005F27B0" w:rsidRPr="00866D96" w:rsidRDefault="005F27B0" w:rsidP="0082018A">
      <w:pPr>
        <w:pStyle w:val="CSubtitle2"/>
        <w:spacing w:line="276" w:lineRule="auto"/>
        <w:rPr>
          <w:noProof w:val="0"/>
          <w:lang w:val="en-GB"/>
        </w:rPr>
      </w:pPr>
      <w:r w:rsidRPr="00866D96">
        <w:rPr>
          <w:noProof w:val="0"/>
          <w:lang w:val="en-GB"/>
        </w:rPr>
        <w:t>Blending ratio</w:t>
      </w:r>
    </w:p>
    <w:p w14:paraId="1845C5C7" w14:textId="77777777" w:rsidR="005F27B0" w:rsidRPr="006122EE" w:rsidRDefault="005F27B0" w:rsidP="0082018A">
      <w:pPr>
        <w:spacing w:line="276" w:lineRule="auto"/>
        <w:rPr>
          <w:lang w:eastAsia="fr-FR"/>
        </w:rPr>
      </w:pPr>
      <w:r w:rsidRPr="006122EE">
        <w:rPr>
          <w:lang w:eastAsia="fr-FR"/>
        </w:rPr>
        <w:t xml:space="preserve">The current blending ratio is around 10:90 ethanol-petrol, whereas NEP established that </w:t>
      </w:r>
      <w:r w:rsidR="00983ED1" w:rsidRPr="006122EE">
        <w:rPr>
          <w:lang w:eastAsia="fr-FR"/>
        </w:rPr>
        <w:t>the g</w:t>
      </w:r>
      <w:r w:rsidRPr="006122EE">
        <w:rPr>
          <w:lang w:eastAsia="fr-FR"/>
        </w:rPr>
        <w:t>overnment will work with the private sector to encourage the expansion of ethanol production to reach a 20:80 petrol-ethanol blend.</w:t>
      </w:r>
    </w:p>
    <w:p w14:paraId="47C12694" w14:textId="77777777" w:rsidR="005F27B0" w:rsidRPr="00866D96" w:rsidRDefault="005F27B0" w:rsidP="0082018A">
      <w:pPr>
        <w:pStyle w:val="CSubtitle2"/>
        <w:spacing w:line="276" w:lineRule="auto"/>
        <w:rPr>
          <w:noProof w:val="0"/>
          <w:lang w:val="en-GB"/>
        </w:rPr>
      </w:pPr>
      <w:r w:rsidRPr="00866D96">
        <w:rPr>
          <w:noProof w:val="0"/>
          <w:lang w:val="en-GB"/>
        </w:rPr>
        <w:t>Production level and expected scarcity</w:t>
      </w:r>
    </w:p>
    <w:p w14:paraId="57F1D9F3" w14:textId="77777777" w:rsidR="005F27B0" w:rsidRPr="006122EE" w:rsidRDefault="005F27B0" w:rsidP="0082018A">
      <w:pPr>
        <w:spacing w:line="276" w:lineRule="auto"/>
        <w:rPr>
          <w:lang w:eastAsia="en-US"/>
        </w:rPr>
      </w:pPr>
      <w:r w:rsidRPr="006122EE">
        <w:rPr>
          <w:lang w:eastAsia="en-US"/>
        </w:rPr>
        <w:t xml:space="preserve">The total demand for ethanol is expected to be around 40 million </w:t>
      </w:r>
      <w:r w:rsidR="00BF1C4F" w:rsidRPr="006122EE">
        <w:rPr>
          <w:lang w:eastAsia="en-US"/>
        </w:rPr>
        <w:t>litres</w:t>
      </w:r>
      <w:r w:rsidRPr="006122EE">
        <w:rPr>
          <w:lang w:eastAsia="en-US"/>
        </w:rPr>
        <w:t xml:space="preserve"> in </w:t>
      </w:r>
      <w:r w:rsidR="00BF21C5" w:rsidRPr="006122EE">
        <w:rPr>
          <w:lang w:eastAsia="en-US"/>
        </w:rPr>
        <w:t>2030</w:t>
      </w:r>
      <w:r w:rsidR="004B3761" w:rsidRPr="006122EE">
        <w:rPr>
          <w:lang w:eastAsia="en-US"/>
        </w:rPr>
        <w:t xml:space="preserve"> which is considerably higher when compared to the projected</w:t>
      </w:r>
      <w:r w:rsidR="00BF21C5" w:rsidRPr="006122EE">
        <w:rPr>
          <w:lang w:eastAsia="en-US"/>
        </w:rPr>
        <w:t xml:space="preserve"> production level</w:t>
      </w:r>
      <w:r w:rsidR="004B3761" w:rsidRPr="006122EE">
        <w:rPr>
          <w:lang w:eastAsia="en-US"/>
        </w:rPr>
        <w:t>s</w:t>
      </w:r>
      <w:r w:rsidR="003828EB" w:rsidRPr="006122EE">
        <w:rPr>
          <w:lang w:eastAsia="en-US"/>
        </w:rPr>
        <w:t xml:space="preserve"> by the two ethanol companies</w:t>
      </w:r>
      <w:r w:rsidR="00BF21C5" w:rsidRPr="006122EE">
        <w:rPr>
          <w:lang w:eastAsia="en-US"/>
        </w:rPr>
        <w:t xml:space="preserve"> of 70 – 80 million </w:t>
      </w:r>
      <w:r w:rsidR="004B3761" w:rsidRPr="006122EE">
        <w:rPr>
          <w:lang w:eastAsia="en-US"/>
        </w:rPr>
        <w:t>litres</w:t>
      </w:r>
      <w:r w:rsidRPr="006122EE">
        <w:rPr>
          <w:lang w:eastAsia="en-US"/>
        </w:rPr>
        <w:t xml:space="preserve">. </w:t>
      </w:r>
    </w:p>
    <w:p w14:paraId="7443257A" w14:textId="77777777" w:rsidR="005F27B0" w:rsidRPr="006122EE" w:rsidRDefault="005F27B0" w:rsidP="0082018A">
      <w:pPr>
        <w:spacing w:line="276" w:lineRule="auto"/>
        <w:rPr>
          <w:lang w:eastAsia="en-US"/>
        </w:rPr>
      </w:pPr>
      <w:r w:rsidRPr="006122EE">
        <w:rPr>
          <w:lang w:eastAsia="en-US"/>
        </w:rPr>
        <w:t xml:space="preserve">For biodiesel, there will be a need of around </w:t>
      </w:r>
      <w:r w:rsidR="00BF21C5" w:rsidRPr="006122EE">
        <w:rPr>
          <w:lang w:eastAsia="en-US"/>
        </w:rPr>
        <w:t>55</w:t>
      </w:r>
      <w:r w:rsidRPr="006122EE">
        <w:rPr>
          <w:lang w:eastAsia="en-US"/>
        </w:rPr>
        <w:t xml:space="preserve"> million litres in 2030, which would be covered by the national production, under the condition that the exponential growth shown in </w:t>
      </w:r>
      <w:r w:rsidRPr="006122EE">
        <w:rPr>
          <w:lang w:eastAsia="en-US"/>
        </w:rPr>
        <w:fldChar w:fldCharType="begin"/>
      </w:r>
      <w:r w:rsidRPr="006122EE">
        <w:rPr>
          <w:lang w:eastAsia="en-US"/>
        </w:rPr>
        <w:instrText xml:space="preserve"> REF _Ref448137853 \h </w:instrText>
      </w:r>
      <w:r w:rsidR="0082018A">
        <w:rPr>
          <w:lang w:eastAsia="en-US"/>
        </w:rPr>
        <w:instrText xml:space="preserve"> \* MERGEFORMAT </w:instrText>
      </w:r>
      <w:r w:rsidRPr="006122EE">
        <w:rPr>
          <w:lang w:eastAsia="en-US"/>
        </w:rPr>
      </w:r>
      <w:r w:rsidRPr="006122EE">
        <w:rPr>
          <w:lang w:eastAsia="en-US"/>
        </w:rPr>
        <w:fldChar w:fldCharType="separate"/>
      </w:r>
      <w:r w:rsidR="00866D96" w:rsidRPr="006122EE">
        <w:t xml:space="preserve">Figure </w:t>
      </w:r>
      <w:r w:rsidR="00866D96">
        <w:rPr>
          <w:noProof/>
        </w:rPr>
        <w:t>16</w:t>
      </w:r>
      <w:r w:rsidRPr="006122EE">
        <w:rPr>
          <w:lang w:eastAsia="en-US"/>
        </w:rPr>
        <w:fldChar w:fldCharType="end"/>
      </w:r>
      <w:r w:rsidRPr="006122EE">
        <w:rPr>
          <w:lang w:eastAsia="en-US"/>
        </w:rPr>
        <w:t xml:space="preserve"> is realised.</w:t>
      </w:r>
    </w:p>
    <w:p w14:paraId="4F01B03B" w14:textId="77777777" w:rsidR="005F27B0" w:rsidRPr="006122EE" w:rsidRDefault="005F27B0" w:rsidP="0082018A">
      <w:pPr>
        <w:pStyle w:val="Style1"/>
        <w:spacing w:line="276" w:lineRule="auto"/>
      </w:pPr>
      <w:bookmarkStart w:id="261" w:name="_Toc447217032"/>
      <w:r w:rsidRPr="006122EE">
        <w:t>Main barriers that can be anticipated</w:t>
      </w:r>
      <w:bookmarkEnd w:id="261"/>
    </w:p>
    <w:p w14:paraId="0ED2AB77" w14:textId="77777777" w:rsidR="005F27B0" w:rsidRPr="006122EE" w:rsidRDefault="005F27B0" w:rsidP="0082018A">
      <w:pPr>
        <w:spacing w:line="276" w:lineRule="auto"/>
      </w:pPr>
      <w:r w:rsidRPr="006122EE">
        <w:t>The main challenge affecting ethanol production is volume as there is not enough molasses from the sugar mills:</w:t>
      </w:r>
    </w:p>
    <w:p w14:paraId="4308BA83" w14:textId="77777777" w:rsidR="005F27B0" w:rsidRPr="00866D96" w:rsidRDefault="005F27B0" w:rsidP="0082018A">
      <w:pPr>
        <w:pStyle w:val="DBulletlevel1"/>
        <w:spacing w:line="276" w:lineRule="auto"/>
        <w:rPr>
          <w:noProof w:val="0"/>
        </w:rPr>
      </w:pPr>
      <w:r w:rsidRPr="00866D96">
        <w:rPr>
          <w:noProof w:val="0"/>
        </w:rPr>
        <w:t>The production of sugarcane for ethanol is inconsistent</w:t>
      </w:r>
      <w:r w:rsidR="00BB3150" w:rsidRPr="00866D96">
        <w:rPr>
          <w:noProof w:val="0"/>
        </w:rPr>
        <w:t>.</w:t>
      </w:r>
    </w:p>
    <w:p w14:paraId="40E81BF7" w14:textId="77777777" w:rsidR="005F27B0" w:rsidRPr="00866D96" w:rsidRDefault="005F27B0" w:rsidP="0082018A">
      <w:pPr>
        <w:pStyle w:val="DBulletlevel1"/>
        <w:spacing w:line="276" w:lineRule="auto"/>
        <w:rPr>
          <w:noProof w:val="0"/>
        </w:rPr>
      </w:pPr>
      <w:r w:rsidRPr="00866D96">
        <w:rPr>
          <w:noProof w:val="0"/>
        </w:rPr>
        <w:t>Despite the rule 25 of the 2004 Liquid Fuels and Gas (Production and Supply) Regulations that defines biofuel prices, the price of ethanol is pegged on that of petrol which often acts as a disadvantage for ethanol companies whether global petroleum prices increase or reduce</w:t>
      </w:r>
      <w:r w:rsidR="00BB3150" w:rsidRPr="00866D96">
        <w:rPr>
          <w:noProof w:val="0"/>
        </w:rPr>
        <w:t>.</w:t>
      </w:r>
    </w:p>
    <w:p w14:paraId="2385AD8C" w14:textId="77777777" w:rsidR="005F27B0" w:rsidRPr="00866D96" w:rsidRDefault="005F27B0" w:rsidP="0082018A">
      <w:pPr>
        <w:pStyle w:val="DBulletlevel1"/>
        <w:spacing w:line="276" w:lineRule="auto"/>
        <w:rPr>
          <w:noProof w:val="0"/>
        </w:rPr>
      </w:pPr>
      <w:r w:rsidRPr="00866D96">
        <w:rPr>
          <w:noProof w:val="0"/>
        </w:rPr>
        <w:t>The land availability for sugarcane plantations is limited</w:t>
      </w:r>
      <w:r w:rsidR="00BB3150" w:rsidRPr="00866D96">
        <w:rPr>
          <w:noProof w:val="0"/>
        </w:rPr>
        <w:t>.</w:t>
      </w:r>
    </w:p>
    <w:p w14:paraId="5A5F8D07" w14:textId="77777777" w:rsidR="005F27B0" w:rsidRPr="006122EE" w:rsidRDefault="005F27B0" w:rsidP="0082018A">
      <w:pPr>
        <w:spacing w:line="276" w:lineRule="auto"/>
      </w:pPr>
      <w:r w:rsidRPr="006122EE">
        <w:t>The main challenges that impose barriers on an increased use of biodiesel include the following:</w:t>
      </w:r>
    </w:p>
    <w:p w14:paraId="1EB23616" w14:textId="77777777" w:rsidR="005F27B0" w:rsidRPr="00866D96" w:rsidRDefault="005F27B0" w:rsidP="0082018A">
      <w:pPr>
        <w:pStyle w:val="DBulletlevel1"/>
        <w:spacing w:line="276" w:lineRule="auto"/>
        <w:rPr>
          <w:noProof w:val="0"/>
        </w:rPr>
      </w:pPr>
      <w:r w:rsidRPr="00866D96">
        <w:rPr>
          <w:noProof w:val="0"/>
        </w:rPr>
        <w:t>There is a low production of oil seeds for biodiesel</w:t>
      </w:r>
      <w:r w:rsidR="00BB3150" w:rsidRPr="00866D96">
        <w:rPr>
          <w:noProof w:val="0"/>
        </w:rPr>
        <w:t>.</w:t>
      </w:r>
    </w:p>
    <w:p w14:paraId="35D1BD17" w14:textId="77777777" w:rsidR="005F27B0" w:rsidRPr="00866D96" w:rsidRDefault="005F27B0" w:rsidP="0082018A">
      <w:pPr>
        <w:pStyle w:val="DBulletlevel1"/>
        <w:spacing w:line="276" w:lineRule="auto"/>
        <w:rPr>
          <w:noProof w:val="0"/>
        </w:rPr>
      </w:pPr>
      <w:r w:rsidRPr="00866D96">
        <w:rPr>
          <w:noProof w:val="0"/>
        </w:rPr>
        <w:t>The incentives for farmers are limited as the plantation of jatropha is only allowed along the boundaries of the farms</w:t>
      </w:r>
      <w:r w:rsidR="00BB3150" w:rsidRPr="00866D96">
        <w:rPr>
          <w:noProof w:val="0"/>
        </w:rPr>
        <w:t>.</w:t>
      </w:r>
    </w:p>
    <w:p w14:paraId="4A4FDFB1" w14:textId="77777777" w:rsidR="005F27B0" w:rsidRPr="00866D96" w:rsidRDefault="005F27B0" w:rsidP="0082018A">
      <w:pPr>
        <w:pStyle w:val="DBulletlevel1"/>
        <w:spacing w:line="276" w:lineRule="auto"/>
        <w:rPr>
          <w:noProof w:val="0"/>
        </w:rPr>
      </w:pPr>
      <w:r w:rsidRPr="00866D96">
        <w:rPr>
          <w:noProof w:val="0"/>
        </w:rPr>
        <w:t>The output per farmer is low, making logistical costs high</w:t>
      </w:r>
      <w:r w:rsidR="00BB3150" w:rsidRPr="00866D96">
        <w:rPr>
          <w:noProof w:val="0"/>
        </w:rPr>
        <w:t>.</w:t>
      </w:r>
    </w:p>
    <w:p w14:paraId="754555F3" w14:textId="77777777" w:rsidR="005F27B0" w:rsidRPr="00866D96" w:rsidRDefault="005F27B0" w:rsidP="0082018A">
      <w:pPr>
        <w:pStyle w:val="DBulletlevel1"/>
        <w:spacing w:line="276" w:lineRule="auto"/>
        <w:rPr>
          <w:noProof w:val="0"/>
        </w:rPr>
      </w:pPr>
      <w:r w:rsidRPr="00866D96">
        <w:rPr>
          <w:noProof w:val="0"/>
        </w:rPr>
        <w:t>Unlike ethanol, there is an unclear policy direction in relation to the blending of biofuels with diesel</w:t>
      </w:r>
      <w:r w:rsidR="00BB3150" w:rsidRPr="00866D96">
        <w:rPr>
          <w:noProof w:val="0"/>
        </w:rPr>
        <w:t>.</w:t>
      </w:r>
      <w:r w:rsidRPr="00866D96">
        <w:rPr>
          <w:noProof w:val="0"/>
        </w:rPr>
        <w:t xml:space="preserve"> </w:t>
      </w:r>
    </w:p>
    <w:p w14:paraId="7FFF4482" w14:textId="77777777" w:rsidR="005F27B0" w:rsidRPr="006122EE" w:rsidRDefault="005F27B0" w:rsidP="0082018A">
      <w:pPr>
        <w:spacing w:line="276" w:lineRule="auto"/>
        <w:rPr>
          <w:lang w:eastAsia="fr-FR"/>
        </w:rPr>
      </w:pPr>
      <w:r w:rsidRPr="006122EE">
        <w:t>In general, there is a lack of policies in biofuels, and especially in the setting of mandatory blend ratios that would promote higher production levels, close to the national production capacity (of ethanol and biodiesel).</w:t>
      </w:r>
      <w:bookmarkStart w:id="262" w:name="_Toc441863734"/>
      <w:bookmarkStart w:id="263" w:name="_Toc442190531"/>
      <w:bookmarkStart w:id="264" w:name="_Toc442190715"/>
      <w:bookmarkStart w:id="265" w:name="_Toc442190830"/>
      <w:bookmarkStart w:id="266" w:name="_Toc442191280"/>
      <w:bookmarkStart w:id="267" w:name="_Toc442190541"/>
      <w:bookmarkStart w:id="268" w:name="_Toc442190725"/>
      <w:bookmarkStart w:id="269" w:name="_Toc442190840"/>
      <w:bookmarkStart w:id="270" w:name="_Toc442191290"/>
      <w:bookmarkStart w:id="271" w:name="_Toc442190542"/>
      <w:bookmarkStart w:id="272" w:name="_Toc442190726"/>
      <w:bookmarkStart w:id="273" w:name="_Toc442190841"/>
      <w:bookmarkStart w:id="274" w:name="_Toc442191291"/>
      <w:bookmarkEnd w:id="262"/>
      <w:bookmarkEnd w:id="263"/>
      <w:bookmarkEnd w:id="264"/>
      <w:bookmarkEnd w:id="265"/>
      <w:bookmarkEnd w:id="266"/>
      <w:bookmarkEnd w:id="267"/>
      <w:bookmarkEnd w:id="268"/>
      <w:bookmarkEnd w:id="269"/>
      <w:bookmarkEnd w:id="270"/>
      <w:bookmarkEnd w:id="271"/>
      <w:bookmarkEnd w:id="272"/>
      <w:bookmarkEnd w:id="273"/>
      <w:bookmarkEnd w:id="274"/>
    </w:p>
    <w:p w14:paraId="7EF42B87" w14:textId="77777777" w:rsidR="005F27B0" w:rsidRPr="00866D96" w:rsidRDefault="005F27B0" w:rsidP="0082018A">
      <w:pPr>
        <w:pStyle w:val="BTitle20"/>
        <w:rPr>
          <w:noProof w:val="0"/>
        </w:rPr>
      </w:pPr>
      <w:bookmarkStart w:id="275" w:name="_Toc441863745"/>
      <w:bookmarkStart w:id="276" w:name="_Toc441863746"/>
      <w:bookmarkStart w:id="277" w:name="_Toc441863748"/>
      <w:bookmarkStart w:id="278" w:name="_Toc441863749"/>
      <w:bookmarkStart w:id="279" w:name="_Toc481614916"/>
      <w:bookmarkEnd w:id="275"/>
      <w:bookmarkEnd w:id="276"/>
      <w:bookmarkEnd w:id="277"/>
      <w:bookmarkEnd w:id="278"/>
      <w:r w:rsidRPr="00866D96">
        <w:rPr>
          <w:noProof w:val="0"/>
        </w:rPr>
        <w:t>Transportation – Urban transportation</w:t>
      </w:r>
      <w:bookmarkEnd w:id="279"/>
    </w:p>
    <w:p w14:paraId="7836E76E" w14:textId="77777777" w:rsidR="00D2554F" w:rsidRPr="006122EE" w:rsidRDefault="005F27B0" w:rsidP="0082018A">
      <w:pPr>
        <w:spacing w:line="276" w:lineRule="auto"/>
        <w:rPr>
          <w:lang w:eastAsia="fr-FR"/>
        </w:rPr>
      </w:pPr>
      <w:r w:rsidRPr="006122EE">
        <w:rPr>
          <w:lang w:eastAsia="en-US"/>
        </w:rPr>
        <w:t xml:space="preserve">The urban transportation infrastructure in Malawi faces significant issues. Mass transportation is dominated by the use of mini-buses (especially mini-vans), and the availability of rail transportation for passengers is limited. In addition, the capacity of roads in urban areas is not adequate to accommodate the increasing numbers of private vehicles and the increasing urbanisation. </w:t>
      </w:r>
      <w:r w:rsidR="00D2554F" w:rsidRPr="006122EE">
        <w:rPr>
          <w:lang w:eastAsia="fr-FR"/>
        </w:rPr>
        <w:t xml:space="preserve">Given that currently the most significant pressures on transportation are directed towards urban areas, the Action Agenda is focused on urban transportation which has the highest potential for increased energy efficiency. Nevertheless, a more efficient urban transportation will drive improvements in rural transportation as well. </w:t>
      </w:r>
    </w:p>
    <w:p w14:paraId="6D595DDF" w14:textId="77777777" w:rsidR="005F27B0" w:rsidRPr="006122EE" w:rsidRDefault="005F27B0" w:rsidP="0082018A">
      <w:pPr>
        <w:spacing w:line="276" w:lineRule="auto"/>
        <w:rPr>
          <w:lang w:eastAsia="fr-FR"/>
        </w:rPr>
      </w:pPr>
      <w:r w:rsidRPr="006122EE">
        <w:rPr>
          <w:lang w:eastAsia="en-US"/>
        </w:rPr>
        <w:t>Simultaneously the transportation sector is playing an increasing role in the country’s economy</w:t>
      </w:r>
      <w:r w:rsidR="00BB3150" w:rsidRPr="006122EE">
        <w:rPr>
          <w:lang w:eastAsia="en-US"/>
        </w:rPr>
        <w:t xml:space="preserve">. </w:t>
      </w:r>
      <w:r w:rsidRPr="006122EE">
        <w:rPr>
          <w:lang w:eastAsia="fr-FR"/>
        </w:rPr>
        <w:t>In the 2014 annual economic report</w:t>
      </w:r>
      <w:r w:rsidRPr="006122EE">
        <w:rPr>
          <w:vertAlign w:val="superscript"/>
          <w:lang w:eastAsia="fr-FR"/>
        </w:rPr>
        <w:footnoteReference w:id="60"/>
      </w:r>
      <w:r w:rsidRPr="006122EE">
        <w:rPr>
          <w:lang w:eastAsia="fr-FR"/>
        </w:rPr>
        <w:t xml:space="preserve">, the share of the transportation sector (including storage) to the country’s GDP was estimated to have grown by 5.6% from the previous year compared to 4.9% estimated in 2012 and a mere 1.7% in 2011. In terms of energy consumption, according to the latest data (2009), the transportation sector is responsible for approximately 3.8% of total energy consumption, but it has the potential to become one of the largest energy-consuming sectors in the country.  </w:t>
      </w:r>
    </w:p>
    <w:p w14:paraId="1873180B" w14:textId="77777777" w:rsidR="005F27B0" w:rsidRPr="006122EE" w:rsidRDefault="005F27B0" w:rsidP="0082018A">
      <w:pPr>
        <w:spacing w:line="276" w:lineRule="auto"/>
        <w:rPr>
          <w:lang w:eastAsia="fr-FR"/>
        </w:rPr>
      </w:pPr>
      <w:r w:rsidRPr="006122EE">
        <w:rPr>
          <w:lang w:eastAsia="fr-FR"/>
        </w:rPr>
        <w:t>Globally transportation is the second largest contributor to global GHG emissions</w:t>
      </w:r>
      <w:r w:rsidRPr="006122EE">
        <w:rPr>
          <w:rStyle w:val="FootnoteReference"/>
          <w:lang w:eastAsia="fr-FR"/>
        </w:rPr>
        <w:footnoteReference w:id="61"/>
      </w:r>
      <w:r w:rsidRPr="006122EE">
        <w:rPr>
          <w:lang w:eastAsia="fr-FR"/>
        </w:rPr>
        <w:t xml:space="preserve">. In parallel, urban transportation is one of the fastest growing sources of GHG emissions. Passenger transportation is particularly significant as urban areas are locations where complicated traffic patterns are taken place with strong interlinkages to commuting, commercial transactions and cultural activities. Therefore, it is of outmost importance to develop a holistic transportation policy for passengers seeking mitigation goals, while at the same time ensuring economic growth and social inclusion. </w:t>
      </w:r>
    </w:p>
    <w:p w14:paraId="126E245B" w14:textId="77777777" w:rsidR="005F27B0" w:rsidRPr="006122EE" w:rsidRDefault="005F27B0" w:rsidP="0082018A">
      <w:pPr>
        <w:spacing w:line="276" w:lineRule="auto"/>
      </w:pPr>
      <w:r w:rsidRPr="006122EE">
        <w:rPr>
          <w:lang w:eastAsia="fr-FR"/>
        </w:rPr>
        <w:t>In Malawi, the policy response to the challenges faced</w:t>
      </w:r>
      <w:r w:rsidRPr="006122EE">
        <w:rPr>
          <w:lang w:eastAsia="en-US"/>
        </w:rPr>
        <w:t xml:space="preserve"> in the transportation sector is addressed in several policy documents, including a National Transportation Policy. Much attention is directed towards establishing a safe and effective transportation system, but energy efficiency is not addressed in a direct and holistic manner. </w:t>
      </w:r>
    </w:p>
    <w:p w14:paraId="2675800A" w14:textId="77777777" w:rsidR="005F27B0" w:rsidRPr="006122EE" w:rsidRDefault="005F27B0" w:rsidP="0082018A">
      <w:pPr>
        <w:pStyle w:val="BTitle3"/>
        <w:spacing w:line="276" w:lineRule="auto"/>
        <w:rPr>
          <w:noProof w:val="0"/>
          <w:lang w:val="en-GB"/>
        </w:rPr>
      </w:pPr>
      <w:bookmarkStart w:id="280" w:name="_Toc481614917"/>
      <w:r w:rsidRPr="006122EE">
        <w:rPr>
          <w:noProof w:val="0"/>
          <w:lang w:val="en-GB"/>
        </w:rPr>
        <w:t>What is the current status and BAU trajectory to 2030?</w:t>
      </w:r>
      <w:bookmarkEnd w:id="280"/>
    </w:p>
    <w:p w14:paraId="04BDD654" w14:textId="77777777" w:rsidR="005F27B0" w:rsidRPr="006122EE" w:rsidRDefault="005F27B0" w:rsidP="0082018A">
      <w:pPr>
        <w:pStyle w:val="Style1"/>
        <w:spacing w:line="276" w:lineRule="auto"/>
      </w:pPr>
      <w:r w:rsidRPr="006122EE">
        <w:t>Current status and trajectory</w:t>
      </w:r>
    </w:p>
    <w:p w14:paraId="01D40E11" w14:textId="77777777" w:rsidR="005F27B0" w:rsidRPr="00866D96" w:rsidRDefault="005F27B0" w:rsidP="0082018A">
      <w:pPr>
        <w:pStyle w:val="CSubtitle2"/>
        <w:spacing w:line="276" w:lineRule="auto"/>
        <w:rPr>
          <w:b w:val="0"/>
          <w:noProof w:val="0"/>
          <w:lang w:val="en-GB"/>
        </w:rPr>
      </w:pPr>
      <w:r w:rsidRPr="00866D96">
        <w:rPr>
          <w:noProof w:val="0"/>
          <w:lang w:val="en-GB"/>
        </w:rPr>
        <w:t>Current population of vehicles</w:t>
      </w:r>
    </w:p>
    <w:p w14:paraId="3F2C4278" w14:textId="77777777" w:rsidR="005F27B0" w:rsidRPr="006122EE" w:rsidRDefault="005F27B0" w:rsidP="0082018A">
      <w:pPr>
        <w:spacing w:line="276" w:lineRule="auto"/>
        <w:rPr>
          <w:lang w:eastAsia="en-US"/>
        </w:rPr>
      </w:pPr>
      <w:r w:rsidRPr="006122EE">
        <w:tab/>
      </w:r>
      <w:r w:rsidRPr="006122EE">
        <w:rPr>
          <w:lang w:eastAsia="en-US"/>
        </w:rPr>
        <w:t>The National Transport Policy (NTP) identifies road transport as the major mode of transport due to</w:t>
      </w:r>
      <w:r w:rsidR="009E38D3" w:rsidRPr="006122EE">
        <w:rPr>
          <w:lang w:eastAsia="en-US"/>
        </w:rPr>
        <w:t xml:space="preserve"> the fact that Malawi is a land-</w:t>
      </w:r>
      <w:r w:rsidRPr="006122EE">
        <w:rPr>
          <w:lang w:eastAsia="en-US"/>
        </w:rPr>
        <w:t xml:space="preserve">locked country. </w:t>
      </w:r>
      <w:r w:rsidRPr="006122EE">
        <w:t>In 2014, there were 437,416 registered vehicles</w:t>
      </w:r>
      <w:r w:rsidRPr="006122EE">
        <w:rPr>
          <w:rStyle w:val="FootnoteReference"/>
        </w:rPr>
        <w:footnoteReference w:id="62"/>
      </w:r>
      <w:r w:rsidR="00BB3150" w:rsidRPr="006122EE">
        <w:t xml:space="preserve">. </w:t>
      </w:r>
      <w:r w:rsidRPr="006122EE">
        <w:rPr>
          <w:lang w:eastAsia="en-US"/>
        </w:rPr>
        <w:t>The road sector handles more than 70% of the internal freight traffic and 99% of the passenger traffic.</w:t>
      </w:r>
    </w:p>
    <w:p w14:paraId="1FFEDA74" w14:textId="77777777" w:rsidR="005F27B0" w:rsidRPr="006122EE" w:rsidRDefault="005F27B0" w:rsidP="0082018A">
      <w:pPr>
        <w:spacing w:line="276" w:lineRule="auto"/>
      </w:pPr>
      <w:r w:rsidRPr="006122EE">
        <w:t>Vehicles are widely categorised as follows:</w:t>
      </w:r>
    </w:p>
    <w:p w14:paraId="0F0F4AFE" w14:textId="77777777" w:rsidR="005F27B0" w:rsidRPr="00866D96" w:rsidRDefault="005F27B0" w:rsidP="0082018A">
      <w:pPr>
        <w:pStyle w:val="DBulletlevel1"/>
        <w:spacing w:line="276" w:lineRule="auto"/>
        <w:rPr>
          <w:noProof w:val="0"/>
        </w:rPr>
      </w:pPr>
      <w:r w:rsidRPr="00866D96">
        <w:rPr>
          <w:noProof w:val="0"/>
        </w:rPr>
        <w:t>Motorcycles: two or three-wheeler vehicles</w:t>
      </w:r>
      <w:r w:rsidR="00BB3150" w:rsidRPr="00866D96">
        <w:rPr>
          <w:noProof w:val="0"/>
        </w:rPr>
        <w:t>.</w:t>
      </w:r>
    </w:p>
    <w:p w14:paraId="58BCA440" w14:textId="77777777" w:rsidR="005F27B0" w:rsidRPr="00866D96" w:rsidRDefault="0077737B" w:rsidP="0082018A">
      <w:pPr>
        <w:pStyle w:val="DBulletlevel1"/>
        <w:spacing w:line="276" w:lineRule="auto"/>
        <w:rPr>
          <w:noProof w:val="0"/>
        </w:rPr>
      </w:pPr>
      <w:r w:rsidRPr="00866D96">
        <w:rPr>
          <w:noProof w:val="0"/>
        </w:rPr>
        <w:t>Small vehicles: vehicles</w:t>
      </w:r>
      <w:r w:rsidR="005F27B0" w:rsidRPr="00866D96">
        <w:rPr>
          <w:noProof w:val="0"/>
        </w:rPr>
        <w:t xml:space="preserve"> other than motorcycles intended for the carriage of passengers and designed to seat at the maximum 5 passengers. This category also includes </w:t>
      </w:r>
      <w:r w:rsidRPr="00866D96">
        <w:rPr>
          <w:noProof w:val="0"/>
        </w:rPr>
        <w:t xml:space="preserve">light </w:t>
      </w:r>
      <w:r w:rsidR="005F27B0" w:rsidRPr="00866D96">
        <w:rPr>
          <w:noProof w:val="0"/>
        </w:rPr>
        <w:t>pick-up trucks</w:t>
      </w:r>
      <w:r w:rsidR="00BB3150" w:rsidRPr="00866D96">
        <w:rPr>
          <w:noProof w:val="0"/>
        </w:rPr>
        <w:t>.</w:t>
      </w:r>
    </w:p>
    <w:p w14:paraId="57F60B02" w14:textId="77777777" w:rsidR="005F27B0" w:rsidRPr="00866D96" w:rsidRDefault="005F27B0" w:rsidP="0082018A">
      <w:pPr>
        <w:pStyle w:val="DBulletlevel1"/>
        <w:spacing w:line="276" w:lineRule="auto"/>
        <w:rPr>
          <w:noProof w:val="0"/>
        </w:rPr>
      </w:pPr>
      <w:r w:rsidRPr="00866D96">
        <w:rPr>
          <w:noProof w:val="0"/>
        </w:rPr>
        <w:t>Mini-buses: carrying vehicle, designed to carry 9-25 passengers. This category also includes multi-purpose vehicles or minivans (also known as kombis)</w:t>
      </w:r>
      <w:r w:rsidR="00BB3150" w:rsidRPr="00866D96">
        <w:rPr>
          <w:noProof w:val="0"/>
        </w:rPr>
        <w:t>.</w:t>
      </w:r>
    </w:p>
    <w:p w14:paraId="15112AD0" w14:textId="77777777" w:rsidR="005F27B0" w:rsidRPr="00866D96" w:rsidRDefault="005F27B0" w:rsidP="0082018A">
      <w:pPr>
        <w:pStyle w:val="DBulletlevel1"/>
        <w:spacing w:line="276" w:lineRule="auto"/>
        <w:rPr>
          <w:noProof w:val="0"/>
        </w:rPr>
      </w:pPr>
      <w:r w:rsidRPr="00866D96">
        <w:rPr>
          <w:noProof w:val="0"/>
        </w:rPr>
        <w:t>Buses: Large vehicles, designed to carry over 25 passengers, typically on a fixed route</w:t>
      </w:r>
      <w:r w:rsidR="00BB3150" w:rsidRPr="00866D96">
        <w:rPr>
          <w:noProof w:val="0"/>
        </w:rPr>
        <w:t>.</w:t>
      </w:r>
    </w:p>
    <w:p w14:paraId="4EA4344B" w14:textId="77777777" w:rsidR="005F27B0" w:rsidRPr="00866D96" w:rsidRDefault="005F27B0" w:rsidP="0082018A">
      <w:pPr>
        <w:pStyle w:val="DBulletlevel1"/>
        <w:spacing w:line="276" w:lineRule="auto"/>
        <w:rPr>
          <w:noProof w:val="0"/>
        </w:rPr>
      </w:pPr>
      <w:r w:rsidRPr="00866D96">
        <w:rPr>
          <w:noProof w:val="0"/>
        </w:rPr>
        <w:t>Others: Cargo trucks, trailers, tractors and farm implements and others</w:t>
      </w:r>
      <w:r w:rsidR="00BB3150" w:rsidRPr="00866D96">
        <w:rPr>
          <w:noProof w:val="0"/>
        </w:rPr>
        <w:t>.</w:t>
      </w:r>
    </w:p>
    <w:p w14:paraId="0C770D12" w14:textId="77777777" w:rsidR="005F27B0" w:rsidRDefault="005F27B0" w:rsidP="0082018A">
      <w:pPr>
        <w:pStyle w:val="DBulletlevel1"/>
        <w:numPr>
          <w:ilvl w:val="0"/>
          <w:numId w:val="0"/>
        </w:numPr>
        <w:spacing w:line="276" w:lineRule="auto"/>
        <w:rPr>
          <w:noProof w:val="0"/>
        </w:rPr>
      </w:pPr>
      <w:r w:rsidRPr="00866D96">
        <w:rPr>
          <w:noProof w:val="0"/>
        </w:rPr>
        <w:t>Detailed data on the population of vehicles in urban areas does not exist. The estimates on the fleet of road vehicles, presented in the table below, are based on the situation in</w:t>
      </w:r>
      <w:r w:rsidR="00C250D2" w:rsidRPr="00866D96">
        <w:rPr>
          <w:noProof w:val="0"/>
        </w:rPr>
        <w:t xml:space="preserve"> </w:t>
      </w:r>
      <w:r w:rsidR="00AF48CC" w:rsidRPr="006122EE">
        <w:rPr>
          <w:noProof w:val="0"/>
        </w:rPr>
        <w:t>neighbouring</w:t>
      </w:r>
      <w:r w:rsidRPr="00866D96">
        <w:rPr>
          <w:noProof w:val="0"/>
        </w:rPr>
        <w:t xml:space="preserve"> Zimbabwe, where it is estimated that 61% of the total fleet is located in urban area</w:t>
      </w:r>
      <w:r w:rsidR="0082018A">
        <w:rPr>
          <w:noProof w:val="0"/>
        </w:rPr>
        <w:t xml:space="preserve">s. The total numbers of </w:t>
      </w:r>
      <w:r w:rsidRPr="00866D96">
        <w:rPr>
          <w:noProof w:val="0"/>
        </w:rPr>
        <w:t>vehicles</w:t>
      </w:r>
      <w:r w:rsidR="0082018A">
        <w:rPr>
          <w:noProof w:val="0"/>
        </w:rPr>
        <w:t xml:space="preserve"> of each type</w:t>
      </w:r>
      <w:r w:rsidRPr="00866D96">
        <w:rPr>
          <w:noProof w:val="0"/>
        </w:rPr>
        <w:t xml:space="preserve"> are</w:t>
      </w:r>
      <w:r w:rsidR="0082018A">
        <w:rPr>
          <w:noProof w:val="0"/>
        </w:rPr>
        <w:t xml:space="preserve"> based on national statistics of</w:t>
      </w:r>
      <w:r w:rsidRPr="00866D96">
        <w:rPr>
          <w:noProof w:val="0"/>
        </w:rPr>
        <w:t xml:space="preserve"> new</w:t>
      </w:r>
      <w:r w:rsidR="0082018A">
        <w:rPr>
          <w:noProof w:val="0"/>
        </w:rPr>
        <w:t>ly</w:t>
      </w:r>
      <w:r w:rsidRPr="00866D96">
        <w:rPr>
          <w:noProof w:val="0"/>
        </w:rPr>
        <w:t xml:space="preserve"> registered vehicles in Malawi and the number per category on data in Zimbabwe.</w:t>
      </w:r>
      <w:r w:rsidR="0082018A" w:rsidRPr="006122EE">
        <w:rPr>
          <w:rStyle w:val="FootnoteReference"/>
          <w:noProof w:val="0"/>
        </w:rPr>
        <w:footnoteReference w:id="63"/>
      </w:r>
    </w:p>
    <w:p w14:paraId="4E3D2DA0" w14:textId="77777777" w:rsidR="0082018A" w:rsidRDefault="0082018A">
      <w:pPr>
        <w:spacing w:before="0" w:after="0" w:line="240" w:lineRule="auto"/>
        <w:jc w:val="left"/>
        <w:rPr>
          <w:rFonts w:eastAsia="Times New Roman" w:cs="Arial"/>
          <w:lang w:eastAsia="fr-FR"/>
        </w:rPr>
      </w:pPr>
      <w:r>
        <w:br w:type="page"/>
      </w:r>
    </w:p>
    <w:p w14:paraId="1C0C34E9" w14:textId="77777777" w:rsidR="0082018A" w:rsidRPr="0082018A" w:rsidRDefault="0082018A" w:rsidP="0082018A">
      <w:pPr>
        <w:pStyle w:val="DPuces2"/>
      </w:pPr>
    </w:p>
    <w:p w14:paraId="1B5683B2" w14:textId="77777777" w:rsidR="005F27B0" w:rsidRPr="006122EE" w:rsidRDefault="005F27B0" w:rsidP="005F27B0">
      <w:pPr>
        <w:pStyle w:val="Caption"/>
      </w:pPr>
      <w:bookmarkStart w:id="281" w:name="_Ref446661975"/>
      <w:bookmarkStart w:id="282" w:name="_Ref446661970"/>
      <w:bookmarkStart w:id="283" w:name="_Toc481615016"/>
      <w:r w:rsidRPr="006122EE">
        <w:t xml:space="preserve">Table </w:t>
      </w:r>
      <w:r w:rsidR="00DC7D8C">
        <w:fldChar w:fldCharType="begin"/>
      </w:r>
      <w:r w:rsidR="00DC7D8C">
        <w:instrText xml:space="preserve"> SEQ Table \* ARABIC </w:instrText>
      </w:r>
      <w:r w:rsidR="00DC7D8C">
        <w:fldChar w:fldCharType="separate"/>
      </w:r>
      <w:r w:rsidR="00866D96">
        <w:rPr>
          <w:noProof/>
        </w:rPr>
        <w:t>31</w:t>
      </w:r>
      <w:r w:rsidR="00DC7D8C">
        <w:rPr>
          <w:noProof/>
        </w:rPr>
        <w:fldChar w:fldCharType="end"/>
      </w:r>
      <w:bookmarkEnd w:id="281"/>
      <w:r w:rsidRPr="006122EE">
        <w:t>: Population of road vehicles in urban areas, in 2014, by type of vehicle</w:t>
      </w:r>
      <w:bookmarkEnd w:id="282"/>
      <w:bookmarkEnd w:id="283"/>
    </w:p>
    <w:tbl>
      <w:tblPr>
        <w:tblW w:w="5220" w:type="dxa"/>
        <w:jc w:val="center"/>
        <w:tblBorders>
          <w:top w:val="single" w:sz="4" w:space="0" w:color="52CEFF"/>
          <w:left w:val="single" w:sz="4" w:space="0" w:color="52CEFF"/>
          <w:bottom w:val="single" w:sz="4" w:space="0" w:color="52CEFF"/>
          <w:right w:val="single" w:sz="4" w:space="0" w:color="52CEFF"/>
          <w:insideH w:val="single" w:sz="4" w:space="0" w:color="52CEFF"/>
          <w:insideV w:val="single" w:sz="4" w:space="0" w:color="52CEFF"/>
        </w:tblBorders>
        <w:tblLook w:val="04A0" w:firstRow="1" w:lastRow="0" w:firstColumn="1" w:lastColumn="0" w:noHBand="0" w:noVBand="1"/>
      </w:tblPr>
      <w:tblGrid>
        <w:gridCol w:w="2980"/>
        <w:gridCol w:w="2240"/>
      </w:tblGrid>
      <w:tr w:rsidR="005F27B0" w:rsidRPr="006122EE" w14:paraId="6D559276" w14:textId="77777777" w:rsidTr="00BC204F">
        <w:trPr>
          <w:trHeight w:val="475"/>
          <w:tblHeader/>
          <w:jc w:val="center"/>
        </w:trPr>
        <w:tc>
          <w:tcPr>
            <w:tcW w:w="2980" w:type="dxa"/>
            <w:tcBorders>
              <w:top w:val="single" w:sz="4" w:space="0" w:color="00A1DE"/>
              <w:left w:val="single" w:sz="4" w:space="0" w:color="00A1DE"/>
              <w:bottom w:val="single" w:sz="4" w:space="0" w:color="00A1DE"/>
              <w:right w:val="nil"/>
            </w:tcBorders>
            <w:shd w:val="clear" w:color="auto" w:fill="00A1DE"/>
            <w:noWrap/>
            <w:vAlign w:val="center"/>
            <w:hideMark/>
          </w:tcPr>
          <w:p w14:paraId="61070E37" w14:textId="77777777" w:rsidR="005F27B0" w:rsidRPr="006122EE" w:rsidRDefault="005F27B0"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Type</w:t>
            </w:r>
          </w:p>
        </w:tc>
        <w:tc>
          <w:tcPr>
            <w:tcW w:w="2240" w:type="dxa"/>
            <w:tcBorders>
              <w:top w:val="single" w:sz="4" w:space="0" w:color="00A1DE"/>
              <w:left w:val="nil"/>
              <w:bottom w:val="single" w:sz="4" w:space="0" w:color="00A1DE"/>
              <w:right w:val="single" w:sz="4" w:space="0" w:color="00A1DE"/>
            </w:tcBorders>
            <w:shd w:val="clear" w:color="auto" w:fill="00A1DE"/>
            <w:noWrap/>
            <w:vAlign w:val="center"/>
            <w:hideMark/>
          </w:tcPr>
          <w:p w14:paraId="66B949EA" w14:textId="77777777" w:rsidR="005F27B0" w:rsidRPr="006122EE" w:rsidRDefault="005F27B0"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Number</w:t>
            </w:r>
          </w:p>
        </w:tc>
      </w:tr>
      <w:tr w:rsidR="005F27B0" w:rsidRPr="006122EE" w14:paraId="07CDB085" w14:textId="77777777" w:rsidTr="00BC204F">
        <w:trPr>
          <w:trHeight w:val="397"/>
          <w:jc w:val="center"/>
        </w:trPr>
        <w:tc>
          <w:tcPr>
            <w:tcW w:w="2980" w:type="dxa"/>
            <w:shd w:val="clear" w:color="auto" w:fill="C5EEFF"/>
            <w:noWrap/>
            <w:vAlign w:val="center"/>
            <w:hideMark/>
          </w:tcPr>
          <w:p w14:paraId="06E0ADC2"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Motorcycles</w:t>
            </w:r>
          </w:p>
        </w:tc>
        <w:tc>
          <w:tcPr>
            <w:tcW w:w="2240" w:type="dxa"/>
            <w:shd w:val="clear" w:color="auto" w:fill="C5EEFF"/>
            <w:noWrap/>
            <w:vAlign w:val="center"/>
            <w:hideMark/>
          </w:tcPr>
          <w:p w14:paraId="7476ACBC" w14:textId="77777777" w:rsidR="005F27B0" w:rsidRPr="006122EE" w:rsidRDefault="005F27B0" w:rsidP="00BC204F">
            <w:pPr>
              <w:spacing w:before="0" w:after="0" w:line="240" w:lineRule="auto"/>
              <w:jc w:val="left"/>
              <w:rPr>
                <w:rFonts w:eastAsia="Times New Roman" w:cs="Arial"/>
                <w:szCs w:val="20"/>
                <w:lang w:eastAsia="fr-FR"/>
              </w:rPr>
            </w:pPr>
            <w:r w:rsidRPr="006122EE">
              <w:t>27,494</w:t>
            </w:r>
          </w:p>
        </w:tc>
      </w:tr>
      <w:tr w:rsidR="005F27B0" w:rsidRPr="006122EE" w14:paraId="47C7DFBA" w14:textId="77777777" w:rsidTr="00BC204F">
        <w:trPr>
          <w:trHeight w:val="397"/>
          <w:jc w:val="center"/>
        </w:trPr>
        <w:tc>
          <w:tcPr>
            <w:tcW w:w="2980" w:type="dxa"/>
            <w:shd w:val="clear" w:color="auto" w:fill="auto"/>
            <w:noWrap/>
            <w:vAlign w:val="center"/>
            <w:hideMark/>
          </w:tcPr>
          <w:p w14:paraId="78F99A7B"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Small vehicles</w:t>
            </w:r>
          </w:p>
        </w:tc>
        <w:tc>
          <w:tcPr>
            <w:tcW w:w="2240" w:type="dxa"/>
            <w:shd w:val="clear" w:color="auto" w:fill="auto"/>
            <w:noWrap/>
            <w:vAlign w:val="center"/>
            <w:hideMark/>
          </w:tcPr>
          <w:p w14:paraId="1AA85B6B" w14:textId="77777777" w:rsidR="005F27B0" w:rsidRPr="006122EE" w:rsidRDefault="005F27B0" w:rsidP="00BC204F">
            <w:pPr>
              <w:spacing w:before="0" w:after="0" w:line="240" w:lineRule="auto"/>
              <w:jc w:val="left"/>
              <w:rPr>
                <w:rFonts w:eastAsia="Times New Roman" w:cs="Arial"/>
                <w:szCs w:val="20"/>
                <w:lang w:eastAsia="fr-FR"/>
              </w:rPr>
            </w:pPr>
            <w:r w:rsidRPr="006122EE">
              <w:t>308,670</w:t>
            </w:r>
          </w:p>
        </w:tc>
      </w:tr>
      <w:tr w:rsidR="005F27B0" w:rsidRPr="006122EE" w14:paraId="1B61F37E" w14:textId="77777777" w:rsidTr="00BC204F">
        <w:trPr>
          <w:trHeight w:val="397"/>
          <w:jc w:val="center"/>
        </w:trPr>
        <w:tc>
          <w:tcPr>
            <w:tcW w:w="2980" w:type="dxa"/>
            <w:shd w:val="clear" w:color="auto" w:fill="C5EEFF"/>
            <w:noWrap/>
            <w:vAlign w:val="center"/>
            <w:hideMark/>
          </w:tcPr>
          <w:p w14:paraId="59DEC3D3"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Mini-buses</w:t>
            </w:r>
          </w:p>
        </w:tc>
        <w:tc>
          <w:tcPr>
            <w:tcW w:w="2240" w:type="dxa"/>
            <w:shd w:val="clear" w:color="auto" w:fill="C5EEFF"/>
            <w:noWrap/>
            <w:vAlign w:val="center"/>
            <w:hideMark/>
          </w:tcPr>
          <w:p w14:paraId="520B6D03" w14:textId="77777777" w:rsidR="005F27B0" w:rsidRPr="006122EE" w:rsidRDefault="005F27B0" w:rsidP="00BC204F">
            <w:pPr>
              <w:spacing w:before="0" w:after="0" w:line="240" w:lineRule="auto"/>
              <w:jc w:val="left"/>
              <w:rPr>
                <w:rFonts w:eastAsia="Times New Roman" w:cs="Arial"/>
                <w:szCs w:val="20"/>
                <w:lang w:eastAsia="fr-FR"/>
              </w:rPr>
            </w:pPr>
            <w:r w:rsidRPr="006122EE">
              <w:t>8,722</w:t>
            </w:r>
          </w:p>
        </w:tc>
      </w:tr>
      <w:tr w:rsidR="005F27B0" w:rsidRPr="006122EE" w14:paraId="5AD75DF3" w14:textId="77777777" w:rsidTr="00BC204F">
        <w:trPr>
          <w:trHeight w:val="397"/>
          <w:jc w:val="center"/>
        </w:trPr>
        <w:tc>
          <w:tcPr>
            <w:tcW w:w="2980" w:type="dxa"/>
            <w:shd w:val="clear" w:color="auto" w:fill="auto"/>
            <w:noWrap/>
            <w:vAlign w:val="center"/>
            <w:hideMark/>
          </w:tcPr>
          <w:p w14:paraId="17C6F5BA"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Buses</w:t>
            </w:r>
          </w:p>
        </w:tc>
        <w:tc>
          <w:tcPr>
            <w:tcW w:w="2240" w:type="dxa"/>
            <w:shd w:val="clear" w:color="auto" w:fill="auto"/>
            <w:noWrap/>
            <w:vAlign w:val="center"/>
            <w:hideMark/>
          </w:tcPr>
          <w:p w14:paraId="46CDA8F3" w14:textId="77777777" w:rsidR="005F27B0" w:rsidRPr="006122EE" w:rsidRDefault="005F27B0" w:rsidP="00BC204F">
            <w:pPr>
              <w:spacing w:before="0" w:after="0" w:line="240" w:lineRule="auto"/>
              <w:jc w:val="left"/>
              <w:rPr>
                <w:rFonts w:eastAsia="Times New Roman" w:cs="Arial"/>
                <w:szCs w:val="20"/>
                <w:lang w:eastAsia="fr-FR"/>
              </w:rPr>
            </w:pPr>
            <w:r w:rsidRPr="006122EE">
              <w:t>25,633</w:t>
            </w:r>
          </w:p>
        </w:tc>
      </w:tr>
      <w:tr w:rsidR="005F27B0" w:rsidRPr="006122EE" w14:paraId="0585B873" w14:textId="77777777" w:rsidTr="00BC204F">
        <w:trPr>
          <w:trHeight w:val="397"/>
          <w:jc w:val="center"/>
        </w:trPr>
        <w:tc>
          <w:tcPr>
            <w:tcW w:w="2980" w:type="dxa"/>
            <w:shd w:val="clear" w:color="auto" w:fill="C5EEFF"/>
            <w:noWrap/>
            <w:vAlign w:val="center"/>
            <w:hideMark/>
          </w:tcPr>
          <w:p w14:paraId="133C0DCB"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Others</w:t>
            </w:r>
          </w:p>
        </w:tc>
        <w:tc>
          <w:tcPr>
            <w:tcW w:w="2240" w:type="dxa"/>
            <w:shd w:val="clear" w:color="auto" w:fill="C5EEFF"/>
            <w:noWrap/>
            <w:vAlign w:val="center"/>
            <w:hideMark/>
          </w:tcPr>
          <w:p w14:paraId="01E9E869" w14:textId="77777777" w:rsidR="005F27B0" w:rsidRPr="006122EE" w:rsidRDefault="005F27B0" w:rsidP="00BC204F">
            <w:pPr>
              <w:spacing w:before="0" w:after="0" w:line="240" w:lineRule="auto"/>
              <w:jc w:val="left"/>
              <w:rPr>
                <w:rFonts w:eastAsia="Times New Roman" w:cs="Arial"/>
                <w:szCs w:val="20"/>
                <w:lang w:eastAsia="fr-FR"/>
              </w:rPr>
            </w:pPr>
            <w:r w:rsidRPr="006122EE">
              <w:t>66,897</w:t>
            </w:r>
          </w:p>
        </w:tc>
      </w:tr>
      <w:tr w:rsidR="005F27B0" w:rsidRPr="006122EE" w14:paraId="5D04984B" w14:textId="77777777" w:rsidTr="00BC204F">
        <w:trPr>
          <w:trHeight w:val="397"/>
          <w:jc w:val="center"/>
        </w:trPr>
        <w:tc>
          <w:tcPr>
            <w:tcW w:w="2980" w:type="dxa"/>
            <w:shd w:val="clear" w:color="auto" w:fill="auto"/>
            <w:noWrap/>
            <w:vAlign w:val="center"/>
            <w:hideMark/>
          </w:tcPr>
          <w:p w14:paraId="7601BF03" w14:textId="77777777" w:rsidR="005F27B0" w:rsidRPr="006122EE" w:rsidRDefault="005F27B0" w:rsidP="00BC204F">
            <w:pPr>
              <w:spacing w:before="0" w:after="0" w:line="240" w:lineRule="auto"/>
              <w:jc w:val="left"/>
              <w:rPr>
                <w:rFonts w:eastAsia="Times New Roman" w:cs="Arial"/>
                <w:b/>
                <w:bCs/>
                <w:szCs w:val="20"/>
                <w:lang w:eastAsia="fr-FR"/>
              </w:rPr>
            </w:pPr>
            <w:r w:rsidRPr="006122EE">
              <w:rPr>
                <w:rFonts w:eastAsia="Times New Roman" w:cs="Arial"/>
                <w:b/>
                <w:bCs/>
                <w:szCs w:val="20"/>
                <w:lang w:eastAsia="fr-FR"/>
              </w:rPr>
              <w:t>Total</w:t>
            </w:r>
          </w:p>
        </w:tc>
        <w:tc>
          <w:tcPr>
            <w:tcW w:w="2240" w:type="dxa"/>
            <w:shd w:val="clear" w:color="auto" w:fill="auto"/>
            <w:noWrap/>
            <w:vAlign w:val="center"/>
            <w:hideMark/>
          </w:tcPr>
          <w:p w14:paraId="3C09BF81" w14:textId="77777777" w:rsidR="005F27B0" w:rsidRPr="006122EE" w:rsidRDefault="005F27B0" w:rsidP="00BC204F">
            <w:pPr>
              <w:spacing w:before="0" w:after="0" w:line="240" w:lineRule="auto"/>
              <w:jc w:val="left"/>
              <w:rPr>
                <w:rFonts w:eastAsia="Times New Roman" w:cs="Arial"/>
                <w:szCs w:val="20"/>
                <w:lang w:eastAsia="fr-FR"/>
              </w:rPr>
            </w:pPr>
            <w:r w:rsidRPr="006122EE">
              <w:t>437,416</w:t>
            </w:r>
          </w:p>
        </w:tc>
      </w:tr>
    </w:tbl>
    <w:p w14:paraId="14536CAF" w14:textId="77777777" w:rsidR="0082018A" w:rsidRDefault="0082018A" w:rsidP="0082018A">
      <w:pPr>
        <w:spacing w:line="276" w:lineRule="auto"/>
      </w:pPr>
    </w:p>
    <w:p w14:paraId="5F7D3D94" w14:textId="77777777" w:rsidR="005F27B0" w:rsidRPr="006122EE" w:rsidRDefault="005F27B0" w:rsidP="0082018A">
      <w:pPr>
        <w:spacing w:line="276" w:lineRule="auto"/>
      </w:pPr>
      <w:r w:rsidRPr="006122EE">
        <w:t xml:space="preserve">It must be highlighted that these figures refer only to registered vehicles but there is also a significant number of unregistered vehicles. Data on the unregistered vehicle does not exist. </w:t>
      </w:r>
    </w:p>
    <w:p w14:paraId="62B045F5" w14:textId="77777777" w:rsidR="005F27B0" w:rsidRPr="006122EE" w:rsidRDefault="005F27B0" w:rsidP="0082018A">
      <w:pPr>
        <w:spacing w:line="276" w:lineRule="auto"/>
      </w:pPr>
      <w:r w:rsidRPr="006122EE">
        <w:rPr>
          <w:lang w:eastAsia="fr-FR"/>
        </w:rPr>
        <w:t>Malawi does not have an urban mass transit bus system. Currently, walking, non-motorised transport and mini-buses dominate the transportation of the poorest population in the country.</w:t>
      </w:r>
    </w:p>
    <w:p w14:paraId="1F78B720" w14:textId="77777777" w:rsidR="005F27B0" w:rsidRPr="006122EE" w:rsidRDefault="005F27B0" w:rsidP="0082018A">
      <w:pPr>
        <w:pStyle w:val="CSubtitle2"/>
        <w:spacing w:line="276" w:lineRule="auto"/>
        <w:rPr>
          <w:noProof w:val="0"/>
          <w:lang w:val="en-GB"/>
        </w:rPr>
      </w:pPr>
      <w:r w:rsidRPr="006122EE">
        <w:rPr>
          <w:noProof w:val="0"/>
          <w:lang w:val="en-GB"/>
        </w:rPr>
        <w:t>Current efficiency of vehicles</w:t>
      </w:r>
    </w:p>
    <w:p w14:paraId="75160869" w14:textId="77777777" w:rsidR="005F27B0" w:rsidRPr="006122EE" w:rsidRDefault="005F27B0" w:rsidP="0082018A">
      <w:pPr>
        <w:spacing w:line="276" w:lineRule="auto"/>
      </w:pPr>
      <w:r w:rsidRPr="006122EE">
        <w:t xml:space="preserve">Most of this population is consisted by second-hand vehicles from Europe and East Asian countries. The large share of old “grey vehicles” in the total population result to a lower fuel efficiency and higher air emissions compared to fleets of more industrialised countries. </w:t>
      </w:r>
    </w:p>
    <w:p w14:paraId="694D906A" w14:textId="77777777" w:rsidR="005F27B0" w:rsidRPr="006122EE" w:rsidRDefault="00BB3150" w:rsidP="0082018A">
      <w:pPr>
        <w:spacing w:line="276" w:lineRule="auto"/>
      </w:pPr>
      <w:r w:rsidRPr="006122EE">
        <w:rPr>
          <w:b/>
        </w:rPr>
        <w:t>D</w:t>
      </w:r>
      <w:r w:rsidR="005F27B0" w:rsidRPr="006122EE">
        <w:rPr>
          <w:b/>
        </w:rPr>
        <w:t>ata on the energy efficiency of the road fleet does not exist.</w:t>
      </w:r>
    </w:p>
    <w:p w14:paraId="5FAA1E7A" w14:textId="77777777" w:rsidR="005F27B0" w:rsidRPr="006122EE" w:rsidRDefault="005F27B0" w:rsidP="0082018A">
      <w:pPr>
        <w:pStyle w:val="CSubtitle2"/>
        <w:spacing w:line="276" w:lineRule="auto"/>
        <w:rPr>
          <w:noProof w:val="0"/>
          <w:lang w:val="en-GB"/>
        </w:rPr>
      </w:pPr>
      <w:r w:rsidRPr="006122EE">
        <w:rPr>
          <w:noProof w:val="0"/>
          <w:lang w:val="en-GB"/>
        </w:rPr>
        <w:t xml:space="preserve">Transportation network – roads </w:t>
      </w:r>
    </w:p>
    <w:p w14:paraId="1C6024B6" w14:textId="77777777" w:rsidR="005F27B0" w:rsidRPr="006122EE" w:rsidRDefault="005F27B0" w:rsidP="0082018A">
      <w:pPr>
        <w:spacing w:line="276" w:lineRule="auto"/>
        <w:rPr>
          <w:lang w:eastAsia="fr-FR"/>
        </w:rPr>
      </w:pPr>
      <w:r w:rsidRPr="006122EE">
        <w:rPr>
          <w:lang w:eastAsia="fr-FR"/>
        </w:rPr>
        <w:t>There have been no studies on traffic congestion and fuel consumption in Malawi</w:t>
      </w:r>
      <w:r w:rsidR="00F153C2" w:rsidRPr="006122EE">
        <w:rPr>
          <w:lang w:eastAsia="fr-FR"/>
        </w:rPr>
        <w:t>. B</w:t>
      </w:r>
      <w:r w:rsidRPr="006122EE">
        <w:rPr>
          <w:lang w:eastAsia="fr-FR"/>
        </w:rPr>
        <w:t>ut they have been done in other countries. An analysis in Germany found that congestion can increase fuel consumption up to 80% and is a more important factor in fuel consumption than distance travelled</w:t>
      </w:r>
      <w:r w:rsidRPr="006122EE">
        <w:rPr>
          <w:rStyle w:val="FootnoteReference"/>
          <w:lang w:eastAsia="fr-FR"/>
        </w:rPr>
        <w:footnoteReference w:id="64"/>
      </w:r>
      <w:r w:rsidRPr="006122EE">
        <w:rPr>
          <w:lang w:eastAsia="fr-FR"/>
        </w:rPr>
        <w:t>.</w:t>
      </w:r>
    </w:p>
    <w:p w14:paraId="2F6D0D4B" w14:textId="77777777" w:rsidR="005F27B0" w:rsidRPr="006122EE" w:rsidRDefault="005F27B0" w:rsidP="0082018A">
      <w:pPr>
        <w:spacing w:line="276" w:lineRule="auto"/>
        <w:rPr>
          <w:lang w:eastAsia="fr-FR"/>
        </w:rPr>
      </w:pPr>
      <w:r w:rsidRPr="006122EE">
        <w:rPr>
          <w:lang w:eastAsia="fr-FR"/>
        </w:rPr>
        <w:t xml:space="preserve">Urban road networks have an increasing proportion of paved roads but the majority are </w:t>
      </w:r>
      <w:r w:rsidR="00F153C2" w:rsidRPr="006122EE">
        <w:rPr>
          <w:lang w:eastAsia="fr-FR"/>
        </w:rPr>
        <w:t xml:space="preserve">still </w:t>
      </w:r>
      <w:r w:rsidRPr="006122EE">
        <w:rPr>
          <w:lang w:eastAsia="fr-FR"/>
        </w:rPr>
        <w:t>unpaved and</w:t>
      </w:r>
      <w:r w:rsidR="00F153C2" w:rsidRPr="006122EE">
        <w:rPr>
          <w:lang w:eastAsia="fr-FR"/>
        </w:rPr>
        <w:t>,</w:t>
      </w:r>
      <w:r w:rsidRPr="006122EE">
        <w:rPr>
          <w:lang w:eastAsia="fr-FR"/>
        </w:rPr>
        <w:t xml:space="preserve"> esp</w:t>
      </w:r>
      <w:r w:rsidR="00F153C2" w:rsidRPr="006122EE">
        <w:rPr>
          <w:lang w:eastAsia="fr-FR"/>
        </w:rPr>
        <w:t xml:space="preserve">ecially in suburban areas, of </w:t>
      </w:r>
      <w:r w:rsidRPr="006122EE">
        <w:rPr>
          <w:lang w:eastAsia="fr-FR"/>
        </w:rPr>
        <w:t xml:space="preserve">poor quality. In Lilongwe, the total length of </w:t>
      </w:r>
      <w:r w:rsidR="00F153C2" w:rsidRPr="006122EE">
        <w:rPr>
          <w:lang w:eastAsia="fr-FR"/>
        </w:rPr>
        <w:t xml:space="preserve">the </w:t>
      </w:r>
      <w:r w:rsidRPr="006122EE">
        <w:rPr>
          <w:lang w:eastAsia="fr-FR"/>
        </w:rPr>
        <w:t>road network in 2009 w</w:t>
      </w:r>
      <w:r w:rsidR="00F153C2" w:rsidRPr="006122EE">
        <w:rPr>
          <w:lang w:eastAsia="fr-FR"/>
        </w:rPr>
        <w:t>as 131 km (consisting of main/</w:t>
      </w:r>
      <w:r w:rsidRPr="006122EE">
        <w:rPr>
          <w:lang w:eastAsia="fr-FR"/>
        </w:rPr>
        <w:t xml:space="preserve">secondary roads and urban roads) and is projected to increase to 303 km in 2030. According to the Lilongwe Plan, the road density </w:t>
      </w:r>
      <w:r w:rsidR="00F153C2" w:rsidRPr="006122EE">
        <w:rPr>
          <w:lang w:eastAsia="fr-FR"/>
        </w:rPr>
        <w:t>will</w:t>
      </w:r>
      <w:r w:rsidRPr="006122EE">
        <w:rPr>
          <w:lang w:eastAsia="fr-FR"/>
        </w:rPr>
        <w:t xml:space="preserve"> increase from 0.3 km/km</w:t>
      </w:r>
      <w:r w:rsidRPr="006122EE">
        <w:rPr>
          <w:vertAlign w:val="superscript"/>
          <w:lang w:eastAsia="fr-FR"/>
        </w:rPr>
        <w:t>2</w:t>
      </w:r>
      <w:r w:rsidRPr="006122EE">
        <w:rPr>
          <w:lang w:eastAsia="fr-FR"/>
        </w:rPr>
        <w:t xml:space="preserve"> (current land area: 393 km</w:t>
      </w:r>
      <w:r w:rsidRPr="006122EE">
        <w:rPr>
          <w:vertAlign w:val="superscript"/>
          <w:lang w:eastAsia="fr-FR"/>
        </w:rPr>
        <w:t>2</w:t>
      </w:r>
      <w:r w:rsidRPr="006122EE">
        <w:rPr>
          <w:lang w:eastAsia="fr-FR"/>
        </w:rPr>
        <w:t>) in 2009 to 0.64 km/km</w:t>
      </w:r>
      <w:r w:rsidRPr="006122EE">
        <w:rPr>
          <w:vertAlign w:val="superscript"/>
          <w:lang w:eastAsia="fr-FR"/>
        </w:rPr>
        <w:t>2</w:t>
      </w:r>
      <w:r w:rsidRPr="006122EE">
        <w:rPr>
          <w:lang w:eastAsia="fr-FR"/>
        </w:rPr>
        <w:t xml:space="preserve"> (2030 land area: 468km</w:t>
      </w:r>
      <w:r w:rsidRPr="006122EE">
        <w:rPr>
          <w:vertAlign w:val="superscript"/>
          <w:lang w:eastAsia="fr-FR"/>
        </w:rPr>
        <w:t>2</w:t>
      </w:r>
      <w:r w:rsidRPr="006122EE">
        <w:rPr>
          <w:lang w:eastAsia="fr-FR"/>
        </w:rPr>
        <w:t xml:space="preserve">) in 2030. The majority of the road network requires </w:t>
      </w:r>
      <w:r w:rsidR="00F153C2" w:rsidRPr="006122EE">
        <w:rPr>
          <w:lang w:eastAsia="fr-FR"/>
        </w:rPr>
        <w:t>improvement</w:t>
      </w:r>
      <w:r w:rsidRPr="006122EE">
        <w:rPr>
          <w:lang w:eastAsia="fr-FR"/>
        </w:rPr>
        <w:t>.</w:t>
      </w:r>
    </w:p>
    <w:p w14:paraId="05A3D269" w14:textId="77777777" w:rsidR="005F27B0" w:rsidRPr="006122EE" w:rsidRDefault="005F27B0" w:rsidP="0082018A">
      <w:pPr>
        <w:spacing w:line="276" w:lineRule="auto"/>
        <w:rPr>
          <w:lang w:eastAsia="fr-FR"/>
        </w:rPr>
      </w:pPr>
      <w:r w:rsidRPr="006122EE">
        <w:rPr>
          <w:lang w:eastAsia="fr-FR"/>
        </w:rPr>
        <w:t xml:space="preserve">As put forward in the </w:t>
      </w:r>
      <w:r w:rsidRPr="006122EE">
        <w:rPr>
          <w:lang w:eastAsia="en-US"/>
        </w:rPr>
        <w:t xml:space="preserve">Urban Structure Plan of Lilongwe City (Lilongwe Plan), </w:t>
      </w:r>
      <w:r w:rsidRPr="006122EE">
        <w:rPr>
          <w:lang w:eastAsia="fr-FR"/>
        </w:rPr>
        <w:t xml:space="preserve">currently Lilongwe is characterised by a low density land use. Nevertheless, the urban concentration in the Old Town and City Centre is expected to continue. The low concentration will allow the development of urban infrastructure in an efficient manner. Nevertheless, an increase of the population to more than two to three million after 2030, might lead to adverse effects, including traffic congestion. Without any appropriate action, the road congestion is expected to become severe in the future. </w:t>
      </w:r>
    </w:p>
    <w:p w14:paraId="78CBC9A7" w14:textId="77777777" w:rsidR="005F27B0" w:rsidRPr="006122EE" w:rsidRDefault="005F27B0" w:rsidP="0082018A">
      <w:pPr>
        <w:spacing w:line="276" w:lineRule="auto"/>
        <w:rPr>
          <w:rFonts w:eastAsia="MS Mincho"/>
        </w:rPr>
      </w:pPr>
      <w:r w:rsidRPr="006122EE">
        <w:rPr>
          <w:lang w:eastAsia="fr-FR"/>
        </w:rPr>
        <w:t xml:space="preserve">The parking areas are relatively scarce in Lilongwe. As a result, in certain areas a large number of cars are parked on road sides, thus imposing problems on the flow of the traffic. In addition, </w:t>
      </w:r>
      <w:r w:rsidRPr="006122EE">
        <w:rPr>
          <w:rFonts w:eastAsia="MS Mincho"/>
        </w:rPr>
        <w:t xml:space="preserve">most of the main roads have no road boundaries (reserves), making it practically impossible to expand the roads without demolishing existing buildings. This issue is more significant in Blantyre where density is higher compared to the capital city. As a result, the expansion of the roads to smoothen the flow, or the development of bus lanes becomes a difficult option. </w:t>
      </w:r>
    </w:p>
    <w:p w14:paraId="3D03FEC2" w14:textId="77777777" w:rsidR="005F27B0" w:rsidRPr="00866D96" w:rsidRDefault="005F27B0" w:rsidP="0082018A">
      <w:pPr>
        <w:pStyle w:val="CSubtitle2"/>
        <w:spacing w:line="276" w:lineRule="auto"/>
        <w:rPr>
          <w:noProof w:val="0"/>
          <w:lang w:val="en-GB"/>
        </w:rPr>
      </w:pPr>
      <w:r w:rsidRPr="00866D96">
        <w:rPr>
          <w:noProof w:val="0"/>
          <w:lang w:val="en-GB"/>
        </w:rPr>
        <w:t xml:space="preserve">Transportation network – rail </w:t>
      </w:r>
    </w:p>
    <w:p w14:paraId="5D513250" w14:textId="77777777" w:rsidR="005F27B0" w:rsidRPr="006122EE" w:rsidRDefault="005F27B0" w:rsidP="0082018A">
      <w:pPr>
        <w:spacing w:line="276" w:lineRule="auto"/>
        <w:rPr>
          <w:lang w:eastAsia="fr-FR"/>
        </w:rPr>
      </w:pPr>
      <w:r w:rsidRPr="006122EE">
        <w:rPr>
          <w:lang w:eastAsia="fr-FR"/>
        </w:rPr>
        <w:t xml:space="preserve">A rail network run by diesel locomotives is on place but mainly for freight transport. The rail network is operated Central East African Railways consortium led by Railroad Development Corporation. The size of the rail network is small (approximately 800 km) and the infrastructure is in a poor condition. MGDS II as well as the National Transportation Policy highlight that there is an urgent need for financial resources as the current state of the infrastructure compromises greatly the safety and efficiency of the network. </w:t>
      </w:r>
    </w:p>
    <w:p w14:paraId="0F041F1A" w14:textId="77777777" w:rsidR="005F27B0" w:rsidRPr="006122EE" w:rsidRDefault="005F27B0" w:rsidP="005F27B0">
      <w:pPr>
        <w:pStyle w:val="Caption"/>
      </w:pPr>
      <w:bookmarkStart w:id="284" w:name="_Toc481614982"/>
      <w:r w:rsidRPr="006122EE">
        <w:t xml:space="preserve">Figure </w:t>
      </w:r>
      <w:r w:rsidR="00DC7D8C">
        <w:fldChar w:fldCharType="begin"/>
      </w:r>
      <w:r w:rsidR="00DC7D8C">
        <w:instrText xml:space="preserve"> SEQ Figure \* ARABIC </w:instrText>
      </w:r>
      <w:r w:rsidR="00DC7D8C">
        <w:fldChar w:fldCharType="separate"/>
      </w:r>
      <w:r w:rsidR="00866D96">
        <w:rPr>
          <w:noProof/>
        </w:rPr>
        <w:t>18</w:t>
      </w:r>
      <w:r w:rsidR="00DC7D8C">
        <w:rPr>
          <w:noProof/>
        </w:rPr>
        <w:fldChar w:fldCharType="end"/>
      </w:r>
      <w:r w:rsidRPr="006122EE">
        <w:t>: Rail network (Railroad Development Corporation, 2016)</w:t>
      </w:r>
      <w:r w:rsidRPr="006122EE">
        <w:rPr>
          <w:rStyle w:val="FootnoteReference"/>
        </w:rPr>
        <w:footnoteReference w:id="65"/>
      </w:r>
      <w:bookmarkEnd w:id="284"/>
    </w:p>
    <w:p w14:paraId="2C29DB79" w14:textId="77777777" w:rsidR="005F27B0" w:rsidRPr="006122EE" w:rsidRDefault="005F27B0" w:rsidP="006E363C">
      <w:pPr>
        <w:jc w:val="center"/>
        <w:rPr>
          <w:lang w:eastAsia="fr-FR"/>
        </w:rPr>
      </w:pPr>
      <w:r w:rsidRPr="00866D96">
        <w:rPr>
          <w:noProof/>
          <w:lang w:val="en-US" w:eastAsia="en-US"/>
        </w:rPr>
        <w:drawing>
          <wp:inline distT="0" distB="0" distL="0" distR="0" wp14:anchorId="5BD06082" wp14:editId="6413349D">
            <wp:extent cx="3785483" cy="3002280"/>
            <wp:effectExtent l="0" t="0" r="5715" b="7620"/>
            <wp:docPr id="61" name="Picture 61" descr="map_cear_cd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_cear_cdn_new"/>
                    <pic:cNvPicPr>
                      <a:picLocks noChangeAspect="1" noChangeArrowheads="1"/>
                    </pic:cNvPicPr>
                  </pic:nvPicPr>
                  <pic:blipFill>
                    <a:blip r:embed="rId43">
                      <a:extLst>
                        <a:ext uri="{28A0092B-C50C-407E-A947-70E740481C1C}">
                          <a14:useLocalDpi xmlns:a14="http://schemas.microsoft.com/office/drawing/2010/main" val="0"/>
                        </a:ext>
                      </a:extLst>
                    </a:blip>
                    <a:srcRect l="1042" t="2411" r="38518" b="26923"/>
                    <a:stretch>
                      <a:fillRect/>
                    </a:stretch>
                  </pic:blipFill>
                  <pic:spPr bwMode="auto">
                    <a:xfrm>
                      <a:off x="0" y="0"/>
                      <a:ext cx="3814926" cy="3025631"/>
                    </a:xfrm>
                    <a:prstGeom prst="rect">
                      <a:avLst/>
                    </a:prstGeom>
                    <a:noFill/>
                    <a:ln>
                      <a:noFill/>
                    </a:ln>
                  </pic:spPr>
                </pic:pic>
              </a:graphicData>
            </a:graphic>
          </wp:inline>
        </w:drawing>
      </w:r>
    </w:p>
    <w:p w14:paraId="5CD57F2E" w14:textId="77777777" w:rsidR="005F27B0" w:rsidRPr="006122EE" w:rsidRDefault="005F27B0" w:rsidP="0082018A">
      <w:pPr>
        <w:spacing w:line="276" w:lineRule="auto"/>
        <w:rPr>
          <w:lang w:eastAsia="fr-FR"/>
        </w:rPr>
      </w:pPr>
      <w:r w:rsidRPr="006122EE">
        <w:rPr>
          <w:lang w:eastAsia="fr-FR"/>
        </w:rPr>
        <w:t>Currently, the rail network is operated by 19 locomotives and 403 locomotives (including both those used for passenger and freight transport)</w:t>
      </w:r>
      <w:r w:rsidRPr="006122EE">
        <w:rPr>
          <w:rStyle w:val="FootnoteReference"/>
          <w:lang w:eastAsia="fr-FR"/>
        </w:rPr>
        <w:footnoteReference w:id="66"/>
      </w:r>
      <w:r w:rsidRPr="006122EE">
        <w:rPr>
          <w:lang w:eastAsia="fr-FR"/>
        </w:rPr>
        <w:t>. It accounts for only 0.92% of the passenger transportation</w:t>
      </w:r>
      <w:r w:rsidRPr="006122EE">
        <w:rPr>
          <w:rStyle w:val="FootnoteReference"/>
          <w:lang w:eastAsia="fr-FR"/>
        </w:rPr>
        <w:footnoteReference w:id="67"/>
      </w:r>
      <w:r w:rsidRPr="006122EE">
        <w:rPr>
          <w:lang w:eastAsia="fr-FR"/>
        </w:rPr>
        <w:t xml:space="preserve"> with a smaller share on urban passenger transportation, as it connects few urban areas with their suburban outskirts.</w:t>
      </w:r>
    </w:p>
    <w:p w14:paraId="057CF9D5" w14:textId="77777777" w:rsidR="005F27B0" w:rsidRPr="00866D96" w:rsidRDefault="005F27B0" w:rsidP="0082018A">
      <w:pPr>
        <w:pStyle w:val="CSubtitle2"/>
        <w:spacing w:line="276" w:lineRule="auto"/>
        <w:rPr>
          <w:noProof w:val="0"/>
          <w:lang w:val="en-GB"/>
        </w:rPr>
      </w:pPr>
      <w:r w:rsidRPr="00866D96">
        <w:rPr>
          <w:noProof w:val="0"/>
          <w:lang w:val="en-GB"/>
        </w:rPr>
        <w:t>Non-motorised transport</w:t>
      </w:r>
    </w:p>
    <w:p w14:paraId="268905FF" w14:textId="77777777" w:rsidR="005F27B0" w:rsidRPr="006122EE" w:rsidRDefault="005F27B0" w:rsidP="0082018A">
      <w:pPr>
        <w:spacing w:line="276" w:lineRule="auto"/>
        <w:rPr>
          <w:lang w:eastAsia="fr-FR"/>
        </w:rPr>
      </w:pPr>
      <w:r w:rsidRPr="006122EE">
        <w:rPr>
          <w:lang w:eastAsia="fr-FR"/>
        </w:rPr>
        <w:t>Infrastructure for non-motorised transport is non-existent. Nevertheless, the use of bicycles (including tricycles) as well as walking as modes of transportation is significant in urban areas. In 2014, the bicycle taxis</w:t>
      </w:r>
      <w:r w:rsidRPr="006122EE">
        <w:rPr>
          <w:rStyle w:val="FootnoteReference"/>
          <w:lang w:eastAsia="fr-FR"/>
        </w:rPr>
        <w:footnoteReference w:id="68"/>
      </w:r>
      <w:r w:rsidRPr="006122EE">
        <w:rPr>
          <w:lang w:eastAsia="fr-FR"/>
        </w:rPr>
        <w:t xml:space="preserve"> where introduced in urban areas by unofficial operators</w:t>
      </w:r>
      <w:r w:rsidRPr="006122EE">
        <w:rPr>
          <w:rStyle w:val="FootnoteReference"/>
          <w:lang w:eastAsia="fr-FR"/>
        </w:rPr>
        <w:footnoteReference w:id="69"/>
      </w:r>
      <w:r w:rsidR="00BB3150" w:rsidRPr="006122EE">
        <w:rPr>
          <w:lang w:eastAsia="fr-FR"/>
        </w:rPr>
        <w:t xml:space="preserve">. </w:t>
      </w:r>
      <w:r w:rsidRPr="006122EE">
        <w:rPr>
          <w:lang w:eastAsia="fr-FR"/>
        </w:rPr>
        <w:t>In 2011, the number of bicycle taxis was estimated at between 4,000 to 5,000. These figures are fluctuating due to the unregulated nature of this activity.</w:t>
      </w:r>
    </w:p>
    <w:p w14:paraId="71B7C227" w14:textId="77777777" w:rsidR="005F27B0" w:rsidRPr="006122EE" w:rsidRDefault="005F27B0" w:rsidP="0082018A">
      <w:pPr>
        <w:pStyle w:val="Style1"/>
        <w:spacing w:line="276" w:lineRule="auto"/>
      </w:pPr>
      <w:r w:rsidRPr="006122EE">
        <w:t>Future trends</w:t>
      </w:r>
    </w:p>
    <w:p w14:paraId="31A04D0D" w14:textId="77777777" w:rsidR="005F27B0" w:rsidRPr="006122EE" w:rsidRDefault="005F27B0" w:rsidP="0082018A">
      <w:pPr>
        <w:spacing w:line="276" w:lineRule="auto"/>
        <w:rPr>
          <w:lang w:eastAsia="en-US"/>
        </w:rPr>
      </w:pPr>
      <w:r w:rsidRPr="006122EE">
        <w:rPr>
          <w:lang w:eastAsia="en-US"/>
        </w:rPr>
        <w:t>Petroleum (i.e. gasoline and diesel) is by far the main fuel used in the sector. The Draft National Energy Policy</w:t>
      </w:r>
      <w:r w:rsidRPr="006122EE">
        <w:rPr>
          <w:rStyle w:val="FootnoteReference"/>
          <w:lang w:eastAsia="en-US"/>
        </w:rPr>
        <w:footnoteReference w:id="70"/>
      </w:r>
      <w:r w:rsidRPr="006122EE">
        <w:rPr>
          <w:lang w:eastAsia="en-US"/>
        </w:rPr>
        <w:t xml:space="preserve"> projects the annual energy consumption for transportation will increase from 396 ktoe in 2015 to 1,025 ktoe in 2030 which correspond to an increase of 159%.  </w:t>
      </w:r>
    </w:p>
    <w:p w14:paraId="6DB8C15D" w14:textId="77777777" w:rsidR="005F27B0" w:rsidRPr="006122EE" w:rsidRDefault="005F27B0" w:rsidP="0082018A">
      <w:pPr>
        <w:spacing w:line="276" w:lineRule="auto"/>
      </w:pPr>
      <w:r w:rsidRPr="006122EE">
        <w:t>There are no projections on the average fuel consumption of vehicles, until 2030. A comprehensive study in Uganda found that the average fuel efficiency decreased from 12.52 l/ 100 km in 2005 to 13.73 l/ 100 km in 2014</w:t>
      </w:r>
      <w:r w:rsidRPr="006122EE">
        <w:rPr>
          <w:rStyle w:val="FootnoteReference"/>
        </w:rPr>
        <w:footnoteReference w:id="71"/>
      </w:r>
      <w:r w:rsidRPr="006122EE">
        <w:t>. In Malawi, it assumed that the energy efficiency will remain stable, as the benefits from the penetration of new and more efficient vehicles will be offset by a high share of second-hand vehicles and the poor maintenance of roads and vehicles.</w:t>
      </w:r>
    </w:p>
    <w:p w14:paraId="63DEFE3A" w14:textId="77777777" w:rsidR="005F27B0" w:rsidRPr="006122EE" w:rsidRDefault="005F27B0" w:rsidP="0082018A">
      <w:pPr>
        <w:spacing w:line="276" w:lineRule="auto"/>
        <w:rPr>
          <w:lang w:eastAsia="en-US"/>
        </w:rPr>
      </w:pPr>
      <w:r w:rsidRPr="006122EE">
        <w:t xml:space="preserve">Under the assumption of a stable fuel efficiency, it is assumed that the urban fleet with increase following the trends of the fuel consumption in the transportation section. This means that the fleet will increase from 437,416 vehicles in 2014 to 1,132,200 vehicles in by 2030. This large increase (covering only small vehicles) is also confirmed by the </w:t>
      </w:r>
      <w:r w:rsidRPr="006122EE">
        <w:rPr>
          <w:lang w:eastAsia="fr-FR"/>
        </w:rPr>
        <w:t>ongoing study on the energy policy review</w:t>
      </w:r>
      <w:r w:rsidRPr="006122EE">
        <w:rPr>
          <w:rStyle w:val="FootnoteReference"/>
          <w:lang w:eastAsia="fr-FR"/>
        </w:rPr>
        <w:footnoteReference w:id="72"/>
      </w:r>
      <w:r w:rsidRPr="006122EE">
        <w:rPr>
          <w:lang w:eastAsia="fr-FR"/>
        </w:rPr>
        <w:t xml:space="preserve">. The study estimates that the car ownership (i.e. person/car) </w:t>
      </w:r>
      <w:r w:rsidRPr="006122EE">
        <w:t xml:space="preserve">for intercity transportation will increase from 303 in 2008 to 90 in 2030. </w:t>
      </w:r>
      <w:r w:rsidRPr="006122EE">
        <w:rPr>
          <w:lang w:eastAsia="fr-FR"/>
        </w:rPr>
        <w:t xml:space="preserve">According to the same study, the current size of the public transportation (urban, rural and intercity) is expected to decrease in the following years and then it will start increasing. </w:t>
      </w:r>
    </w:p>
    <w:p w14:paraId="7CCBD135" w14:textId="77777777" w:rsidR="005F27B0" w:rsidRPr="006122EE" w:rsidRDefault="005F27B0" w:rsidP="0082018A">
      <w:pPr>
        <w:spacing w:line="276" w:lineRule="auto"/>
        <w:rPr>
          <w:lang w:eastAsia="fr-FR"/>
        </w:rPr>
      </w:pPr>
      <w:r w:rsidRPr="006122EE">
        <w:rPr>
          <w:lang w:eastAsia="fr-FR"/>
        </w:rPr>
        <w:t xml:space="preserve">Based on the existing data, it can be assumed that the share of each mode of transportation (see </w:t>
      </w:r>
      <w:r w:rsidRPr="006122EE">
        <w:rPr>
          <w:lang w:eastAsia="fr-FR"/>
        </w:rPr>
        <w:fldChar w:fldCharType="begin"/>
      </w:r>
      <w:r w:rsidRPr="006122EE">
        <w:rPr>
          <w:lang w:eastAsia="fr-FR"/>
        </w:rPr>
        <w:instrText xml:space="preserve"> REF _Ref446661975 \h </w:instrText>
      </w:r>
      <w:r w:rsidR="0082018A">
        <w:rPr>
          <w:lang w:eastAsia="fr-FR"/>
        </w:rPr>
        <w:instrText xml:space="preserve"> \* MERGEFORMAT </w:instrText>
      </w:r>
      <w:r w:rsidRPr="006122EE">
        <w:rPr>
          <w:lang w:eastAsia="fr-FR"/>
        </w:rPr>
      </w:r>
      <w:r w:rsidRPr="006122EE">
        <w:rPr>
          <w:lang w:eastAsia="fr-FR"/>
        </w:rPr>
        <w:fldChar w:fldCharType="separate"/>
      </w:r>
      <w:r w:rsidR="00866D96" w:rsidRPr="006122EE">
        <w:t xml:space="preserve">Table </w:t>
      </w:r>
      <w:r w:rsidR="00866D96">
        <w:rPr>
          <w:noProof/>
        </w:rPr>
        <w:t>31</w:t>
      </w:r>
      <w:r w:rsidRPr="006122EE">
        <w:rPr>
          <w:lang w:eastAsia="fr-FR"/>
        </w:rPr>
        <w:fldChar w:fldCharType="end"/>
      </w:r>
      <w:r w:rsidRPr="006122EE">
        <w:rPr>
          <w:lang w:eastAsia="fr-FR"/>
        </w:rPr>
        <w:t xml:space="preserve">) will not change significantly. An increase on the number and share of buses will absorb a respective decrease of the share of mini-buses and non-motorised means of transport, including walking. </w:t>
      </w:r>
    </w:p>
    <w:p w14:paraId="3225CBCD" w14:textId="77777777" w:rsidR="005F27B0" w:rsidRPr="006122EE" w:rsidRDefault="005F27B0" w:rsidP="0082018A">
      <w:pPr>
        <w:spacing w:line="276" w:lineRule="auto"/>
        <w:rPr>
          <w:lang w:eastAsia="fr-FR"/>
        </w:rPr>
      </w:pPr>
      <w:r w:rsidRPr="006122EE">
        <w:rPr>
          <w:lang w:eastAsia="fr-FR"/>
        </w:rPr>
        <w:t>The use of train (both diesel and electric) is also expected to increase. According to the 2014 Economic Report, between 2013 and 2014, the rail passenger volumes increased by 16.6%. These volumes are expected to increase even further when the Moatize-Nacala corridor opens. An increase of the rail intercity passenger volumes is also projected by the ongoing study on the policy review. Specifically by 2030 diesel and electric rail will account for 2% each of the total transportation volumes (from respectively 0.92% and 0% in 2008).</w:t>
      </w:r>
    </w:p>
    <w:p w14:paraId="6F084086" w14:textId="77777777" w:rsidR="005F27B0" w:rsidRPr="006122EE" w:rsidRDefault="005F27B0" w:rsidP="0082018A">
      <w:pPr>
        <w:pStyle w:val="Style1"/>
        <w:spacing w:line="276" w:lineRule="auto"/>
      </w:pPr>
      <w:r w:rsidRPr="006122EE">
        <w:t>Existing plans</w:t>
      </w:r>
    </w:p>
    <w:p w14:paraId="2AA058B4" w14:textId="77777777" w:rsidR="005F27B0" w:rsidRPr="006122EE" w:rsidRDefault="005F27B0" w:rsidP="0082018A">
      <w:pPr>
        <w:spacing w:line="276" w:lineRule="auto"/>
        <w:rPr>
          <w:lang w:eastAsia="en-US"/>
        </w:rPr>
      </w:pPr>
      <w:r w:rsidRPr="006122EE">
        <w:rPr>
          <w:lang w:eastAsia="en-US"/>
        </w:rPr>
        <w:t>Adopted in 2015, the National Transport Policy (NTP) provides the direction and intent of the Government of Malawi in the development of the transport sector for it to effectively contribute towards the development objectives of the country. On urban transportation, the NTP focuses on issues related to the increasing number of vehicles, the resulted congestion and the poor quality of roads. The NTP promotes the development of an efficient transportation system but in terms of service and not necessarily of energy efficiency. The latter is addressed indirectly through the promotion of a “socially and environmental sustainable and climate resilient transportation system”. On funding, the NTP establishes the</w:t>
      </w:r>
      <w:r w:rsidRPr="006122EE">
        <w:t xml:space="preserve"> Transport Sector Investment Programme (TSIP), a scheme that will aim to coordinate investments and to ensure that they contribute to a reduction of transportation costs. </w:t>
      </w:r>
      <w:r w:rsidRPr="006122EE">
        <w:rPr>
          <w:lang w:eastAsia="en-US"/>
        </w:rPr>
        <w:t xml:space="preserve">   </w:t>
      </w:r>
    </w:p>
    <w:p w14:paraId="6477CD53" w14:textId="77777777" w:rsidR="005F27B0" w:rsidRPr="006122EE" w:rsidRDefault="005F27B0" w:rsidP="0082018A">
      <w:pPr>
        <w:spacing w:line="276" w:lineRule="auto"/>
        <w:rPr>
          <w:lang w:eastAsia="en-US"/>
        </w:rPr>
      </w:pPr>
      <w:r w:rsidRPr="006122EE">
        <w:rPr>
          <w:lang w:eastAsia="en-US"/>
        </w:rPr>
        <w:t xml:space="preserve">Specifically focused on roads, the Road Traffic Act was enacted in 1997 with a view to amend and consolidate the law relating to road traffic and vehicles in Malawi. The Act concentrates on the establishment of the Road Traffic Directorate as a registering and licencing authority for motor vehicles, motor vehicle manufacturers, builders and importers as well as drivers, driving schools and driving instructors. The NTP called for a review of this policy and for a promotion of its enforcement. </w:t>
      </w:r>
    </w:p>
    <w:p w14:paraId="630CE47C" w14:textId="77777777" w:rsidR="005F27B0" w:rsidRPr="006122EE" w:rsidRDefault="005F27B0" w:rsidP="0082018A">
      <w:pPr>
        <w:spacing w:line="276" w:lineRule="auto"/>
        <w:rPr>
          <w:lang w:eastAsia="en-US"/>
        </w:rPr>
      </w:pPr>
      <w:r w:rsidRPr="006122EE">
        <w:rPr>
          <w:lang w:eastAsia="en-US"/>
        </w:rPr>
        <w:t xml:space="preserve">The Malawi Growth and Development Strategy II 2011-2016 (MGDS II), sets the development of an efficient transportation as one of its high priorities. The transportation-specific priority areas focus largely on reducing the costs for road infrastructure, promoting competition between operators, building technical capacity and improving the domestic and cross boarder connectivity. The strategy also promotes the improvement and expansion of the rail infrastructure. Plans to develop an urban rail network for passengers are not included.  </w:t>
      </w:r>
    </w:p>
    <w:p w14:paraId="00A64224" w14:textId="77777777" w:rsidR="005F27B0" w:rsidRPr="006122EE" w:rsidRDefault="005F27B0" w:rsidP="0082018A">
      <w:pPr>
        <w:spacing w:line="276" w:lineRule="auto"/>
        <w:rPr>
          <w:lang w:eastAsia="en-US"/>
        </w:rPr>
      </w:pPr>
      <w:r w:rsidRPr="006122EE">
        <w:rPr>
          <w:lang w:eastAsia="en-US"/>
        </w:rPr>
        <w:t>At the local level, the Urban Structure Plan of Lilongwe City</w:t>
      </w:r>
      <w:r w:rsidRPr="006122EE">
        <w:rPr>
          <w:rStyle w:val="FootnoteReference"/>
          <w:lang w:eastAsia="en-US"/>
        </w:rPr>
        <w:footnoteReference w:id="73"/>
      </w:r>
      <w:r w:rsidRPr="006122EE">
        <w:rPr>
          <w:lang w:eastAsia="en-US"/>
        </w:rPr>
        <w:t xml:space="preserve"> (Lilongwe Plan) acts as the statutory land use plan for the City of Lilongwe. The Lilongwe Plan consists of a statement of policies and proposals together with a plan to be implemented by 2030. In relation to transportation, the plan promotes:</w:t>
      </w:r>
    </w:p>
    <w:p w14:paraId="0544116F" w14:textId="77777777" w:rsidR="005F27B0" w:rsidRPr="00866D96" w:rsidRDefault="005F27B0" w:rsidP="0082018A">
      <w:pPr>
        <w:pStyle w:val="DBulletlevel1"/>
        <w:spacing w:line="276" w:lineRule="auto"/>
        <w:rPr>
          <w:noProof w:val="0"/>
        </w:rPr>
      </w:pPr>
      <w:r w:rsidRPr="00866D96">
        <w:rPr>
          <w:noProof w:val="0"/>
        </w:rPr>
        <w:t>Expansion of traffic capacity in roads where the traffic is expected to increase</w:t>
      </w:r>
      <w:r w:rsidR="00BB3150" w:rsidRPr="00866D96">
        <w:rPr>
          <w:noProof w:val="0"/>
        </w:rPr>
        <w:t>.</w:t>
      </w:r>
    </w:p>
    <w:p w14:paraId="1F5D8533" w14:textId="77777777" w:rsidR="005F27B0" w:rsidRPr="00866D96" w:rsidRDefault="005F27B0" w:rsidP="0082018A">
      <w:pPr>
        <w:pStyle w:val="DBulletlevel1"/>
        <w:spacing w:line="276" w:lineRule="auto"/>
        <w:rPr>
          <w:noProof w:val="0"/>
        </w:rPr>
      </w:pPr>
      <w:r w:rsidRPr="00866D96">
        <w:rPr>
          <w:noProof w:val="0"/>
        </w:rPr>
        <w:t>Improvement of road network, including missing links to smoother traffic movement</w:t>
      </w:r>
      <w:r w:rsidR="00BB3150" w:rsidRPr="00866D96">
        <w:rPr>
          <w:noProof w:val="0"/>
        </w:rPr>
        <w:t>.</w:t>
      </w:r>
    </w:p>
    <w:p w14:paraId="61CBCB80" w14:textId="77777777" w:rsidR="005F27B0" w:rsidRPr="00866D96" w:rsidRDefault="005F27B0" w:rsidP="0082018A">
      <w:pPr>
        <w:pStyle w:val="DBulletlevel1"/>
        <w:spacing w:line="276" w:lineRule="auto"/>
        <w:rPr>
          <w:noProof w:val="0"/>
        </w:rPr>
      </w:pPr>
      <w:r w:rsidRPr="00866D96">
        <w:rPr>
          <w:noProof w:val="0"/>
        </w:rPr>
        <w:t>Improvement of accessibility to community areas by amongst others constructing paved roads</w:t>
      </w:r>
      <w:r w:rsidR="00BB3150" w:rsidRPr="00866D96">
        <w:rPr>
          <w:noProof w:val="0"/>
        </w:rPr>
        <w:t>.</w:t>
      </w:r>
    </w:p>
    <w:p w14:paraId="624AE379" w14:textId="77777777" w:rsidR="005F27B0" w:rsidRPr="00866D96" w:rsidRDefault="005F27B0" w:rsidP="0082018A">
      <w:pPr>
        <w:pStyle w:val="DBulletlevel1"/>
        <w:spacing w:line="276" w:lineRule="auto"/>
        <w:rPr>
          <w:noProof w:val="0"/>
        </w:rPr>
      </w:pPr>
      <w:r w:rsidRPr="00866D96">
        <w:rPr>
          <w:noProof w:val="0"/>
        </w:rPr>
        <w:t>Development of mass transportation with large city buses, bus stops and schedule</w:t>
      </w:r>
      <w:r w:rsidR="00BB3150" w:rsidRPr="00866D96">
        <w:rPr>
          <w:noProof w:val="0"/>
        </w:rPr>
        <w:t>.</w:t>
      </w:r>
    </w:p>
    <w:p w14:paraId="6E0585C0" w14:textId="77777777" w:rsidR="00113514" w:rsidRPr="00866D96" w:rsidRDefault="005F27B0" w:rsidP="0082018A">
      <w:pPr>
        <w:pStyle w:val="DBulletlevel1"/>
        <w:numPr>
          <w:ilvl w:val="0"/>
          <w:numId w:val="0"/>
        </w:numPr>
        <w:spacing w:line="276" w:lineRule="auto"/>
        <w:rPr>
          <w:noProof w:val="0"/>
        </w:rPr>
      </w:pPr>
      <w:r w:rsidRPr="00866D96">
        <w:rPr>
          <w:noProof w:val="0"/>
        </w:rPr>
        <w:t xml:space="preserve">Malawi does not have any laws which </w:t>
      </w:r>
      <w:r w:rsidR="008B0E95" w:rsidRPr="00866D96">
        <w:rPr>
          <w:noProof w:val="0"/>
        </w:rPr>
        <w:t>focus on</w:t>
      </w:r>
      <w:r w:rsidRPr="00866D96">
        <w:rPr>
          <w:noProof w:val="0"/>
        </w:rPr>
        <w:t xml:space="preserve"> urban transport. The Road Traffic Act is the only law that regulates road transportation and it does not </w:t>
      </w:r>
      <w:r w:rsidR="008B0E95" w:rsidRPr="00866D96">
        <w:rPr>
          <w:noProof w:val="0"/>
        </w:rPr>
        <w:t>address</w:t>
      </w:r>
      <w:r w:rsidRPr="00866D96">
        <w:rPr>
          <w:noProof w:val="0"/>
        </w:rPr>
        <w:t xml:space="preserve"> urban transportation. </w:t>
      </w:r>
      <w:r w:rsidR="00113514" w:rsidRPr="00866D96">
        <w:rPr>
          <w:noProof w:val="0"/>
        </w:rPr>
        <w:t>However, Malawi is in the process of developing a National Transport Master Plan (NTMP) to guide the sustainable development of an integrated multi modal transport sector over the period 2017 to 2037</w:t>
      </w:r>
      <w:r w:rsidR="00113514" w:rsidRPr="00866D96">
        <w:rPr>
          <w:rStyle w:val="FootnoteReference"/>
          <w:noProof w:val="0"/>
        </w:rPr>
        <w:footnoteReference w:id="74"/>
      </w:r>
      <w:r w:rsidR="00113514" w:rsidRPr="00866D96">
        <w:rPr>
          <w:noProof w:val="0"/>
        </w:rPr>
        <w:t>. NTMP will identify requirements for the sector in terms of the transport provision required for freight and passenger services under each mode and necessary inter-modal transfer facilities. This will include a prioritized time bound plan for institutional (organizational, policy and regulatory) reform and capacity building in all sub-sectors. Detailed master plans for each sub-sector to meet the requirements will be developed working with the respective agencies and organisations.</w:t>
      </w:r>
    </w:p>
    <w:p w14:paraId="64E90D0F" w14:textId="77777777" w:rsidR="005F27B0" w:rsidRPr="00866D96" w:rsidRDefault="00113514" w:rsidP="0082018A">
      <w:pPr>
        <w:pStyle w:val="DBulletlevel1"/>
        <w:numPr>
          <w:ilvl w:val="0"/>
          <w:numId w:val="0"/>
        </w:numPr>
        <w:spacing w:line="276" w:lineRule="auto"/>
        <w:rPr>
          <w:noProof w:val="0"/>
        </w:rPr>
      </w:pPr>
      <w:r w:rsidRPr="00866D96">
        <w:rPr>
          <w:noProof w:val="0"/>
        </w:rPr>
        <w:t xml:space="preserve">Malawi does have one policy that </w:t>
      </w:r>
      <w:r w:rsidR="006C16D7" w:rsidRPr="00866D96">
        <w:rPr>
          <w:noProof w:val="0"/>
        </w:rPr>
        <w:t xml:space="preserve">focuses indirectly on improving the energy efficiency of Malawi’s motor vehicle fleet. </w:t>
      </w:r>
      <w:r w:rsidR="005F27B0" w:rsidRPr="00866D96">
        <w:rPr>
          <w:noProof w:val="0"/>
        </w:rPr>
        <w:t xml:space="preserve">In 2013, a duty </w:t>
      </w:r>
      <w:r w:rsidRPr="00866D96">
        <w:rPr>
          <w:noProof w:val="0"/>
        </w:rPr>
        <w:t xml:space="preserve">was </w:t>
      </w:r>
      <w:r w:rsidR="005F27B0" w:rsidRPr="00866D96">
        <w:rPr>
          <w:noProof w:val="0"/>
        </w:rPr>
        <w:t xml:space="preserve">levied on the </w:t>
      </w:r>
      <w:r w:rsidR="006C16D7" w:rsidRPr="00866D96">
        <w:rPr>
          <w:noProof w:val="0"/>
        </w:rPr>
        <w:t>cost</w:t>
      </w:r>
      <w:r w:rsidR="005F27B0" w:rsidRPr="00866D96">
        <w:rPr>
          <w:noProof w:val="0"/>
        </w:rPr>
        <w:t xml:space="preserve">, insurance and freight (CIF) of second-hand vehicles </w:t>
      </w:r>
      <w:r w:rsidRPr="00866D96">
        <w:rPr>
          <w:noProof w:val="0"/>
        </w:rPr>
        <w:t>in order</w:t>
      </w:r>
      <w:r w:rsidR="005F27B0" w:rsidRPr="00866D96">
        <w:rPr>
          <w:noProof w:val="0"/>
        </w:rPr>
        <w:t xml:space="preserve"> to reduce the importaiton of old, polluting and inneficient vehicles</w:t>
      </w:r>
      <w:r w:rsidR="005F27B0" w:rsidRPr="00866D96">
        <w:rPr>
          <w:rStyle w:val="FootnoteReference"/>
          <w:noProof w:val="0"/>
        </w:rPr>
        <w:footnoteReference w:id="75"/>
      </w:r>
      <w:r w:rsidR="005F27B0" w:rsidRPr="00866D96">
        <w:rPr>
          <w:noProof w:val="0"/>
        </w:rPr>
        <w:t xml:space="preserve">. </w:t>
      </w:r>
    </w:p>
    <w:p w14:paraId="5BA6F175" w14:textId="77777777" w:rsidR="005F27B0" w:rsidRPr="006122EE" w:rsidRDefault="005F27B0" w:rsidP="0082018A">
      <w:pPr>
        <w:pStyle w:val="BTitle3"/>
        <w:spacing w:line="276" w:lineRule="auto"/>
        <w:rPr>
          <w:noProof w:val="0"/>
          <w:lang w:val="en-GB"/>
        </w:rPr>
      </w:pPr>
      <w:bookmarkStart w:id="285" w:name="_Toc481614918"/>
      <w:r w:rsidRPr="006122EE">
        <w:rPr>
          <w:noProof w:val="0"/>
          <w:lang w:val="en-GB"/>
        </w:rPr>
        <w:t>What is the target for 2030?</w:t>
      </w:r>
      <w:bookmarkEnd w:id="285"/>
    </w:p>
    <w:p w14:paraId="2E89FCC2" w14:textId="77777777" w:rsidR="005F27B0" w:rsidRPr="006122EE" w:rsidRDefault="005F27B0" w:rsidP="0082018A">
      <w:pPr>
        <w:spacing w:line="276" w:lineRule="auto"/>
        <w:rPr>
          <w:lang w:eastAsia="en-US"/>
        </w:rPr>
      </w:pPr>
      <w:r w:rsidRPr="006122EE">
        <w:rPr>
          <w:lang w:eastAsia="en-US"/>
        </w:rPr>
        <w:t>The Global Fuel Economy Initiative (GFEI) is one of the SE4ALL flagship programs with the main objective being to reduce emissions and at least double the efficiency of the global vehicle fleet from an average of 8l/100 km in 2005 to 4l/100 km by 2050. Assuming a linear improvement of the efficiency, this means that by 2015, the average of efficiency should have reached about 7l/100 km and 5.8l/100 km by 2030. The current fuel efficiency of vehicles in the country is unknown but given the high penetration of old and inefficient vehicles it can be assumed that it is well above</w:t>
      </w:r>
      <w:r w:rsidR="009E38D3" w:rsidRPr="006122EE">
        <w:rPr>
          <w:lang w:eastAsia="en-US"/>
        </w:rPr>
        <w:t xml:space="preserve"> the world average. Therefore, </w:t>
      </w:r>
      <w:r w:rsidRPr="006122EE">
        <w:rPr>
          <w:lang w:eastAsia="en-US"/>
        </w:rPr>
        <w:t xml:space="preserve">the implementation of the GFEI target is unrealistic. </w:t>
      </w:r>
    </w:p>
    <w:p w14:paraId="7EB25D7D" w14:textId="77777777" w:rsidR="005F27B0" w:rsidRPr="0014298C" w:rsidRDefault="005F27B0" w:rsidP="0082018A">
      <w:pPr>
        <w:spacing w:line="276" w:lineRule="auto"/>
        <w:rPr>
          <w:lang w:eastAsia="en-US"/>
        </w:rPr>
      </w:pPr>
      <w:r w:rsidRPr="0014298C">
        <w:rPr>
          <w:lang w:eastAsia="en-US"/>
        </w:rPr>
        <w:t xml:space="preserve">The 2030 target therefore is set at less challenging level, specifically to an average of 8l/100 km for all vehicles. An intermediate target is set at 9l/100 km to be completed by 2025. </w:t>
      </w:r>
    </w:p>
    <w:p w14:paraId="1BB97B66" w14:textId="77777777" w:rsidR="005F27B0" w:rsidRPr="006122EE" w:rsidRDefault="005F27B0" w:rsidP="0082018A">
      <w:pPr>
        <w:spacing w:line="276" w:lineRule="auto"/>
        <w:rPr>
          <w:lang w:eastAsia="en-US"/>
        </w:rPr>
      </w:pPr>
      <w:r w:rsidRPr="0014298C">
        <w:rPr>
          <w:lang w:eastAsia="en-US"/>
        </w:rPr>
        <w:t>The targets should be revised, at the latest by end of 2017, based on robust and recent data that are expected from NTMP.</w:t>
      </w:r>
      <w:r w:rsidRPr="006122EE">
        <w:rPr>
          <w:lang w:eastAsia="en-US"/>
        </w:rPr>
        <w:t xml:space="preserve"> Vehicle-specific energy audits for each type of vehicle will be required to estimate the current average energy efficiency of the fleet in Malawi. </w:t>
      </w:r>
    </w:p>
    <w:p w14:paraId="35BFBC9D" w14:textId="77777777" w:rsidR="005F27B0" w:rsidRPr="006122EE" w:rsidRDefault="005F27B0" w:rsidP="0082018A">
      <w:pPr>
        <w:spacing w:line="276" w:lineRule="auto"/>
        <w:rPr>
          <w:lang w:eastAsia="en-US"/>
        </w:rPr>
      </w:pPr>
      <w:r w:rsidRPr="006122EE">
        <w:rPr>
          <w:lang w:eastAsia="en-US"/>
        </w:rPr>
        <w:t>From an economic perspective, the implementation of this target would lead to equivalent cost and energy savings in addition to the climate benefits. Additional benefits would be created from reduced emissions of atmospheric pollutants, such as NOx and particulate matters.</w:t>
      </w:r>
    </w:p>
    <w:p w14:paraId="17B3B498" w14:textId="77777777" w:rsidR="005F27B0" w:rsidRPr="006122EE" w:rsidRDefault="005F27B0" w:rsidP="0082018A">
      <w:pPr>
        <w:spacing w:line="276" w:lineRule="auto"/>
        <w:rPr>
          <w:color w:val="000000"/>
        </w:rPr>
      </w:pPr>
      <w:r w:rsidRPr="006122EE">
        <w:rPr>
          <w:lang w:eastAsia="en-US"/>
        </w:rPr>
        <w:t xml:space="preserve">Transportation involves different modes of transportation and is affected by several factors. The implementation of the fuel efficiency target, requires a set of fuel economy measures, including fiscal measures and incentives, numeric standard, training and awareness raising. These measures are described in section </w:t>
      </w:r>
      <w:r w:rsidRPr="006122EE">
        <w:rPr>
          <w:lang w:eastAsia="en-US"/>
        </w:rPr>
        <w:fldChar w:fldCharType="begin"/>
      </w:r>
      <w:r w:rsidRPr="006122EE">
        <w:rPr>
          <w:lang w:eastAsia="en-US"/>
        </w:rPr>
        <w:instrText xml:space="preserve"> REF _Ref448176462 \r \h </w:instrText>
      </w:r>
      <w:r w:rsidR="0082018A">
        <w:rPr>
          <w:lang w:eastAsia="en-US"/>
        </w:rPr>
        <w:instrText xml:space="preserve"> \* MERGEFORMAT </w:instrText>
      </w:r>
      <w:r w:rsidRPr="006122EE">
        <w:rPr>
          <w:lang w:eastAsia="en-US"/>
        </w:rPr>
      </w:r>
      <w:r w:rsidRPr="006122EE">
        <w:rPr>
          <w:lang w:eastAsia="en-US"/>
        </w:rPr>
        <w:fldChar w:fldCharType="separate"/>
      </w:r>
      <w:r w:rsidR="00866D96">
        <w:rPr>
          <w:lang w:eastAsia="en-US"/>
        </w:rPr>
        <w:t>5.5.1</w:t>
      </w:r>
      <w:r w:rsidRPr="006122EE">
        <w:rPr>
          <w:lang w:eastAsia="en-US"/>
        </w:rPr>
        <w:fldChar w:fldCharType="end"/>
      </w:r>
      <w:r w:rsidRPr="006122EE">
        <w:rPr>
          <w:lang w:eastAsia="en-US"/>
        </w:rPr>
        <w:t>.</w:t>
      </w:r>
    </w:p>
    <w:p w14:paraId="6423F1B9" w14:textId="77777777" w:rsidR="005F27B0" w:rsidRPr="006122EE" w:rsidRDefault="005F27B0" w:rsidP="0082018A">
      <w:pPr>
        <w:pStyle w:val="BTitle3"/>
        <w:spacing w:line="276" w:lineRule="auto"/>
        <w:rPr>
          <w:noProof w:val="0"/>
          <w:lang w:val="en-GB"/>
        </w:rPr>
      </w:pPr>
      <w:bookmarkStart w:id="286" w:name="_Toc481614919"/>
      <w:r w:rsidRPr="006122EE">
        <w:rPr>
          <w:noProof w:val="0"/>
          <w:lang w:val="en-GB"/>
        </w:rPr>
        <w:t>What is the gap between BAU trajectory and the new targets? What are the barriers?</w:t>
      </w:r>
      <w:bookmarkEnd w:id="286"/>
    </w:p>
    <w:p w14:paraId="51FD437D" w14:textId="77777777" w:rsidR="005F27B0" w:rsidRPr="006122EE" w:rsidRDefault="005F27B0" w:rsidP="0082018A">
      <w:pPr>
        <w:pStyle w:val="Style1"/>
        <w:spacing w:line="276" w:lineRule="auto"/>
      </w:pPr>
      <w:r w:rsidRPr="006122EE">
        <w:t>Poor urban planning</w:t>
      </w:r>
    </w:p>
    <w:p w14:paraId="7C12E0DB" w14:textId="77777777" w:rsidR="005F27B0" w:rsidRPr="006122EE" w:rsidRDefault="005F27B0" w:rsidP="0082018A">
      <w:pPr>
        <w:spacing w:line="276" w:lineRule="auto"/>
        <w:rPr>
          <w:lang w:eastAsia="fr-FR"/>
        </w:rPr>
      </w:pPr>
      <w:r w:rsidRPr="006122EE">
        <w:rPr>
          <w:lang w:eastAsia="fr-FR"/>
        </w:rPr>
        <w:t xml:space="preserve">In Malawi, there are no long term town planning or infrastructure development plans for cities. </w:t>
      </w:r>
      <w:r w:rsidRPr="006122EE">
        <w:rPr>
          <w:lang w:eastAsia="fr-FR"/>
        </w:rPr>
        <w:tab/>
        <w:t>Most of the main roads have no road boundaries, making it practically impossible to expand the roads without demolishing existing buildings.</w:t>
      </w:r>
    </w:p>
    <w:p w14:paraId="7B493893" w14:textId="77777777" w:rsidR="005F27B0" w:rsidRPr="006122EE" w:rsidRDefault="005F27B0" w:rsidP="0082018A">
      <w:pPr>
        <w:pStyle w:val="Style1"/>
        <w:spacing w:line="276" w:lineRule="auto"/>
      </w:pPr>
      <w:r w:rsidRPr="006122EE">
        <w:t>High transportation costs and lack of resources to finance the development and maintenance of infrastructure</w:t>
      </w:r>
    </w:p>
    <w:p w14:paraId="430C6BE5" w14:textId="77777777" w:rsidR="005F27B0" w:rsidRPr="006122EE" w:rsidRDefault="005F27B0" w:rsidP="0082018A">
      <w:pPr>
        <w:spacing w:line="276" w:lineRule="auto"/>
      </w:pPr>
      <w:r w:rsidRPr="006122EE">
        <w:t xml:space="preserve">The NTP highlights that the major challenge for transportation sector is the high costs which are amongst the highest in the region. The high costs are associated with the fact that Malawi is a landlocked country with no access to the sea and economic characteristics of the country. For example, due to the negative trade balance of the country, two thirds of the outwards hauls remain empty, making imports more expensive. At the same time the resource to fund sector programmes, remain inadequate.    </w:t>
      </w:r>
    </w:p>
    <w:p w14:paraId="4E93F9D8" w14:textId="77777777" w:rsidR="005F27B0" w:rsidRPr="006122EE" w:rsidRDefault="005F27B0" w:rsidP="0082018A">
      <w:pPr>
        <w:spacing w:line="276" w:lineRule="auto"/>
      </w:pPr>
      <w:r w:rsidRPr="006122EE">
        <w:t>Finance is one of the key pillars for sustainable urban transport. Nevertheless, the financial resources in the country are lacking. In addition, according to MGDS II the construction costs in Malawi are high (i.e. in comparison to other southern and eastern African countries) and the absorptive capacity of the available resources in the road sector are low. As a result, the existing infrastructure is deteriorating and the development of a new one is limited. This has also a negative effect on non-motorised traffic, such as bicycles and walking as the quality of the existing infrastructure is adversely affected by the higher levels of transport. In addition, the provision for pedestrian traffic is negligible.</w:t>
      </w:r>
    </w:p>
    <w:p w14:paraId="1DE4C284" w14:textId="77777777" w:rsidR="005F27B0" w:rsidRPr="006122EE" w:rsidRDefault="005F27B0" w:rsidP="0082018A">
      <w:pPr>
        <w:pStyle w:val="Style1"/>
        <w:spacing w:line="276" w:lineRule="auto"/>
      </w:pPr>
      <w:r w:rsidRPr="006122EE">
        <w:t>Capacity constrains</w:t>
      </w:r>
    </w:p>
    <w:p w14:paraId="6C06FCC5" w14:textId="77777777" w:rsidR="005F27B0" w:rsidRPr="006122EE" w:rsidRDefault="005F27B0" w:rsidP="0082018A">
      <w:pPr>
        <w:spacing w:line="276" w:lineRule="auto"/>
      </w:pPr>
      <w:r w:rsidRPr="006122EE">
        <w:t>There is a multiplicity of actors:</w:t>
      </w:r>
    </w:p>
    <w:p w14:paraId="631C01F5" w14:textId="77777777" w:rsidR="005F27B0" w:rsidRPr="00866D96" w:rsidRDefault="005F27B0" w:rsidP="0082018A">
      <w:pPr>
        <w:pStyle w:val="DBulletlevel1"/>
        <w:spacing w:line="276" w:lineRule="auto"/>
        <w:rPr>
          <w:noProof w:val="0"/>
        </w:rPr>
      </w:pPr>
      <w:r w:rsidRPr="00866D96">
        <w:rPr>
          <w:noProof w:val="0"/>
        </w:rPr>
        <w:t>Ministry of Transport and Public Works</w:t>
      </w:r>
      <w:r w:rsidR="00BB3150" w:rsidRPr="00866D96">
        <w:rPr>
          <w:noProof w:val="0"/>
        </w:rPr>
        <w:t>.</w:t>
      </w:r>
    </w:p>
    <w:p w14:paraId="4483FF87" w14:textId="77777777" w:rsidR="005F27B0" w:rsidRPr="00866D96" w:rsidRDefault="005F27B0" w:rsidP="0082018A">
      <w:pPr>
        <w:pStyle w:val="DBulletlevel1"/>
        <w:spacing w:line="276" w:lineRule="auto"/>
        <w:rPr>
          <w:noProof w:val="0"/>
        </w:rPr>
      </w:pPr>
      <w:r w:rsidRPr="00866D96">
        <w:rPr>
          <w:noProof w:val="0"/>
        </w:rPr>
        <w:t>City Councils</w:t>
      </w:r>
      <w:r w:rsidR="00BB3150" w:rsidRPr="00866D96">
        <w:rPr>
          <w:noProof w:val="0"/>
        </w:rPr>
        <w:t>.</w:t>
      </w:r>
    </w:p>
    <w:p w14:paraId="16EEAA9F" w14:textId="77777777" w:rsidR="005F27B0" w:rsidRPr="00866D96" w:rsidRDefault="005F27B0" w:rsidP="0082018A">
      <w:pPr>
        <w:pStyle w:val="DBulletlevel1"/>
        <w:spacing w:line="276" w:lineRule="auto"/>
        <w:rPr>
          <w:noProof w:val="0"/>
        </w:rPr>
      </w:pPr>
      <w:r w:rsidRPr="00866D96">
        <w:rPr>
          <w:noProof w:val="0"/>
        </w:rPr>
        <w:t>Roads Authority</w:t>
      </w:r>
      <w:r w:rsidR="00BB3150" w:rsidRPr="00866D96">
        <w:rPr>
          <w:noProof w:val="0"/>
        </w:rPr>
        <w:t>.</w:t>
      </w:r>
    </w:p>
    <w:p w14:paraId="5D1461AA" w14:textId="77777777" w:rsidR="005F27B0" w:rsidRPr="00866D96" w:rsidRDefault="005F27B0" w:rsidP="0082018A">
      <w:pPr>
        <w:pStyle w:val="DBulletlevel1"/>
        <w:spacing w:line="276" w:lineRule="auto"/>
        <w:rPr>
          <w:noProof w:val="0"/>
        </w:rPr>
      </w:pPr>
      <w:r w:rsidRPr="00866D96">
        <w:rPr>
          <w:noProof w:val="0"/>
        </w:rPr>
        <w:t>Malawi Traffic Department</w:t>
      </w:r>
      <w:r w:rsidR="00BB3150" w:rsidRPr="00866D96">
        <w:rPr>
          <w:noProof w:val="0"/>
        </w:rPr>
        <w:t>.</w:t>
      </w:r>
    </w:p>
    <w:p w14:paraId="71F390AB" w14:textId="77777777" w:rsidR="005F27B0" w:rsidRPr="00866D96" w:rsidRDefault="005F27B0" w:rsidP="0082018A">
      <w:pPr>
        <w:pStyle w:val="DBulletlevel1"/>
        <w:spacing w:line="276" w:lineRule="auto"/>
        <w:rPr>
          <w:noProof w:val="0"/>
        </w:rPr>
      </w:pPr>
      <w:r w:rsidRPr="00866D96">
        <w:rPr>
          <w:noProof w:val="0"/>
        </w:rPr>
        <w:t>Others involved in transport</w:t>
      </w:r>
      <w:r w:rsidR="00BB3150" w:rsidRPr="00866D96">
        <w:rPr>
          <w:noProof w:val="0"/>
        </w:rPr>
        <w:t>.</w:t>
      </w:r>
    </w:p>
    <w:p w14:paraId="2801EF20" w14:textId="77777777" w:rsidR="005F27B0" w:rsidRPr="006122EE" w:rsidRDefault="005F27B0" w:rsidP="0082018A">
      <w:pPr>
        <w:spacing w:line="276" w:lineRule="auto"/>
      </w:pPr>
      <w:r w:rsidRPr="006122EE">
        <w:t>The Join Transport Sector Review (JTSR) annual meetings that have been established by the NTP bring different authorities (as well as actors from the private sector) together to monitor the performance of the sector. Nevertheless, as stipulated by the NTP, there are capacity constrains in all key instructions, including the private sector.</w:t>
      </w:r>
    </w:p>
    <w:p w14:paraId="6D3F73F7" w14:textId="77777777" w:rsidR="005F27B0" w:rsidRPr="006122EE" w:rsidRDefault="005F27B0" w:rsidP="0082018A">
      <w:pPr>
        <w:pStyle w:val="Style1"/>
        <w:spacing w:line="276" w:lineRule="auto"/>
      </w:pPr>
      <w:r w:rsidRPr="006122EE">
        <w:t>Travel Demand Management (TDM)</w:t>
      </w:r>
    </w:p>
    <w:p w14:paraId="3650C6AA" w14:textId="77777777" w:rsidR="005F27B0" w:rsidRPr="006122EE" w:rsidRDefault="005F27B0" w:rsidP="0082018A">
      <w:pPr>
        <w:spacing w:line="276" w:lineRule="auto"/>
      </w:pPr>
      <w:r w:rsidRPr="006122EE">
        <w:t xml:space="preserve">There is a lack of capacity and paucity of a deeper knowledge on how to tackle transport challenges in the country. The achievement of sustainable urban transport cannot be accomplished without implementing some TDM measures (e.g. parking fees, subsidising public transportation cost for employees, workplace travel plans etc.). For instance, the City Council of Lilongwe would greatly benefit by employing TDM as the Local Authority has no funds to build new roads that are required to accommodate growth in traffic. </w:t>
      </w:r>
    </w:p>
    <w:p w14:paraId="53E22C04" w14:textId="77777777" w:rsidR="005F27B0" w:rsidRPr="006122EE" w:rsidRDefault="005F27B0" w:rsidP="0082018A">
      <w:pPr>
        <w:spacing w:line="276" w:lineRule="auto"/>
      </w:pPr>
      <w:r w:rsidRPr="006122EE">
        <w:t>In addition, as stipulated by the MGDS II, currently the connectivity among the various modes of transportation is poor.</w:t>
      </w:r>
    </w:p>
    <w:p w14:paraId="26BF8180" w14:textId="77777777" w:rsidR="005F27B0" w:rsidRPr="006122EE" w:rsidRDefault="005F27B0" w:rsidP="0082018A">
      <w:pPr>
        <w:pStyle w:val="Style1"/>
        <w:spacing w:line="276" w:lineRule="auto"/>
      </w:pPr>
      <w:r w:rsidRPr="006122EE">
        <w:t>Inadequate regulatory regime</w:t>
      </w:r>
    </w:p>
    <w:p w14:paraId="1BD7E27F" w14:textId="77777777" w:rsidR="00664F82" w:rsidRPr="006122EE" w:rsidRDefault="005F27B0" w:rsidP="0082018A">
      <w:pPr>
        <w:spacing w:line="276" w:lineRule="auto"/>
        <w:rPr>
          <w:highlight w:val="green"/>
        </w:rPr>
      </w:pPr>
      <w:r w:rsidRPr="006122EE">
        <w:t xml:space="preserve">Overall, there are no well-planned long term urban transport policies. The </w:t>
      </w:r>
      <w:r w:rsidRPr="006122EE">
        <w:rPr>
          <w:lang w:eastAsia="en-US"/>
        </w:rPr>
        <w:t>Lilongwe Plan focuses on the system efficiency of urban transportation in the city (e.g. mixed land use), with a limited number of measures to promote travel efficiency. For example, the promotion of a mass transport system is promoted without indicating the financial means or other concrete measures (e.g. capacity building, material specification, planning tools etc.). In addition, there are no policy measures to promote vehicle efficiency. The weak regulatory environment as well as the poor management and enforcement of concession agreements, is recognised by the NTP</w:t>
      </w:r>
      <w:r w:rsidR="00BB3150" w:rsidRPr="006122EE">
        <w:rPr>
          <w:lang w:eastAsia="en-US"/>
        </w:rPr>
        <w:t>.</w:t>
      </w:r>
      <w:r w:rsidR="00024F70" w:rsidRPr="006122EE">
        <w:rPr>
          <w:lang w:eastAsia="en-US"/>
        </w:rPr>
        <w:t xml:space="preserve"> </w:t>
      </w:r>
    </w:p>
    <w:p w14:paraId="4418D131" w14:textId="77777777" w:rsidR="00DF291C" w:rsidRPr="00866D96" w:rsidRDefault="00DF291C" w:rsidP="0082018A">
      <w:pPr>
        <w:pStyle w:val="BTitle20"/>
        <w:rPr>
          <w:noProof w:val="0"/>
          <w:color w:val="FF0000"/>
        </w:rPr>
      </w:pPr>
      <w:bookmarkStart w:id="287" w:name="_Toc441675576"/>
      <w:bookmarkStart w:id="288" w:name="_Toc441762629"/>
      <w:bookmarkStart w:id="289" w:name="_Toc441675578"/>
      <w:bookmarkStart w:id="290" w:name="_Toc441762631"/>
      <w:bookmarkStart w:id="291" w:name="_Toc441675579"/>
      <w:bookmarkStart w:id="292" w:name="_Toc441762632"/>
      <w:bookmarkStart w:id="293" w:name="_Toc441675581"/>
      <w:bookmarkStart w:id="294" w:name="_Toc441762634"/>
      <w:bookmarkStart w:id="295" w:name="_Toc441675582"/>
      <w:bookmarkStart w:id="296" w:name="_Toc441762635"/>
      <w:bookmarkStart w:id="297" w:name="_Toc441675584"/>
      <w:bookmarkStart w:id="298" w:name="_Toc441762637"/>
      <w:bookmarkStart w:id="299" w:name="_Toc441675585"/>
      <w:bookmarkStart w:id="300" w:name="_Toc441762638"/>
      <w:bookmarkStart w:id="301" w:name="_Toc441675587"/>
      <w:bookmarkStart w:id="302" w:name="_Toc441762640"/>
      <w:bookmarkStart w:id="303" w:name="_Toc441675588"/>
      <w:bookmarkStart w:id="304" w:name="_Toc441762641"/>
      <w:bookmarkStart w:id="305" w:name="_Toc441675591"/>
      <w:bookmarkStart w:id="306" w:name="_Toc441762644"/>
      <w:bookmarkStart w:id="307" w:name="_Toc441675592"/>
      <w:bookmarkStart w:id="308" w:name="_Toc441762645"/>
      <w:bookmarkStart w:id="309" w:name="_Toc441675600"/>
      <w:bookmarkStart w:id="310" w:name="_Toc441762653"/>
      <w:bookmarkStart w:id="311" w:name="_Toc441675601"/>
      <w:bookmarkStart w:id="312" w:name="_Toc441762654"/>
      <w:bookmarkStart w:id="313" w:name="_Toc441675602"/>
      <w:bookmarkStart w:id="314" w:name="_Toc441762655"/>
      <w:bookmarkStart w:id="315" w:name="_Toc441675603"/>
      <w:bookmarkStart w:id="316" w:name="_Toc441762656"/>
      <w:bookmarkStart w:id="317" w:name="_Toc441675604"/>
      <w:bookmarkStart w:id="318" w:name="_Toc441762657"/>
      <w:bookmarkStart w:id="319" w:name="_Toc441675607"/>
      <w:bookmarkStart w:id="320" w:name="_Toc441762660"/>
      <w:bookmarkStart w:id="321" w:name="_Toc441675608"/>
      <w:bookmarkStart w:id="322" w:name="_Toc441762661"/>
      <w:bookmarkStart w:id="323" w:name="_Toc441675609"/>
      <w:bookmarkStart w:id="324" w:name="_Toc441762662"/>
      <w:bookmarkStart w:id="325" w:name="_Toc441675611"/>
      <w:bookmarkStart w:id="326" w:name="_Toc441762664"/>
      <w:bookmarkStart w:id="327" w:name="_Toc441675612"/>
      <w:bookmarkStart w:id="328" w:name="_Toc441762665"/>
      <w:bookmarkStart w:id="329" w:name="_Toc441675613"/>
      <w:bookmarkStart w:id="330" w:name="_Toc441762666"/>
      <w:bookmarkStart w:id="331" w:name="_Toc441675615"/>
      <w:bookmarkStart w:id="332" w:name="_Toc441762668"/>
      <w:bookmarkStart w:id="333" w:name="_Toc441675616"/>
      <w:bookmarkStart w:id="334" w:name="_Toc441762669"/>
      <w:bookmarkStart w:id="335" w:name="_Toc441675617"/>
      <w:bookmarkStart w:id="336" w:name="_Toc441762670"/>
      <w:bookmarkStart w:id="337" w:name="_Toc441675618"/>
      <w:bookmarkStart w:id="338" w:name="_Toc441762671"/>
      <w:bookmarkStart w:id="339" w:name="_Toc441675619"/>
      <w:bookmarkStart w:id="340" w:name="_Toc441762672"/>
      <w:bookmarkStart w:id="341" w:name="_Toc441675620"/>
      <w:bookmarkStart w:id="342" w:name="_Toc441762673"/>
      <w:bookmarkStart w:id="343" w:name="_Toc441675621"/>
      <w:bookmarkStart w:id="344" w:name="_Toc441762674"/>
      <w:bookmarkStart w:id="345" w:name="_Toc441675622"/>
      <w:bookmarkStart w:id="346" w:name="_Toc441762675"/>
      <w:bookmarkStart w:id="347" w:name="_Toc441675623"/>
      <w:bookmarkStart w:id="348" w:name="_Toc441762676"/>
      <w:bookmarkStart w:id="349" w:name="_Toc441675624"/>
      <w:bookmarkStart w:id="350" w:name="_Toc441762677"/>
      <w:bookmarkStart w:id="351" w:name="_Toc441675626"/>
      <w:bookmarkStart w:id="352" w:name="_Toc441762679"/>
      <w:bookmarkStart w:id="353" w:name="_Toc441223622"/>
      <w:bookmarkStart w:id="354" w:name="_Toc441224198"/>
      <w:bookmarkStart w:id="355" w:name="_Toc441675628"/>
      <w:bookmarkStart w:id="356" w:name="_Toc441762681"/>
      <w:bookmarkStart w:id="357" w:name="_Toc441223624"/>
      <w:bookmarkStart w:id="358" w:name="_Toc441224200"/>
      <w:bookmarkStart w:id="359" w:name="_Toc441223625"/>
      <w:bookmarkStart w:id="360" w:name="_Toc441224201"/>
      <w:bookmarkStart w:id="361" w:name="_Toc441223626"/>
      <w:bookmarkStart w:id="362" w:name="_Toc441224202"/>
      <w:bookmarkStart w:id="363" w:name="_Toc441223627"/>
      <w:bookmarkStart w:id="364" w:name="_Toc441224203"/>
      <w:bookmarkStart w:id="365" w:name="_Toc441223628"/>
      <w:bookmarkStart w:id="366" w:name="_Toc441224204"/>
      <w:bookmarkStart w:id="367" w:name="_Toc441223629"/>
      <w:bookmarkStart w:id="368" w:name="_Toc441224205"/>
      <w:bookmarkStart w:id="369" w:name="_Toc441223630"/>
      <w:bookmarkStart w:id="370" w:name="_Toc441224206"/>
      <w:bookmarkStart w:id="371" w:name="_Toc441675629"/>
      <w:bookmarkStart w:id="372" w:name="_Toc441762682"/>
      <w:bookmarkStart w:id="373" w:name="_Toc441675630"/>
      <w:bookmarkStart w:id="374" w:name="_Toc441762683"/>
      <w:bookmarkStart w:id="375" w:name="_Toc441675632"/>
      <w:bookmarkStart w:id="376" w:name="_Toc441762685"/>
      <w:bookmarkStart w:id="377" w:name="_Toc441675633"/>
      <w:bookmarkStart w:id="378" w:name="_Toc441762686"/>
      <w:bookmarkStart w:id="379" w:name="_Toc441675634"/>
      <w:bookmarkStart w:id="380" w:name="_Toc441762687"/>
      <w:bookmarkStart w:id="381" w:name="_Toc441675642"/>
      <w:bookmarkStart w:id="382" w:name="_Toc441762695"/>
      <w:bookmarkStart w:id="383" w:name="_Toc441675645"/>
      <w:bookmarkStart w:id="384" w:name="_Toc441762698"/>
      <w:bookmarkStart w:id="385" w:name="_Toc441675646"/>
      <w:bookmarkStart w:id="386" w:name="_Toc441762699"/>
      <w:bookmarkStart w:id="387" w:name="_Toc441675647"/>
      <w:bookmarkStart w:id="388" w:name="_Toc441762700"/>
      <w:bookmarkStart w:id="389" w:name="_Toc441675648"/>
      <w:bookmarkStart w:id="390" w:name="_Toc441762701"/>
      <w:bookmarkStart w:id="391" w:name="_Toc441675649"/>
      <w:bookmarkStart w:id="392" w:name="_Toc441762702"/>
      <w:bookmarkStart w:id="393" w:name="_Toc448426470"/>
      <w:bookmarkStart w:id="394" w:name="_Toc447217039"/>
      <w:bookmarkStart w:id="395" w:name="_Toc481614920"/>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866D96">
        <w:rPr>
          <w:noProof w:val="0"/>
        </w:rPr>
        <w:t>Relevant nexus targets – by 2030</w:t>
      </w:r>
      <w:bookmarkEnd w:id="394"/>
      <w:bookmarkEnd w:id="395"/>
    </w:p>
    <w:p w14:paraId="071E2157" w14:textId="77777777" w:rsidR="00DF291C" w:rsidRPr="006122EE" w:rsidRDefault="00DF291C" w:rsidP="0082018A">
      <w:pPr>
        <w:spacing w:line="276" w:lineRule="auto"/>
        <w:rPr>
          <w:rFonts w:cs="Arial"/>
          <w:szCs w:val="20"/>
        </w:rPr>
      </w:pPr>
      <w:r w:rsidRPr="006122EE">
        <w:t xml:space="preserve">Energy interacts with and influences important areas of development such as water, food, human health, and gender. The Sustainable Development Goals (SDGs) for energy seem to be interwoven with other goals such as water and sanitation, food security and nutrition, health, and gender. The relevant nexus targets are summarized in </w:t>
      </w:r>
      <w:r w:rsidR="00603DE0" w:rsidRPr="006122EE">
        <w:fldChar w:fldCharType="begin"/>
      </w:r>
      <w:r w:rsidR="00603DE0" w:rsidRPr="006122EE">
        <w:instrText xml:space="preserve"> REF _Ref447210400 \h </w:instrText>
      </w:r>
      <w:r w:rsidR="00394528" w:rsidRPr="006122EE">
        <w:instrText xml:space="preserve"> \* MERGEFORMAT </w:instrText>
      </w:r>
      <w:r w:rsidR="00603DE0" w:rsidRPr="006122EE">
        <w:fldChar w:fldCharType="separate"/>
      </w:r>
      <w:r w:rsidR="00866D96" w:rsidRPr="006122EE">
        <w:t xml:space="preserve">Table </w:t>
      </w:r>
      <w:r w:rsidR="00866D96">
        <w:t>32</w:t>
      </w:r>
      <w:r w:rsidR="00603DE0" w:rsidRPr="006122EE">
        <w:fldChar w:fldCharType="end"/>
      </w:r>
      <w:r w:rsidRPr="006122EE">
        <w:t xml:space="preserve"> below.</w:t>
      </w:r>
    </w:p>
    <w:p w14:paraId="29F1C699" w14:textId="77777777" w:rsidR="00DF291C" w:rsidRPr="006122EE" w:rsidRDefault="00DF291C" w:rsidP="00DF291C">
      <w:pPr>
        <w:pStyle w:val="Caption"/>
      </w:pPr>
      <w:bookmarkStart w:id="396" w:name="_Ref447210400"/>
      <w:bookmarkStart w:id="397" w:name="_Toc447217166"/>
      <w:bookmarkStart w:id="398" w:name="_Toc481615017"/>
      <w:r w:rsidRPr="006122EE">
        <w:t xml:space="preserve">Table </w:t>
      </w:r>
      <w:r w:rsidR="00DC7D8C">
        <w:fldChar w:fldCharType="begin"/>
      </w:r>
      <w:r w:rsidR="00DC7D8C">
        <w:instrText xml:space="preserve"> SEQ Table \* ARABIC </w:instrText>
      </w:r>
      <w:r w:rsidR="00DC7D8C">
        <w:fldChar w:fldCharType="separate"/>
      </w:r>
      <w:r w:rsidR="00866D96">
        <w:rPr>
          <w:noProof/>
        </w:rPr>
        <w:t>32</w:t>
      </w:r>
      <w:r w:rsidR="00DC7D8C">
        <w:rPr>
          <w:noProof/>
        </w:rPr>
        <w:fldChar w:fldCharType="end"/>
      </w:r>
      <w:bookmarkEnd w:id="396"/>
      <w:r w:rsidRPr="006122EE">
        <w:t>: Relevant nexus targets</w:t>
      </w:r>
      <w:bookmarkEnd w:id="397"/>
      <w:bookmarkEnd w:id="398"/>
    </w:p>
    <w:tbl>
      <w:tblPr>
        <w:tblStyle w:val="GridTable5Dark-Accent31"/>
        <w:tblW w:w="0" w:type="auto"/>
        <w:tblCellMar>
          <w:top w:w="57" w:type="dxa"/>
          <w:bottom w:w="57" w:type="dxa"/>
        </w:tblCellMar>
        <w:tblLook w:val="04A0" w:firstRow="1" w:lastRow="0" w:firstColumn="1" w:lastColumn="0" w:noHBand="0" w:noVBand="1"/>
      </w:tblPr>
      <w:tblGrid>
        <w:gridCol w:w="917"/>
        <w:gridCol w:w="3898"/>
        <w:gridCol w:w="4579"/>
      </w:tblGrid>
      <w:tr w:rsidR="00DF291C" w:rsidRPr="006122EE" w14:paraId="38982B77" w14:textId="77777777" w:rsidTr="00B500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B5C93B4" w14:textId="77777777" w:rsidR="00DF291C" w:rsidRPr="006122EE" w:rsidRDefault="00DF291C" w:rsidP="00DB1210">
            <w:pPr>
              <w:jc w:val="left"/>
              <w:rPr>
                <w:rFonts w:cs="Arial"/>
                <w:b w:val="0"/>
                <w:szCs w:val="20"/>
              </w:rPr>
            </w:pPr>
            <w:r w:rsidRPr="006122EE">
              <w:rPr>
                <w:rFonts w:cs="Arial"/>
                <w:szCs w:val="20"/>
              </w:rPr>
              <w:t>Nexus</w:t>
            </w:r>
          </w:p>
        </w:tc>
        <w:tc>
          <w:tcPr>
            <w:tcW w:w="3898" w:type="dxa"/>
          </w:tcPr>
          <w:p w14:paraId="699B3C1A" w14:textId="77777777" w:rsidR="00DF291C" w:rsidRPr="006122EE" w:rsidRDefault="00DF291C" w:rsidP="00DB1210">
            <w:pPr>
              <w:jc w:val="left"/>
              <w:cnfStyle w:val="100000000000" w:firstRow="1" w:lastRow="0" w:firstColumn="0" w:lastColumn="0" w:oddVBand="0" w:evenVBand="0" w:oddHBand="0" w:evenHBand="0" w:firstRowFirstColumn="0" w:firstRowLastColumn="0" w:lastRowFirstColumn="0" w:lastRowLastColumn="0"/>
              <w:rPr>
                <w:rFonts w:cs="Arial"/>
                <w:b w:val="0"/>
                <w:szCs w:val="20"/>
              </w:rPr>
            </w:pPr>
            <w:r w:rsidRPr="006122EE">
              <w:rPr>
                <w:rFonts w:cs="Arial"/>
                <w:szCs w:val="20"/>
              </w:rPr>
              <w:t xml:space="preserve">Issues </w:t>
            </w:r>
          </w:p>
        </w:tc>
        <w:tc>
          <w:tcPr>
            <w:tcW w:w="4579" w:type="dxa"/>
          </w:tcPr>
          <w:p w14:paraId="035D97E0" w14:textId="77777777" w:rsidR="00DF291C" w:rsidRPr="006122EE" w:rsidRDefault="00DF291C" w:rsidP="00DB1210">
            <w:pPr>
              <w:jc w:val="left"/>
              <w:cnfStyle w:val="100000000000" w:firstRow="1" w:lastRow="0" w:firstColumn="0" w:lastColumn="0" w:oddVBand="0" w:evenVBand="0" w:oddHBand="0" w:evenHBand="0" w:firstRowFirstColumn="0" w:firstRowLastColumn="0" w:lastRowFirstColumn="0" w:lastRowLastColumn="0"/>
              <w:rPr>
                <w:rFonts w:cs="Arial"/>
                <w:b w:val="0"/>
                <w:szCs w:val="20"/>
              </w:rPr>
            </w:pPr>
            <w:r w:rsidRPr="006122EE">
              <w:rPr>
                <w:rFonts w:cs="Arial"/>
                <w:szCs w:val="20"/>
              </w:rPr>
              <w:t>Targets</w:t>
            </w:r>
          </w:p>
        </w:tc>
      </w:tr>
      <w:tr w:rsidR="00DF291C" w:rsidRPr="006122EE" w14:paraId="39BCC35F" w14:textId="77777777" w:rsidTr="00394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84BD2" w14:textId="77777777" w:rsidR="00DF291C" w:rsidRPr="006122EE" w:rsidRDefault="00DF291C" w:rsidP="00DB1210">
            <w:pPr>
              <w:jc w:val="left"/>
              <w:rPr>
                <w:rFonts w:cs="Arial"/>
                <w:szCs w:val="20"/>
              </w:rPr>
            </w:pPr>
            <w:r w:rsidRPr="006122EE">
              <w:rPr>
                <w:rFonts w:cs="Arial"/>
                <w:szCs w:val="20"/>
              </w:rPr>
              <w:t>Water</w:t>
            </w:r>
          </w:p>
        </w:tc>
        <w:tc>
          <w:tcPr>
            <w:tcW w:w="3898" w:type="dxa"/>
          </w:tcPr>
          <w:p w14:paraId="5F119E17" w14:textId="77777777" w:rsidR="00DF291C" w:rsidRPr="006122EE" w:rsidRDefault="00DF291C">
            <w:pPr>
              <w:pStyle w:val="ListParagraph"/>
              <w:numPr>
                <w:ilvl w:val="0"/>
                <w:numId w:val="38"/>
              </w:numPr>
              <w:spacing w:before="0" w:after="0" w:line="240" w:lineRule="auto"/>
              <w:ind w:left="360"/>
              <w:jc w:val="left"/>
              <w:cnfStyle w:val="000000100000" w:firstRow="0" w:lastRow="0" w:firstColumn="0" w:lastColumn="0" w:oddVBand="0" w:evenVBand="0" w:oddHBand="1" w:evenHBand="0" w:firstRowFirstColumn="0" w:firstRowLastColumn="0" w:lastRowFirstColumn="0" w:lastRowLastColumn="0"/>
            </w:pPr>
            <w:r w:rsidRPr="006122EE">
              <w:rPr>
                <w:rFonts w:cs="Arial"/>
                <w:szCs w:val="20"/>
              </w:rPr>
              <w:t>Vulnerability of hydro</w:t>
            </w:r>
            <w:r w:rsidR="00C11383" w:rsidRPr="006122EE">
              <w:rPr>
                <w:rFonts w:cs="Arial"/>
                <w:szCs w:val="20"/>
              </w:rPr>
              <w:t xml:space="preserve"> </w:t>
            </w:r>
            <w:r w:rsidRPr="006122EE">
              <w:rPr>
                <w:rFonts w:cs="Arial"/>
                <w:szCs w:val="20"/>
              </w:rPr>
              <w:t>supplies to climate change impacts as corroborated by recent prolonged drought</w:t>
            </w:r>
            <w:r w:rsidR="00C11383" w:rsidRPr="006122EE">
              <w:rPr>
                <w:rFonts w:cs="Arial"/>
                <w:szCs w:val="20"/>
              </w:rPr>
              <w:t>. Chnaging rainfall patterns might also affect bioenergy resources.</w:t>
            </w:r>
            <w:r w:rsidR="00BB3150" w:rsidRPr="006122EE">
              <w:rPr>
                <w:rFonts w:cs="Arial"/>
                <w:szCs w:val="20"/>
              </w:rPr>
              <w:t xml:space="preserve"> </w:t>
            </w:r>
            <w:r w:rsidRPr="006122EE">
              <w:t>Coordination of water planning and management</w:t>
            </w:r>
          </w:p>
        </w:tc>
        <w:tc>
          <w:tcPr>
            <w:tcW w:w="4579" w:type="dxa"/>
          </w:tcPr>
          <w:p w14:paraId="41EABA49" w14:textId="77777777" w:rsidR="00DF291C" w:rsidRPr="006122EE" w:rsidRDefault="00DF291C" w:rsidP="00726AF3">
            <w:pPr>
              <w:pStyle w:val="ListParagraph"/>
              <w:numPr>
                <w:ilvl w:val="0"/>
                <w:numId w:val="33"/>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By 2018 all water bodies are assessed for climate vulnerability while adaptation measures are identified, costed and adopted</w:t>
            </w:r>
          </w:p>
          <w:p w14:paraId="64F96BDE" w14:textId="77777777" w:rsidR="00DF291C" w:rsidRPr="006122EE" w:rsidRDefault="00DF291C" w:rsidP="00726AF3">
            <w:pPr>
              <w:pStyle w:val="ListParagraph"/>
              <w:numPr>
                <w:ilvl w:val="0"/>
                <w:numId w:val="33"/>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 xml:space="preserve">Risk mitigation measures are addressed by 2030 </w:t>
            </w:r>
          </w:p>
          <w:p w14:paraId="4FAC0C53" w14:textId="77777777" w:rsidR="00DF291C" w:rsidRPr="006122EE" w:rsidRDefault="00DF291C" w:rsidP="00726AF3">
            <w:pPr>
              <w:pStyle w:val="ListParagraph"/>
              <w:numPr>
                <w:ilvl w:val="0"/>
                <w:numId w:val="33"/>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6122EE">
              <w:rPr>
                <w:rFonts w:eastAsia="Arial" w:cs="Arial"/>
                <w:color w:val="000000"/>
              </w:rPr>
              <w:t>Conduct feasibility studies by 2020 on all dams to install turbines for small hydropower generation</w:t>
            </w:r>
          </w:p>
          <w:p w14:paraId="16619C7A" w14:textId="77777777" w:rsidR="00DF291C" w:rsidRPr="006122EE" w:rsidRDefault="00DF291C" w:rsidP="00726AF3">
            <w:pPr>
              <w:pStyle w:val="ListParagraph"/>
              <w:numPr>
                <w:ilvl w:val="0"/>
                <w:numId w:val="33"/>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eastAsia="Arial" w:cs="Arial"/>
                <w:color w:val="000000"/>
              </w:rPr>
              <w:t>Water harvesting methods are adopted</w:t>
            </w:r>
          </w:p>
        </w:tc>
      </w:tr>
      <w:tr w:rsidR="00DF291C" w:rsidRPr="006122EE" w14:paraId="47E54A82" w14:textId="77777777" w:rsidTr="00394528">
        <w:tc>
          <w:tcPr>
            <w:cnfStyle w:val="001000000000" w:firstRow="0" w:lastRow="0" w:firstColumn="1" w:lastColumn="0" w:oddVBand="0" w:evenVBand="0" w:oddHBand="0" w:evenHBand="0" w:firstRowFirstColumn="0" w:firstRowLastColumn="0" w:lastRowFirstColumn="0" w:lastRowLastColumn="0"/>
            <w:tcW w:w="0" w:type="auto"/>
          </w:tcPr>
          <w:p w14:paraId="199FDF31" w14:textId="77777777" w:rsidR="00DF291C" w:rsidRPr="006122EE" w:rsidRDefault="00DF291C" w:rsidP="00DB1210">
            <w:pPr>
              <w:jc w:val="left"/>
              <w:rPr>
                <w:rFonts w:cs="Arial"/>
                <w:szCs w:val="20"/>
              </w:rPr>
            </w:pPr>
            <w:r w:rsidRPr="006122EE">
              <w:rPr>
                <w:rFonts w:cs="Arial"/>
                <w:szCs w:val="20"/>
              </w:rPr>
              <w:t>Health</w:t>
            </w:r>
          </w:p>
        </w:tc>
        <w:tc>
          <w:tcPr>
            <w:tcW w:w="3898" w:type="dxa"/>
          </w:tcPr>
          <w:p w14:paraId="25421FD0" w14:textId="77777777" w:rsidR="00DF291C" w:rsidRPr="006122EE" w:rsidRDefault="00DF291C" w:rsidP="00DB1210">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eastAsia="Arial" w:cs="Arial"/>
                <w:color w:val="000000"/>
              </w:rPr>
              <w:t>Burning of firewood and other solid biomass material impacts on indoor air quality affecting women and children in the process causing health complications</w:t>
            </w:r>
          </w:p>
        </w:tc>
        <w:tc>
          <w:tcPr>
            <w:tcW w:w="4579" w:type="dxa"/>
          </w:tcPr>
          <w:p w14:paraId="74CB2D33" w14:textId="77777777" w:rsidR="00DF291C" w:rsidRPr="006122EE" w:rsidRDefault="00DF291C" w:rsidP="00920550">
            <w:pPr>
              <w:pStyle w:val="ListParagraph"/>
              <w:numPr>
                <w:ilvl w:val="0"/>
                <w:numId w:val="33"/>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eastAsia="Arial" w:cs="Arial"/>
                <w:color w:val="000000"/>
              </w:rPr>
              <w:t>By 2030, 80% of households have moved to WHO standards IT-3 (15 fine particulate matter) in improving indoor air quality</w:t>
            </w:r>
          </w:p>
          <w:p w14:paraId="3191F809" w14:textId="77777777" w:rsidR="00DF291C" w:rsidRPr="006122EE" w:rsidRDefault="00DF291C" w:rsidP="00920550">
            <w:pPr>
              <w:pStyle w:val="ListParagraph"/>
              <w:numPr>
                <w:ilvl w:val="0"/>
                <w:numId w:val="33"/>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eastAsia="Arial" w:cs="Arial"/>
                <w:color w:val="000000"/>
              </w:rPr>
              <w:t>All gas suppliers adhere to safety standards by 2016 and cylinders regularly tested</w:t>
            </w:r>
          </w:p>
        </w:tc>
      </w:tr>
      <w:tr w:rsidR="00DF291C" w:rsidRPr="006122EE" w14:paraId="4C062CE5" w14:textId="77777777" w:rsidTr="00394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6843E1" w14:textId="77777777" w:rsidR="00DF291C" w:rsidRPr="006122EE" w:rsidRDefault="00DF291C" w:rsidP="00DB1210">
            <w:pPr>
              <w:jc w:val="left"/>
              <w:rPr>
                <w:rFonts w:cs="Arial"/>
                <w:szCs w:val="20"/>
              </w:rPr>
            </w:pPr>
            <w:r w:rsidRPr="006122EE">
              <w:rPr>
                <w:rFonts w:cs="Arial"/>
                <w:szCs w:val="20"/>
              </w:rPr>
              <w:t>Food</w:t>
            </w:r>
          </w:p>
        </w:tc>
        <w:tc>
          <w:tcPr>
            <w:tcW w:w="3898" w:type="dxa"/>
          </w:tcPr>
          <w:p w14:paraId="3500E2BC" w14:textId="77777777" w:rsidR="00DF291C" w:rsidRPr="006122EE" w:rsidRDefault="00DF291C" w:rsidP="00920550">
            <w:pPr>
              <w:pStyle w:val="ListParagraph"/>
              <w:numPr>
                <w:ilvl w:val="0"/>
                <w:numId w:val="35"/>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cs="Arial"/>
                <w:szCs w:val="20"/>
              </w:rPr>
              <w:t>Land-use competition is increasing with increasing populations and mandatory biofuels blending</w:t>
            </w:r>
            <w:r w:rsidR="00C11383" w:rsidRPr="006122EE">
              <w:rPr>
                <w:rFonts w:cs="Arial"/>
                <w:szCs w:val="20"/>
              </w:rPr>
              <w:t>.</w:t>
            </w:r>
          </w:p>
          <w:p w14:paraId="7E071185" w14:textId="77777777" w:rsidR="00C11383" w:rsidRPr="006122EE" w:rsidRDefault="00C11383" w:rsidP="00C11383">
            <w:pPr>
              <w:pStyle w:val="ListParagraph"/>
              <w:spacing w:before="0" w:after="0" w:line="240" w:lineRule="auto"/>
              <w:ind w:left="36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7038299A" w14:textId="77777777" w:rsidR="00DF291C" w:rsidRPr="006122EE" w:rsidRDefault="00DF291C" w:rsidP="00920550">
            <w:pPr>
              <w:pStyle w:val="ListParagraph"/>
              <w:numPr>
                <w:ilvl w:val="0"/>
                <w:numId w:val="35"/>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cs="Arial"/>
                <w:szCs w:val="20"/>
              </w:rPr>
              <w:t>With more mechanisation and expansion of irrigation, energy consumption in agriculture is increasing</w:t>
            </w:r>
          </w:p>
        </w:tc>
        <w:tc>
          <w:tcPr>
            <w:tcW w:w="4579" w:type="dxa"/>
          </w:tcPr>
          <w:p w14:paraId="35A0F6C0" w14:textId="77777777" w:rsidR="00DF291C" w:rsidRPr="006122EE" w:rsidRDefault="00DF291C" w:rsidP="00920550">
            <w:pPr>
              <w:pStyle w:val="ListParagraph"/>
              <w:numPr>
                <w:ilvl w:val="0"/>
                <w:numId w:val="34"/>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cs="Arial"/>
                <w:szCs w:val="20"/>
              </w:rPr>
              <w:t xml:space="preserve">Beyond 2018, net expansion of land use for bio-energy (such as sugar cane growing) production will only be considered if it will not </w:t>
            </w:r>
            <w:r w:rsidR="00394528" w:rsidRPr="006122EE">
              <w:rPr>
                <w:rFonts w:cs="Arial"/>
                <w:szCs w:val="20"/>
              </w:rPr>
              <w:t>affect food security objectives</w:t>
            </w:r>
          </w:p>
          <w:p w14:paraId="7B26FCB0" w14:textId="77777777" w:rsidR="00DF291C" w:rsidRPr="006122EE" w:rsidRDefault="00DF291C" w:rsidP="00920550">
            <w:pPr>
              <w:pStyle w:val="ListParagraph"/>
              <w:numPr>
                <w:ilvl w:val="0"/>
                <w:numId w:val="34"/>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cs="Arial"/>
                <w:szCs w:val="20"/>
              </w:rPr>
              <w:t>As government embarks on extensive irrigation, solar and wind technologies are prioritised for pumping energy. Efficient irrig</w:t>
            </w:r>
            <w:r w:rsidR="00394528" w:rsidRPr="006122EE">
              <w:rPr>
                <w:rFonts w:cs="Arial"/>
                <w:szCs w:val="20"/>
              </w:rPr>
              <w:t>ation technologies are adopted</w:t>
            </w:r>
          </w:p>
          <w:p w14:paraId="21B8DD15" w14:textId="77777777" w:rsidR="00DF291C" w:rsidRPr="006122EE" w:rsidRDefault="00DF291C" w:rsidP="00920550">
            <w:pPr>
              <w:pStyle w:val="ListParagraph"/>
              <w:numPr>
                <w:ilvl w:val="0"/>
                <w:numId w:val="34"/>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6122EE">
              <w:rPr>
                <w:rFonts w:cs="Arial"/>
                <w:szCs w:val="20"/>
              </w:rPr>
              <w:t>Waste to energy is pursued vigorously</w:t>
            </w:r>
          </w:p>
        </w:tc>
      </w:tr>
      <w:tr w:rsidR="00DF291C" w:rsidRPr="006122EE" w14:paraId="3F515949" w14:textId="77777777" w:rsidTr="00394528">
        <w:tc>
          <w:tcPr>
            <w:cnfStyle w:val="001000000000" w:firstRow="0" w:lastRow="0" w:firstColumn="1" w:lastColumn="0" w:oddVBand="0" w:evenVBand="0" w:oddHBand="0" w:evenHBand="0" w:firstRowFirstColumn="0" w:firstRowLastColumn="0" w:lastRowFirstColumn="0" w:lastRowLastColumn="0"/>
            <w:tcW w:w="0" w:type="auto"/>
          </w:tcPr>
          <w:p w14:paraId="23F524DC" w14:textId="77777777" w:rsidR="00DF291C" w:rsidRPr="006122EE" w:rsidRDefault="00DF291C" w:rsidP="00DB1210">
            <w:pPr>
              <w:jc w:val="left"/>
              <w:rPr>
                <w:rFonts w:cs="Arial"/>
                <w:szCs w:val="20"/>
              </w:rPr>
            </w:pPr>
            <w:r w:rsidRPr="006122EE">
              <w:rPr>
                <w:rFonts w:cs="Arial"/>
                <w:szCs w:val="20"/>
              </w:rPr>
              <w:t>Gender</w:t>
            </w:r>
          </w:p>
        </w:tc>
        <w:tc>
          <w:tcPr>
            <w:tcW w:w="3898" w:type="dxa"/>
          </w:tcPr>
          <w:p w14:paraId="0E93D355" w14:textId="77777777" w:rsidR="00DF291C" w:rsidRPr="006122EE" w:rsidRDefault="00DF291C" w:rsidP="00DB1210">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 xml:space="preserve">In the </w:t>
            </w:r>
            <w:r w:rsidR="00394528" w:rsidRPr="006122EE">
              <w:rPr>
                <w:rFonts w:cs="Arial"/>
                <w:szCs w:val="20"/>
              </w:rPr>
              <w:t>Malawian</w:t>
            </w:r>
            <w:r w:rsidRPr="006122EE">
              <w:rPr>
                <w:rFonts w:cs="Arial"/>
                <w:szCs w:val="20"/>
              </w:rPr>
              <w:t xml:space="preserve"> context, energy interventions impact women and men differently. </w:t>
            </w:r>
          </w:p>
          <w:p w14:paraId="581F1B53" w14:textId="77777777" w:rsidR="00DF291C" w:rsidRPr="006122EE" w:rsidRDefault="00DF291C" w:rsidP="00920550">
            <w:pPr>
              <w:pStyle w:val="ListParagraph"/>
              <w:numPr>
                <w:ilvl w:val="0"/>
                <w:numId w:val="3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 xml:space="preserve">Women have the task to sourcing primary energy for </w:t>
            </w:r>
            <w:r w:rsidR="00A3305A" w:rsidRPr="006122EE">
              <w:rPr>
                <w:rFonts w:cs="Arial"/>
                <w:szCs w:val="20"/>
              </w:rPr>
              <w:t>cooking,</w:t>
            </w:r>
            <w:r w:rsidRPr="006122EE">
              <w:rPr>
                <w:rFonts w:cs="Arial"/>
                <w:szCs w:val="20"/>
              </w:rPr>
              <w:t xml:space="preserve"> thus eating away their time and often threatening their security. Poor lighting affects education, whilst poor indoor air quality affects women mainly as they prepare food.</w:t>
            </w:r>
          </w:p>
          <w:p w14:paraId="3C6828E0" w14:textId="77777777" w:rsidR="00DF291C" w:rsidRPr="006122EE" w:rsidRDefault="00DF291C" w:rsidP="00920550">
            <w:pPr>
              <w:pStyle w:val="ListParagraph"/>
              <w:numPr>
                <w:ilvl w:val="0"/>
                <w:numId w:val="3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The high up-front costs of access to modern energy services may impact more severely female-headed households, often over-represented in low income quintiles.</w:t>
            </w:r>
          </w:p>
        </w:tc>
        <w:tc>
          <w:tcPr>
            <w:tcW w:w="4579" w:type="dxa"/>
          </w:tcPr>
          <w:p w14:paraId="02F4FE88" w14:textId="77777777" w:rsidR="00DF291C" w:rsidRPr="006122EE" w:rsidRDefault="00DF291C" w:rsidP="00920550">
            <w:pPr>
              <w:pStyle w:val="ListParagraph"/>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Reduce the time women spend collecting firewood in rural areas by 80% by 2030</w:t>
            </w:r>
          </w:p>
          <w:p w14:paraId="0BD56321" w14:textId="77777777" w:rsidR="00DF291C" w:rsidRPr="006122EE" w:rsidRDefault="00DF291C" w:rsidP="00920550">
            <w:pPr>
              <w:pStyle w:val="ListParagraph"/>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Capacitate women in manufacturing improved cook-stoves and constructing bio-digesters</w:t>
            </w:r>
          </w:p>
          <w:p w14:paraId="1448938E" w14:textId="77777777" w:rsidR="00DF291C" w:rsidRPr="006122EE" w:rsidRDefault="00DF291C" w:rsidP="00920550">
            <w:pPr>
              <w:pStyle w:val="ListParagraph"/>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6122EE">
              <w:rPr>
                <w:rFonts w:cs="Arial"/>
                <w:szCs w:val="20"/>
              </w:rPr>
              <w:t>Promote the girl child to study science subjects to enhance their opportunities of working in the energy sector</w:t>
            </w:r>
          </w:p>
        </w:tc>
      </w:tr>
    </w:tbl>
    <w:p w14:paraId="2EDB24A4" w14:textId="77777777" w:rsidR="00DF291C" w:rsidRPr="006122EE" w:rsidRDefault="00DF291C" w:rsidP="00DF291C">
      <w:pPr>
        <w:rPr>
          <w:lang w:eastAsia="en-US"/>
        </w:rPr>
      </w:pPr>
    </w:p>
    <w:p w14:paraId="281984F1" w14:textId="77777777" w:rsidR="00F537BD" w:rsidRPr="00866D96" w:rsidRDefault="00CB3F5C" w:rsidP="006E363C">
      <w:pPr>
        <w:pStyle w:val="APageheading"/>
        <w:rPr>
          <w:noProof w:val="0"/>
        </w:rPr>
      </w:pPr>
      <w:bookmarkStart w:id="399" w:name="_Toc481614921"/>
      <w:r w:rsidRPr="00866D96">
        <w:rPr>
          <w:noProof w:val="0"/>
        </w:rPr>
        <w:t xml:space="preserve">PART II – </w:t>
      </w:r>
      <w:r w:rsidR="00716788" w:rsidRPr="00866D96">
        <w:rPr>
          <w:noProof w:val="0"/>
        </w:rPr>
        <w:t>Priority Action Areas</w:t>
      </w:r>
      <w:bookmarkEnd w:id="399"/>
    </w:p>
    <w:p w14:paraId="760DD176" w14:textId="77777777" w:rsidR="00B509DD" w:rsidRPr="00866D96" w:rsidRDefault="00B509DD" w:rsidP="0082018A">
      <w:pPr>
        <w:pStyle w:val="BTitle20"/>
        <w:rPr>
          <w:noProof w:val="0"/>
        </w:rPr>
      </w:pPr>
      <w:bookmarkStart w:id="400" w:name="_Toc481614922"/>
      <w:bookmarkStart w:id="401" w:name="_Toc437268392"/>
      <w:r w:rsidRPr="00866D96">
        <w:rPr>
          <w:noProof w:val="0"/>
        </w:rPr>
        <w:t>Energy access – Cooking</w:t>
      </w:r>
      <w:bookmarkEnd w:id="400"/>
      <w:r w:rsidRPr="00866D96">
        <w:rPr>
          <w:noProof w:val="0"/>
        </w:rPr>
        <w:t xml:space="preserve"> </w:t>
      </w:r>
    </w:p>
    <w:bookmarkEnd w:id="401"/>
    <w:p w14:paraId="0B2999C0" w14:textId="77777777" w:rsidR="00B509DD" w:rsidRPr="00866D96" w:rsidRDefault="00B509DD" w:rsidP="0082018A">
      <w:pPr>
        <w:pStyle w:val="BTitle3"/>
        <w:spacing w:line="276" w:lineRule="auto"/>
        <w:rPr>
          <w:noProof w:val="0"/>
          <w:lang w:val="en-GB"/>
        </w:rPr>
      </w:pPr>
      <w:r w:rsidRPr="00866D96">
        <w:rPr>
          <w:noProof w:val="0"/>
          <w:lang w:val="en-GB"/>
        </w:rPr>
        <w:tab/>
      </w:r>
      <w:bookmarkStart w:id="402" w:name="_Toc481614923"/>
      <w:r w:rsidRPr="00866D96">
        <w:rPr>
          <w:noProof w:val="0"/>
          <w:lang w:val="en-GB"/>
        </w:rPr>
        <w:t>What are the actions and funding levels needed to achieve the overarching objective in the field of energy access - cooking?</w:t>
      </w:r>
      <w:bookmarkEnd w:id="402"/>
      <w:r w:rsidRPr="00866D96">
        <w:rPr>
          <w:noProof w:val="0"/>
          <w:lang w:val="en-GB"/>
        </w:rPr>
        <w:t xml:space="preserve">  </w:t>
      </w:r>
    </w:p>
    <w:p w14:paraId="55FC1438" w14:textId="77777777" w:rsidR="00B509DD" w:rsidRPr="006122EE" w:rsidRDefault="00B509DD" w:rsidP="0082018A">
      <w:pPr>
        <w:pStyle w:val="Style1"/>
        <w:spacing w:line="276" w:lineRule="auto"/>
      </w:pPr>
      <w:r w:rsidRPr="006122EE">
        <w:t xml:space="preserve">Biomass </w:t>
      </w:r>
      <w:r w:rsidR="00327C0A" w:rsidRPr="006122EE">
        <w:t>s</w:t>
      </w:r>
      <w:r w:rsidRPr="006122EE">
        <w:t xml:space="preserve">upply </w:t>
      </w:r>
      <w:r w:rsidR="00327C0A" w:rsidRPr="006122EE">
        <w:t>i</w:t>
      </w:r>
      <w:r w:rsidRPr="006122EE">
        <w:t>ntervention</w:t>
      </w:r>
    </w:p>
    <w:p w14:paraId="42A08E65" w14:textId="77777777" w:rsidR="00B509DD" w:rsidRPr="006122EE" w:rsidRDefault="00162DFB" w:rsidP="0082018A">
      <w:pPr>
        <w:spacing w:line="276" w:lineRule="auto"/>
      </w:pPr>
      <w:r>
        <w:t xml:space="preserve">The supply of biomass for cooking </w:t>
      </w:r>
      <w:r w:rsidR="00B509DD" w:rsidRPr="006122EE">
        <w:t xml:space="preserve">is </w:t>
      </w:r>
      <w:r>
        <w:t xml:space="preserve">being </w:t>
      </w:r>
      <w:r w:rsidR="00B509DD" w:rsidRPr="006122EE">
        <w:t xml:space="preserve">threatened by </w:t>
      </w:r>
      <w:r>
        <w:t>the increasing demand from an increasing</w:t>
      </w:r>
      <w:r w:rsidR="00B509DD" w:rsidRPr="006122EE">
        <w:t xml:space="preserve"> population as well as </w:t>
      </w:r>
      <w:r>
        <w:t xml:space="preserve">by the </w:t>
      </w:r>
      <w:r w:rsidR="00150E4A" w:rsidRPr="006122EE">
        <w:t>incr</w:t>
      </w:r>
      <w:r w:rsidR="00150E4A">
        <w:t xml:space="preserve">eased </w:t>
      </w:r>
      <w:r w:rsidR="00150E4A" w:rsidRPr="006122EE">
        <w:t>clearing</w:t>
      </w:r>
      <w:r w:rsidR="00B509DD" w:rsidRPr="006122EE">
        <w:t xml:space="preserve"> of land for agriculture.</w:t>
      </w:r>
      <w:r w:rsidR="00150E4A">
        <w:t xml:space="preserve"> At the same time, there are institutional issues with regard to managing the supply of biomass and enforcing biomass-related regulations. The Department of Forestry </w:t>
      </w:r>
      <w:r w:rsidR="001B637B">
        <w:t xml:space="preserve">(MOF) </w:t>
      </w:r>
      <w:r w:rsidR="00150E4A">
        <w:t>is in charge of managing Malawi’s forests and forest products, but e</w:t>
      </w:r>
      <w:r>
        <w:t>nsuring an adequate</w:t>
      </w:r>
      <w:r w:rsidR="00B509DD" w:rsidRPr="006122EE">
        <w:t xml:space="preserve"> supply </w:t>
      </w:r>
      <w:r>
        <w:t xml:space="preserve">of biomass as an energy fuel </w:t>
      </w:r>
      <w:r w:rsidR="00150E4A">
        <w:t xml:space="preserve">has </w:t>
      </w:r>
      <w:r w:rsidR="00B509DD" w:rsidRPr="006122EE">
        <w:t>not</w:t>
      </w:r>
      <w:r w:rsidR="00150E4A">
        <w:t xml:space="preserve"> been a part of its mission. At the same time, the Department of Energy Affairs (DOEA) is charged with establishing energy policy but has no authority over the use and management of forests and forest products. </w:t>
      </w:r>
      <w:r w:rsidR="00394630" w:rsidRPr="006122EE">
        <w:t xml:space="preserve">The </w:t>
      </w:r>
      <w:r w:rsidR="00150E4A">
        <w:t>missions of the two departments, which are both under</w:t>
      </w:r>
      <w:r w:rsidR="001B637B">
        <w:t xml:space="preserve"> the Ministry of Natural Resources, Energy and Mining</w:t>
      </w:r>
      <w:r w:rsidR="00150E4A">
        <w:t>,</w:t>
      </w:r>
      <w:r w:rsidR="00394630" w:rsidRPr="006122EE">
        <w:t xml:space="preserve"> </w:t>
      </w:r>
      <w:r w:rsidR="00B509DD" w:rsidRPr="006122EE">
        <w:t>are intert</w:t>
      </w:r>
      <w:r w:rsidR="00150E4A">
        <w:t xml:space="preserve">wined and their respective roles need to be clarified. </w:t>
      </w:r>
      <w:r w:rsidR="00394630" w:rsidRPr="006122EE">
        <w:t>A more coordinated</w:t>
      </w:r>
      <w:r w:rsidR="00A41C3E" w:rsidRPr="006122EE">
        <w:t xml:space="preserve"> </w:t>
      </w:r>
      <w:r w:rsidR="00B509DD" w:rsidRPr="006122EE">
        <w:t xml:space="preserve">effort </w:t>
      </w:r>
      <w:r w:rsidR="00394630" w:rsidRPr="006122EE">
        <w:t xml:space="preserve">will be pursued </w:t>
      </w:r>
      <w:r w:rsidR="001B637B" w:rsidRPr="006122EE">
        <w:t>by the</w:t>
      </w:r>
      <w:r w:rsidR="00B509DD" w:rsidRPr="006122EE">
        <w:t xml:space="preserve"> </w:t>
      </w:r>
      <w:r w:rsidR="00150E4A">
        <w:t>DOEA</w:t>
      </w:r>
      <w:r w:rsidR="00B509DD" w:rsidRPr="006122EE">
        <w:t xml:space="preserve"> </w:t>
      </w:r>
      <w:r w:rsidR="00394630" w:rsidRPr="006122EE">
        <w:t xml:space="preserve">and the </w:t>
      </w:r>
      <w:r w:rsidR="00150E4A">
        <w:t>DOF</w:t>
      </w:r>
      <w:r w:rsidR="00394630" w:rsidRPr="006122EE">
        <w:t xml:space="preserve"> </w:t>
      </w:r>
      <w:r w:rsidR="00B509DD" w:rsidRPr="006122EE">
        <w:t xml:space="preserve">to </w:t>
      </w:r>
      <w:r w:rsidR="00394630" w:rsidRPr="006122EE">
        <w:t xml:space="preserve">increase </w:t>
      </w:r>
      <w:r w:rsidR="00B509DD" w:rsidRPr="006122EE">
        <w:t>the up</w:t>
      </w:r>
      <w:r w:rsidR="00394630" w:rsidRPr="006122EE">
        <w:t>-</w:t>
      </w:r>
      <w:r w:rsidR="00B509DD" w:rsidRPr="006122EE">
        <w:t xml:space="preserve">stream </w:t>
      </w:r>
      <w:r w:rsidR="00394630" w:rsidRPr="006122EE">
        <w:t xml:space="preserve">supply of </w:t>
      </w:r>
      <w:r w:rsidR="00B509DD" w:rsidRPr="006122EE">
        <w:t>biomass</w:t>
      </w:r>
      <w:r w:rsidR="00A41C3E" w:rsidRPr="006122EE">
        <w:t>.</w:t>
      </w:r>
      <w:r w:rsidR="00B509DD" w:rsidRPr="006122EE">
        <w:t xml:space="preserve"> </w:t>
      </w:r>
      <w:r w:rsidR="00150E4A">
        <w:t xml:space="preserve">The coordinated approach will need to address improved efficiency in the use of biomass (through </w:t>
      </w:r>
      <w:r w:rsidR="00046C00">
        <w:t>efficient cook stoves) and preserving a sustainable supply of biomass through controls on forest clearing for agriculture</w:t>
      </w:r>
    </w:p>
    <w:p w14:paraId="2483A1AB" w14:textId="77777777" w:rsidR="00B509DD" w:rsidRPr="006122EE" w:rsidRDefault="00B509DD" w:rsidP="0082018A">
      <w:pPr>
        <w:pStyle w:val="Style1"/>
        <w:spacing w:line="276" w:lineRule="auto"/>
      </w:pPr>
      <w:r w:rsidRPr="006122EE">
        <w:t xml:space="preserve">Transformative </w:t>
      </w:r>
      <w:r w:rsidR="00327C0A" w:rsidRPr="006122EE">
        <w:t>a</w:t>
      </w:r>
      <w:r w:rsidRPr="006122EE">
        <w:t xml:space="preserve">wareness </w:t>
      </w:r>
      <w:r w:rsidR="00327C0A" w:rsidRPr="006122EE">
        <w:t>c</w:t>
      </w:r>
      <w:r w:rsidRPr="006122EE">
        <w:t xml:space="preserve">ampaign on </w:t>
      </w:r>
      <w:r w:rsidR="00327C0A" w:rsidRPr="006122EE">
        <w:t xml:space="preserve">clean cook stoves and </w:t>
      </w:r>
      <w:r w:rsidRPr="006122EE">
        <w:t xml:space="preserve">alternative </w:t>
      </w:r>
      <w:r w:rsidR="00327C0A" w:rsidRPr="006122EE">
        <w:t xml:space="preserve">cooking technologies </w:t>
      </w:r>
    </w:p>
    <w:p w14:paraId="68DDE2F4" w14:textId="77777777" w:rsidR="00B509DD" w:rsidRPr="006122EE" w:rsidRDefault="00B509DD" w:rsidP="0082018A">
      <w:pPr>
        <w:spacing w:line="276" w:lineRule="auto"/>
      </w:pPr>
      <w:r w:rsidRPr="006122EE">
        <w:t xml:space="preserve">There are many alternative sources of energy and efficient energy technologies which the Malawian population can </w:t>
      </w:r>
      <w:r w:rsidR="00327C0A" w:rsidRPr="006122EE">
        <w:t xml:space="preserve">use </w:t>
      </w:r>
      <w:r w:rsidRPr="006122EE">
        <w:t xml:space="preserve">to reduce the burden on </w:t>
      </w:r>
      <w:r w:rsidR="00327C0A" w:rsidRPr="006122EE">
        <w:t xml:space="preserve">the nation’s </w:t>
      </w:r>
      <w:r w:rsidRPr="006122EE">
        <w:t>biomass supply. These alternative</w:t>
      </w:r>
      <w:r w:rsidR="00327C0A" w:rsidRPr="006122EE">
        <w:t>s</w:t>
      </w:r>
      <w:r w:rsidRPr="006122EE">
        <w:t xml:space="preserve"> include biogas, biomass briqu</w:t>
      </w:r>
      <w:r w:rsidR="00C80C34" w:rsidRPr="006122EE">
        <w:t xml:space="preserve">ettes, bamboo, pellets, </w:t>
      </w:r>
      <w:r w:rsidR="00327C0A" w:rsidRPr="006122EE">
        <w:t xml:space="preserve">solar energy, </w:t>
      </w:r>
      <w:r w:rsidR="00C80C34" w:rsidRPr="006122EE">
        <w:t>LPG</w:t>
      </w:r>
      <w:r w:rsidR="00327C0A" w:rsidRPr="006122EE">
        <w:t xml:space="preserve"> and</w:t>
      </w:r>
      <w:r w:rsidRPr="006122EE">
        <w:t xml:space="preserve"> gel fuel</w:t>
      </w:r>
      <w:r w:rsidR="00327C0A" w:rsidRPr="006122EE">
        <w:t>. LPG is a particularly viable alternative</w:t>
      </w:r>
      <w:r w:rsidR="001B637B">
        <w:t xml:space="preserve"> for households, particularly in urban and peri-urban areas</w:t>
      </w:r>
      <w:r w:rsidR="00327C0A" w:rsidRPr="006122EE">
        <w:t>, as discussed below</w:t>
      </w:r>
      <w:r w:rsidRPr="006122EE">
        <w:t xml:space="preserve">. The </w:t>
      </w:r>
      <w:r w:rsidR="001B637B">
        <w:t>use</w:t>
      </w:r>
      <w:r w:rsidRPr="006122EE">
        <w:t xml:space="preserve"> of these alternatives is very low </w:t>
      </w:r>
      <w:r w:rsidR="001B637B">
        <w:t xml:space="preserve">at the present time </w:t>
      </w:r>
      <w:r w:rsidRPr="006122EE">
        <w:t>due</w:t>
      </w:r>
      <w:r w:rsidR="006A55FA">
        <w:t xml:space="preserve"> mainly</w:t>
      </w:r>
      <w:r w:rsidRPr="006122EE">
        <w:t xml:space="preserve"> to </w:t>
      </w:r>
      <w:r w:rsidR="006A55FA">
        <w:t xml:space="preserve">their </w:t>
      </w:r>
      <w:r w:rsidR="001B637B">
        <w:t xml:space="preserve">relatively </w:t>
      </w:r>
      <w:r w:rsidR="006A55FA">
        <w:t>high</w:t>
      </w:r>
      <w:r w:rsidR="00C80C34" w:rsidRPr="006122EE">
        <w:t xml:space="preserve"> prices</w:t>
      </w:r>
      <w:r w:rsidR="001B637B">
        <w:t xml:space="preserve"> compared to biomass</w:t>
      </w:r>
      <w:r w:rsidRPr="006122EE">
        <w:t xml:space="preserve">. </w:t>
      </w:r>
      <w:r w:rsidR="00C80C34" w:rsidRPr="006122EE">
        <w:t>The</w:t>
      </w:r>
      <w:r w:rsidRPr="006122EE">
        <w:t xml:space="preserve"> Government </w:t>
      </w:r>
      <w:r w:rsidR="00C80C34" w:rsidRPr="006122EE">
        <w:t>will</w:t>
      </w:r>
      <w:r w:rsidRPr="006122EE">
        <w:t xml:space="preserve"> encourage </w:t>
      </w:r>
      <w:r w:rsidR="001B637B">
        <w:t xml:space="preserve">and support </w:t>
      </w:r>
      <w:r w:rsidRPr="006122EE">
        <w:t>private</w:t>
      </w:r>
      <w:r w:rsidR="001B637B">
        <w:t xml:space="preserve"> companies and entrepreneurs</w:t>
      </w:r>
      <w:r w:rsidRPr="006122EE">
        <w:t xml:space="preserve"> </w:t>
      </w:r>
      <w:r w:rsidR="00C80C34" w:rsidRPr="006122EE">
        <w:t xml:space="preserve">to enter the business of providing </w:t>
      </w:r>
      <w:r w:rsidRPr="006122EE">
        <w:t xml:space="preserve">these energy alternatives. The </w:t>
      </w:r>
      <w:r w:rsidR="001B637B">
        <w:t>DOEA</w:t>
      </w:r>
      <w:r w:rsidRPr="006122EE">
        <w:t xml:space="preserve"> </w:t>
      </w:r>
      <w:r w:rsidR="00C80C34" w:rsidRPr="006122EE">
        <w:t>will</w:t>
      </w:r>
      <w:r w:rsidRPr="006122EE">
        <w:t xml:space="preserve"> work together with the Ministry of Finance, Malawi Revenue Authority and Malawi Trade Investment Centre to incentivise </w:t>
      </w:r>
      <w:r w:rsidR="001B637B">
        <w:t>private firms and provide a clear policy framework, potentially involving the establishment of LPG concessional areas</w:t>
      </w:r>
      <w:r w:rsidRPr="006122EE">
        <w:t xml:space="preserve">. The  </w:t>
      </w:r>
      <w:r w:rsidR="0079323E">
        <w:t>DOEA</w:t>
      </w:r>
      <w:r w:rsidRPr="006122EE">
        <w:t xml:space="preserve"> </w:t>
      </w:r>
      <w:r w:rsidR="00C80C34" w:rsidRPr="006122EE">
        <w:t>will</w:t>
      </w:r>
      <w:r w:rsidR="0079323E">
        <w:t xml:space="preserve"> also</w:t>
      </w:r>
      <w:r w:rsidRPr="006122EE">
        <w:t xml:space="preserve"> </w:t>
      </w:r>
      <w:r w:rsidR="00327C0A" w:rsidRPr="006122EE">
        <w:t>prepare a recommended set of</w:t>
      </w:r>
      <w:r w:rsidRPr="006122EE">
        <w:t xml:space="preserve"> interventions to assist the poor households in the urban </w:t>
      </w:r>
      <w:r w:rsidR="0079323E">
        <w:t xml:space="preserve">and peri-urban </w:t>
      </w:r>
      <w:r w:rsidRPr="006122EE">
        <w:t xml:space="preserve">areas </w:t>
      </w:r>
      <w:r w:rsidR="00327C0A" w:rsidRPr="006122EE">
        <w:t xml:space="preserve">with </w:t>
      </w:r>
      <w:r w:rsidRPr="006122EE">
        <w:t xml:space="preserve">access </w:t>
      </w:r>
      <w:r w:rsidR="00327C0A" w:rsidRPr="006122EE">
        <w:t xml:space="preserve">to </w:t>
      </w:r>
      <w:r w:rsidRPr="006122EE">
        <w:t xml:space="preserve">efficient </w:t>
      </w:r>
      <w:r w:rsidR="00327C0A" w:rsidRPr="006122EE">
        <w:t>wood</w:t>
      </w:r>
      <w:r w:rsidR="0079323E">
        <w:t xml:space="preserve"> and charcoal stoves. This will also be done in rural areas but the uptake of the efficient stoves can occur much more quickly in and near cities. The DOEA’s effort</w:t>
      </w:r>
      <w:r w:rsidRPr="006122EE">
        <w:t xml:space="preserve"> </w:t>
      </w:r>
      <w:r w:rsidR="00C80C34" w:rsidRPr="006122EE">
        <w:t>will</w:t>
      </w:r>
      <w:r w:rsidRPr="006122EE">
        <w:t xml:space="preserve"> be done in collaboration with NGOS that </w:t>
      </w:r>
      <w:r w:rsidR="0079323E">
        <w:t>have already been working o</w:t>
      </w:r>
      <w:r w:rsidRPr="006122EE">
        <w:t xml:space="preserve">n the provision of efficient wood and charcoal stoves. </w:t>
      </w:r>
      <w:r w:rsidR="00327C0A" w:rsidRPr="006122EE">
        <w:t>In addition, the</w:t>
      </w:r>
      <w:r w:rsidRPr="006122EE">
        <w:t xml:space="preserve"> </w:t>
      </w:r>
      <w:r w:rsidR="0079323E">
        <w:t>DOEA</w:t>
      </w:r>
      <w:r w:rsidRPr="006122EE">
        <w:t xml:space="preserve"> and ESCOM </w:t>
      </w:r>
      <w:r w:rsidR="0044492E" w:rsidRPr="006122EE">
        <w:t xml:space="preserve">will </w:t>
      </w:r>
      <w:r w:rsidRPr="006122EE">
        <w:t xml:space="preserve">carry out a campaign on the use of electricity for cooking. A comparative cost analysis study by UNDP (2007) showed that </w:t>
      </w:r>
      <w:r w:rsidR="0079323E">
        <w:t>electricity is the cheapest cooking fuel</w:t>
      </w:r>
      <w:r w:rsidR="00327C0A" w:rsidRPr="006122EE">
        <w:t>,</w:t>
      </w:r>
      <w:r w:rsidRPr="006122EE">
        <w:t xml:space="preserve"> followed by firewood </w:t>
      </w:r>
      <w:r w:rsidR="0079323E">
        <w:t>in</w:t>
      </w:r>
      <w:r w:rsidRPr="006122EE">
        <w:t xml:space="preserve"> improved </w:t>
      </w:r>
      <w:r w:rsidR="00327C0A" w:rsidRPr="006122EE">
        <w:t xml:space="preserve">cook </w:t>
      </w:r>
      <w:r w:rsidRPr="006122EE">
        <w:t>stove</w:t>
      </w:r>
      <w:r w:rsidR="00327C0A" w:rsidRPr="006122EE">
        <w:t>s</w:t>
      </w:r>
      <w:r w:rsidRPr="006122EE">
        <w:t>, Chitetezo Mbaula</w:t>
      </w:r>
      <w:r w:rsidR="00327C0A" w:rsidRPr="006122EE">
        <w:t>,</w:t>
      </w:r>
      <w:r w:rsidRPr="006122EE">
        <w:t xml:space="preserve"> LPG</w:t>
      </w:r>
      <w:r w:rsidR="00327C0A" w:rsidRPr="006122EE">
        <w:t>,</w:t>
      </w:r>
      <w:r w:rsidRPr="006122EE">
        <w:t xml:space="preserve"> and gel fuel stoves were </w:t>
      </w:r>
      <w:r w:rsidR="00327C0A" w:rsidRPr="006122EE">
        <w:t xml:space="preserve">next </w:t>
      </w:r>
      <w:r w:rsidR="0079323E">
        <w:t>cheapest</w:t>
      </w:r>
      <w:r w:rsidR="00327C0A" w:rsidRPr="006122EE">
        <w:t xml:space="preserve"> alternatives.</w:t>
      </w:r>
      <w:r w:rsidR="0079323E">
        <w:t xml:space="preserve"> </w:t>
      </w:r>
    </w:p>
    <w:p w14:paraId="23588F92" w14:textId="77777777" w:rsidR="00321CA6" w:rsidRPr="006122EE" w:rsidRDefault="00CC217A" w:rsidP="0082018A">
      <w:pPr>
        <w:pStyle w:val="Style1"/>
        <w:spacing w:line="276" w:lineRule="auto"/>
      </w:pPr>
      <w:r w:rsidRPr="006122EE">
        <w:t>Support implementation of</w:t>
      </w:r>
      <w:r w:rsidR="00321CA6" w:rsidRPr="006122EE">
        <w:t xml:space="preserve"> efficient </w:t>
      </w:r>
      <w:r w:rsidRPr="006122EE">
        <w:t>biomass cook stove initiatives</w:t>
      </w:r>
    </w:p>
    <w:p w14:paraId="1788A138" w14:textId="77777777" w:rsidR="00321CA6" w:rsidRPr="006122EE" w:rsidRDefault="005638BF" w:rsidP="0082018A">
      <w:pPr>
        <w:spacing w:line="276" w:lineRule="auto"/>
        <w:rPr>
          <w:color w:val="auto"/>
        </w:rPr>
      </w:pPr>
      <w:r>
        <w:rPr>
          <w:color w:val="auto"/>
        </w:rPr>
        <w:t>The expanded use of efficient cook stoves</w:t>
      </w:r>
      <w:r w:rsidR="00321CA6" w:rsidRPr="006122EE">
        <w:rPr>
          <w:color w:val="auto"/>
        </w:rPr>
        <w:t xml:space="preserve"> </w:t>
      </w:r>
      <w:r>
        <w:rPr>
          <w:color w:val="auto"/>
        </w:rPr>
        <w:t xml:space="preserve">will lead </w:t>
      </w:r>
      <w:r w:rsidR="00321CA6" w:rsidRPr="006122EE">
        <w:rPr>
          <w:color w:val="auto"/>
        </w:rPr>
        <w:t xml:space="preserve">to </w:t>
      </w:r>
      <w:r>
        <w:rPr>
          <w:color w:val="auto"/>
        </w:rPr>
        <w:t xml:space="preserve">a </w:t>
      </w:r>
      <w:r w:rsidR="00321CA6" w:rsidRPr="006122EE">
        <w:rPr>
          <w:color w:val="auto"/>
        </w:rPr>
        <w:t>reduction in the quantity of biomass used</w:t>
      </w:r>
      <w:r>
        <w:rPr>
          <w:color w:val="auto"/>
        </w:rPr>
        <w:t xml:space="preserve"> overall for cooking. E</w:t>
      </w:r>
      <w:r w:rsidR="00321CA6" w:rsidRPr="006122EE">
        <w:rPr>
          <w:color w:val="auto"/>
        </w:rPr>
        <w:t>fficient cook stoves also reduce the indoor pollution</w:t>
      </w:r>
      <w:r>
        <w:rPr>
          <w:color w:val="auto"/>
        </w:rPr>
        <w:t>, which in turn reduces respiratory disease and mortality rates</w:t>
      </w:r>
      <w:r w:rsidR="00321CA6" w:rsidRPr="006122EE">
        <w:rPr>
          <w:color w:val="auto"/>
        </w:rPr>
        <w:t xml:space="preserve">. It is therefore important that these stoves are promoted throughout the country. The promotion will require the increased efforts of NGOS who are already </w:t>
      </w:r>
      <w:r>
        <w:rPr>
          <w:color w:val="auto"/>
        </w:rPr>
        <w:t>working on</w:t>
      </w:r>
      <w:r w:rsidR="00321CA6" w:rsidRPr="006122EE">
        <w:rPr>
          <w:color w:val="auto"/>
        </w:rPr>
        <w:t xml:space="preserve"> such interventions. The </w:t>
      </w:r>
      <w:r>
        <w:rPr>
          <w:color w:val="auto"/>
        </w:rPr>
        <w:t>DOEA</w:t>
      </w:r>
      <w:r w:rsidR="00321CA6" w:rsidRPr="006122EE">
        <w:rPr>
          <w:color w:val="auto"/>
        </w:rPr>
        <w:t xml:space="preserve"> </w:t>
      </w:r>
      <w:r>
        <w:rPr>
          <w:color w:val="auto"/>
        </w:rPr>
        <w:t>will</w:t>
      </w:r>
      <w:r w:rsidR="00321CA6" w:rsidRPr="006122EE">
        <w:rPr>
          <w:color w:val="auto"/>
        </w:rPr>
        <w:t xml:space="preserve"> take the lead in following up on the promotional activities of the NGOS. </w:t>
      </w:r>
      <w:r>
        <w:rPr>
          <w:color w:val="auto"/>
        </w:rPr>
        <w:t>It will also</w:t>
      </w:r>
      <w:r w:rsidR="00321CA6" w:rsidRPr="006122EE">
        <w:rPr>
          <w:color w:val="auto"/>
        </w:rPr>
        <w:t xml:space="preserve"> assist NGOS to access funding to </w:t>
      </w:r>
      <w:r>
        <w:rPr>
          <w:color w:val="auto"/>
        </w:rPr>
        <w:t>for efficient cook stove initiatives</w:t>
      </w:r>
      <w:r w:rsidR="00321CA6" w:rsidRPr="006122EE">
        <w:rPr>
          <w:color w:val="auto"/>
        </w:rPr>
        <w:t xml:space="preserve">. The Cook Stove Road Map </w:t>
      </w:r>
      <w:r>
        <w:rPr>
          <w:color w:val="auto"/>
        </w:rPr>
        <w:t>will</w:t>
      </w:r>
      <w:r w:rsidR="00321CA6" w:rsidRPr="006122EE">
        <w:rPr>
          <w:color w:val="auto"/>
        </w:rPr>
        <w:t xml:space="preserve"> be </w:t>
      </w:r>
      <w:r>
        <w:rPr>
          <w:color w:val="auto"/>
        </w:rPr>
        <w:t xml:space="preserve">aggressively implemented </w:t>
      </w:r>
      <w:r w:rsidR="00321CA6" w:rsidRPr="006122EE">
        <w:rPr>
          <w:color w:val="auto"/>
        </w:rPr>
        <w:t xml:space="preserve">so that </w:t>
      </w:r>
      <w:r>
        <w:rPr>
          <w:color w:val="auto"/>
        </w:rPr>
        <w:t xml:space="preserve">both </w:t>
      </w:r>
      <w:r w:rsidR="00321CA6" w:rsidRPr="006122EE">
        <w:rPr>
          <w:color w:val="auto"/>
        </w:rPr>
        <w:t xml:space="preserve">the </w:t>
      </w:r>
      <w:r>
        <w:rPr>
          <w:color w:val="auto"/>
        </w:rPr>
        <w:t xml:space="preserve">SE4ALL cook stove targets and the Road Map’s own </w:t>
      </w:r>
      <w:r w:rsidR="00321CA6" w:rsidRPr="006122EE">
        <w:rPr>
          <w:color w:val="auto"/>
        </w:rPr>
        <w:t xml:space="preserve">targets </w:t>
      </w:r>
      <w:r>
        <w:rPr>
          <w:color w:val="auto"/>
        </w:rPr>
        <w:t>can</w:t>
      </w:r>
      <w:r w:rsidR="00321CA6" w:rsidRPr="006122EE">
        <w:rPr>
          <w:color w:val="auto"/>
        </w:rPr>
        <w:t xml:space="preserve"> be achieved.</w:t>
      </w:r>
    </w:p>
    <w:p w14:paraId="6F9D9843" w14:textId="77777777" w:rsidR="00770007" w:rsidRPr="006122EE" w:rsidRDefault="00F069F3" w:rsidP="0082018A">
      <w:pPr>
        <w:pStyle w:val="Style1"/>
        <w:spacing w:line="276" w:lineRule="auto"/>
      </w:pPr>
      <w:r w:rsidRPr="006122EE">
        <w:t>M</w:t>
      </w:r>
      <w:r w:rsidR="00CC217A" w:rsidRPr="006122EE">
        <w:t xml:space="preserve">onitor and </w:t>
      </w:r>
      <w:r w:rsidR="002A1AD3" w:rsidRPr="006122EE">
        <w:t>evaluate improved</w:t>
      </w:r>
      <w:r w:rsidR="00770007" w:rsidRPr="006122EE">
        <w:t xml:space="preserve"> </w:t>
      </w:r>
      <w:r w:rsidRPr="006122EE">
        <w:t>b</w:t>
      </w:r>
      <w:r w:rsidR="00985FFA" w:rsidRPr="006122EE">
        <w:t xml:space="preserve">iomass </w:t>
      </w:r>
      <w:r w:rsidRPr="006122EE">
        <w:t>c</w:t>
      </w:r>
      <w:r w:rsidR="00770007" w:rsidRPr="006122EE">
        <w:t xml:space="preserve">ook </w:t>
      </w:r>
      <w:r w:rsidRPr="006122EE">
        <w:t>s</w:t>
      </w:r>
      <w:r w:rsidR="00770007" w:rsidRPr="006122EE">
        <w:t>tove</w:t>
      </w:r>
      <w:r w:rsidRPr="006122EE">
        <w:t xml:space="preserve"> initiatives</w:t>
      </w:r>
    </w:p>
    <w:p w14:paraId="0BE74804" w14:textId="77777777" w:rsidR="00770007" w:rsidRPr="006122EE" w:rsidRDefault="00770007" w:rsidP="0082018A">
      <w:pPr>
        <w:spacing w:line="276" w:lineRule="auto"/>
      </w:pPr>
      <w:r w:rsidRPr="006122EE">
        <w:t>The Government of Malawi</w:t>
      </w:r>
      <w:r w:rsidR="008E702F" w:rsidRPr="006122EE">
        <w:t>,</w:t>
      </w:r>
      <w:r w:rsidRPr="006122EE">
        <w:t xml:space="preserve"> through the Department of Energy</w:t>
      </w:r>
      <w:r w:rsidR="008E702F" w:rsidRPr="006122EE">
        <w:t>,</w:t>
      </w:r>
      <w:r w:rsidRPr="006122EE">
        <w:t xml:space="preserve"> will implement BEST in order to ensure that the financing models</w:t>
      </w:r>
      <w:r w:rsidR="00AF48CC">
        <w:t xml:space="preserve"> </w:t>
      </w:r>
      <w:r w:rsidR="00F069F3" w:rsidRPr="006122EE">
        <w:t>that were</w:t>
      </w:r>
      <w:r w:rsidRPr="006122EE">
        <w:t xml:space="preserve"> developed under BEST are utilized. The Department of Energy will also ensure that the Cook Stoves Road Map Programme is a success. The Department will </w:t>
      </w:r>
      <w:r w:rsidR="00F069F3" w:rsidRPr="006122EE">
        <w:t>continue</w:t>
      </w:r>
      <w:r w:rsidRPr="006122EE">
        <w:t xml:space="preserve"> monitoring the activities carried out under BEST as well as the </w:t>
      </w:r>
      <w:r w:rsidR="00CC217A" w:rsidRPr="006122EE">
        <w:t xml:space="preserve">previously mentioned </w:t>
      </w:r>
      <w:r w:rsidRPr="006122EE">
        <w:t xml:space="preserve">Cook Stoves Road Map Programme. The Department of Energy will take the lead as a facilitator of the two initiatives. The Department of Energy will ensure that the two initiatives have funding to implement the activities by encouraging donors as well as the private sector to take the lead in the financing. The Department of Energy will explore various financing mechanisms such as bilateral donors, micro financing, the Global Environment Facility, Carbon funds, Climate Investment Funds, and International Finance Corporation. The Department can also explore the possibility of utilizing the Rural Electrification Fund to partly fund small scale community programs for improved cook stoves </w:t>
      </w:r>
      <w:r w:rsidR="00F069F3" w:rsidRPr="006122EE">
        <w:t xml:space="preserve">monitoring, evaluation and </w:t>
      </w:r>
      <w:r w:rsidRPr="006122EE">
        <w:t>promotion.</w:t>
      </w:r>
    </w:p>
    <w:p w14:paraId="42C276BA" w14:textId="77777777" w:rsidR="002D0068" w:rsidRPr="00866D96" w:rsidRDefault="002D0068" w:rsidP="0082018A">
      <w:pPr>
        <w:pStyle w:val="CSubtitle1"/>
        <w:spacing w:line="276" w:lineRule="auto"/>
        <w:rPr>
          <w:noProof w:val="0"/>
          <w:lang w:val="en-GB"/>
        </w:rPr>
      </w:pPr>
      <w:bookmarkStart w:id="403" w:name="_Toc481614924"/>
      <w:r w:rsidRPr="00866D96">
        <w:rPr>
          <w:noProof w:val="0"/>
          <w:lang w:val="en-GB"/>
        </w:rPr>
        <w:t>LPG Expansion</w:t>
      </w:r>
      <w:bookmarkEnd w:id="403"/>
    </w:p>
    <w:p w14:paraId="39519D08" w14:textId="77777777" w:rsidR="005F58B1" w:rsidRPr="006122EE" w:rsidRDefault="00900970" w:rsidP="0082018A">
      <w:pPr>
        <w:spacing w:line="276" w:lineRule="auto"/>
        <w:rPr>
          <w:lang w:eastAsia="en-US"/>
        </w:rPr>
      </w:pPr>
      <w:r w:rsidRPr="006122EE">
        <w:rPr>
          <w:lang w:eastAsia="en-US"/>
        </w:rPr>
        <w:t xml:space="preserve">In addition to </w:t>
      </w:r>
      <w:r w:rsidR="00394630" w:rsidRPr="006122EE">
        <w:rPr>
          <w:lang w:eastAsia="en-US"/>
        </w:rPr>
        <w:t>promotion of clean cook stoves</w:t>
      </w:r>
      <w:r w:rsidRPr="006122EE">
        <w:rPr>
          <w:lang w:eastAsia="en-US"/>
        </w:rPr>
        <w:t>, t</w:t>
      </w:r>
      <w:r w:rsidR="002D0068" w:rsidRPr="006122EE">
        <w:rPr>
          <w:lang w:eastAsia="en-US"/>
        </w:rPr>
        <w:t xml:space="preserve">he Government of Malawi will </w:t>
      </w:r>
      <w:r w:rsidRPr="006122EE">
        <w:rPr>
          <w:lang w:eastAsia="en-US"/>
        </w:rPr>
        <w:t xml:space="preserve">mount a major </w:t>
      </w:r>
      <w:r w:rsidR="005F58B1" w:rsidRPr="006122EE">
        <w:rPr>
          <w:lang w:eastAsia="en-US"/>
        </w:rPr>
        <w:t>campaign</w:t>
      </w:r>
      <w:r w:rsidRPr="006122EE">
        <w:rPr>
          <w:lang w:eastAsia="en-US"/>
        </w:rPr>
        <w:t xml:space="preserve"> to increase the use of </w:t>
      </w:r>
      <w:r w:rsidR="002D0068" w:rsidRPr="006122EE">
        <w:rPr>
          <w:lang w:eastAsia="en-US"/>
        </w:rPr>
        <w:t xml:space="preserve">LPG in both urban and rural households </w:t>
      </w:r>
      <w:r w:rsidRPr="006122EE">
        <w:rPr>
          <w:lang w:eastAsia="en-US"/>
        </w:rPr>
        <w:t>and small businesses</w:t>
      </w:r>
      <w:r w:rsidR="006A55FA">
        <w:rPr>
          <w:lang w:eastAsia="en-US"/>
        </w:rPr>
        <w:t xml:space="preserve"> as an alternative to biomass use</w:t>
      </w:r>
      <w:r w:rsidRPr="006122EE">
        <w:rPr>
          <w:lang w:eastAsia="en-US"/>
        </w:rPr>
        <w:t>.</w:t>
      </w:r>
      <w:r w:rsidR="006A55FA">
        <w:rPr>
          <w:rStyle w:val="FootnoteReference"/>
          <w:lang w:eastAsia="en-US"/>
        </w:rPr>
        <w:footnoteReference w:id="76"/>
      </w:r>
      <w:r w:rsidR="006A55FA">
        <w:rPr>
          <w:lang w:eastAsia="en-US"/>
        </w:rPr>
        <w:t xml:space="preserve"> </w:t>
      </w:r>
      <w:r w:rsidR="005F58B1" w:rsidRPr="006122EE">
        <w:rPr>
          <w:lang w:eastAsia="en-US"/>
        </w:rPr>
        <w:t xml:space="preserve">MoNREM </w:t>
      </w:r>
      <w:r w:rsidR="002D0068" w:rsidRPr="006122EE">
        <w:rPr>
          <w:lang w:eastAsia="en-US"/>
        </w:rPr>
        <w:t xml:space="preserve">will work with </w:t>
      </w:r>
      <w:r w:rsidR="00F317E6" w:rsidRPr="006122EE">
        <w:rPr>
          <w:lang w:eastAsia="en-US"/>
        </w:rPr>
        <w:t>local governments, universities and NGOs</w:t>
      </w:r>
      <w:r w:rsidR="002D0068" w:rsidRPr="006122EE">
        <w:rPr>
          <w:lang w:eastAsia="en-US"/>
        </w:rPr>
        <w:t xml:space="preserve"> </w:t>
      </w:r>
      <w:r w:rsidR="005F58B1" w:rsidRPr="006122EE">
        <w:rPr>
          <w:lang w:eastAsia="en-US"/>
        </w:rPr>
        <w:t>to raise awareness of</w:t>
      </w:r>
      <w:r w:rsidR="002D0068" w:rsidRPr="006122EE">
        <w:rPr>
          <w:lang w:eastAsia="en-US"/>
        </w:rPr>
        <w:t xml:space="preserve"> the benef</w:t>
      </w:r>
      <w:r w:rsidR="00F317E6" w:rsidRPr="006122EE">
        <w:rPr>
          <w:lang w:eastAsia="en-US"/>
        </w:rPr>
        <w:t>its of L</w:t>
      </w:r>
      <w:r w:rsidR="002D0068" w:rsidRPr="006122EE">
        <w:rPr>
          <w:lang w:eastAsia="en-US"/>
        </w:rPr>
        <w:t>PG</w:t>
      </w:r>
      <w:r w:rsidR="00F317E6" w:rsidRPr="006122EE">
        <w:rPr>
          <w:lang w:eastAsia="en-US"/>
        </w:rPr>
        <w:t xml:space="preserve"> cooking</w:t>
      </w:r>
      <w:r w:rsidR="005F58B1" w:rsidRPr="006122EE">
        <w:rPr>
          <w:lang w:eastAsia="en-US"/>
        </w:rPr>
        <w:t xml:space="preserve"> and how to handle LPC cylinders and associ</w:t>
      </w:r>
      <w:r w:rsidR="00567549" w:rsidRPr="006122EE">
        <w:rPr>
          <w:lang w:eastAsia="en-US"/>
        </w:rPr>
        <w:t>ated equipment in a safe manner</w:t>
      </w:r>
      <w:r w:rsidR="00F317E6" w:rsidRPr="006122EE">
        <w:rPr>
          <w:lang w:eastAsia="en-US"/>
        </w:rPr>
        <w:t xml:space="preserve">, </w:t>
      </w:r>
      <w:r w:rsidR="005F58B1" w:rsidRPr="006122EE">
        <w:rPr>
          <w:lang w:eastAsia="en-US"/>
        </w:rPr>
        <w:t xml:space="preserve">The Ministry will support the development of businesses to manufacture cylinders and </w:t>
      </w:r>
      <w:r w:rsidR="00567549" w:rsidRPr="006122EE">
        <w:rPr>
          <w:lang w:eastAsia="en-US"/>
        </w:rPr>
        <w:t>stove</w:t>
      </w:r>
      <w:r w:rsidR="005F58B1" w:rsidRPr="006122EE">
        <w:rPr>
          <w:lang w:eastAsia="en-US"/>
        </w:rPr>
        <w:t>s a</w:t>
      </w:r>
      <w:r w:rsidR="00567549" w:rsidRPr="006122EE">
        <w:rPr>
          <w:lang w:eastAsia="en-US"/>
        </w:rPr>
        <w:t>s well</w:t>
      </w:r>
      <w:r w:rsidR="005F58B1" w:rsidRPr="006122EE">
        <w:rPr>
          <w:lang w:eastAsia="en-US"/>
        </w:rPr>
        <w:t xml:space="preserve"> as businesses that can engage in the transport, storage and retail sale of LPG. </w:t>
      </w:r>
      <w:r w:rsidR="00B52C30" w:rsidRPr="006122EE">
        <w:rPr>
          <w:lang w:eastAsia="en-US"/>
        </w:rPr>
        <w:t xml:space="preserve"> </w:t>
      </w:r>
    </w:p>
    <w:p w14:paraId="0B01FF1F" w14:textId="77777777" w:rsidR="002D0068" w:rsidRPr="006122EE" w:rsidRDefault="00B52C30" w:rsidP="0082018A">
      <w:pPr>
        <w:spacing w:line="276" w:lineRule="auto"/>
        <w:rPr>
          <w:lang w:eastAsia="en-US"/>
        </w:rPr>
      </w:pPr>
      <w:r w:rsidRPr="006122EE">
        <w:rPr>
          <w:lang w:eastAsia="en-US"/>
        </w:rPr>
        <w:t xml:space="preserve">In </w:t>
      </w:r>
      <w:r w:rsidR="002D0068" w:rsidRPr="006122EE">
        <w:rPr>
          <w:lang w:eastAsia="en-US"/>
        </w:rPr>
        <w:t>p</w:t>
      </w:r>
      <w:r w:rsidRPr="006122EE">
        <w:rPr>
          <w:lang w:eastAsia="en-US"/>
        </w:rPr>
        <w:t>artnership with oil companies, M</w:t>
      </w:r>
      <w:r w:rsidR="002D0068" w:rsidRPr="006122EE">
        <w:rPr>
          <w:lang w:eastAsia="en-US"/>
        </w:rPr>
        <w:t>ERA</w:t>
      </w:r>
      <w:r w:rsidR="006A55FA">
        <w:rPr>
          <w:lang w:eastAsia="en-US"/>
        </w:rPr>
        <w:t>,</w:t>
      </w:r>
      <w:r w:rsidR="002D0068" w:rsidRPr="006122EE">
        <w:rPr>
          <w:lang w:eastAsia="en-US"/>
        </w:rPr>
        <w:t xml:space="preserve"> and </w:t>
      </w:r>
      <w:r w:rsidR="00795075" w:rsidRPr="006122EE">
        <w:rPr>
          <w:lang w:eastAsia="en-US"/>
        </w:rPr>
        <w:t>Malawi’s development partners</w:t>
      </w:r>
      <w:r w:rsidR="002D0068" w:rsidRPr="006122EE">
        <w:rPr>
          <w:lang w:eastAsia="en-US"/>
        </w:rPr>
        <w:t xml:space="preserve">, </w:t>
      </w:r>
      <w:r w:rsidRPr="006122EE">
        <w:rPr>
          <w:lang w:eastAsia="en-US"/>
        </w:rPr>
        <w:t xml:space="preserve">the government will </w:t>
      </w:r>
      <w:r w:rsidR="005F58B1" w:rsidRPr="006122EE">
        <w:rPr>
          <w:lang w:eastAsia="en-US"/>
        </w:rPr>
        <w:t>prepare</w:t>
      </w:r>
      <w:r w:rsidRPr="006122EE">
        <w:rPr>
          <w:lang w:eastAsia="en-US"/>
        </w:rPr>
        <w:t xml:space="preserve"> a nationwide </w:t>
      </w:r>
      <w:r w:rsidR="005F58B1" w:rsidRPr="006122EE">
        <w:rPr>
          <w:lang w:eastAsia="en-US"/>
        </w:rPr>
        <w:t xml:space="preserve">plan that addresses the </w:t>
      </w:r>
      <w:r w:rsidR="00795075" w:rsidRPr="006122EE">
        <w:rPr>
          <w:lang w:eastAsia="en-US"/>
        </w:rPr>
        <w:t xml:space="preserve">many issues involved in a strategic expansion of LPG use, including issues related to concessions, </w:t>
      </w:r>
      <w:r w:rsidR="005F58B1" w:rsidRPr="006122EE">
        <w:rPr>
          <w:lang w:eastAsia="en-US"/>
        </w:rPr>
        <w:t>ownership</w:t>
      </w:r>
      <w:r w:rsidR="00795075" w:rsidRPr="006122EE">
        <w:rPr>
          <w:lang w:eastAsia="en-US"/>
        </w:rPr>
        <w:t xml:space="preserve"> of LPG cylinders</w:t>
      </w:r>
      <w:r w:rsidR="005F58B1" w:rsidRPr="006122EE">
        <w:rPr>
          <w:lang w:eastAsia="en-US"/>
        </w:rPr>
        <w:t xml:space="preserve">, </w:t>
      </w:r>
      <w:r w:rsidR="00795075" w:rsidRPr="006122EE">
        <w:rPr>
          <w:lang w:eastAsia="en-US"/>
        </w:rPr>
        <w:t xml:space="preserve">LPG </w:t>
      </w:r>
      <w:r w:rsidR="00B87792" w:rsidRPr="006122EE">
        <w:rPr>
          <w:lang w:eastAsia="en-US"/>
        </w:rPr>
        <w:t xml:space="preserve">pricing, </w:t>
      </w:r>
      <w:r w:rsidR="005F58B1" w:rsidRPr="006122EE">
        <w:rPr>
          <w:lang w:eastAsia="en-US"/>
        </w:rPr>
        <w:t>financing</w:t>
      </w:r>
      <w:r w:rsidR="00795075" w:rsidRPr="006122EE">
        <w:rPr>
          <w:lang w:eastAsia="en-US"/>
        </w:rPr>
        <w:t xml:space="preserve"> for LPG-related businesses</w:t>
      </w:r>
      <w:r w:rsidR="005F58B1" w:rsidRPr="006122EE">
        <w:rPr>
          <w:lang w:eastAsia="en-US"/>
        </w:rPr>
        <w:t xml:space="preserve">, </w:t>
      </w:r>
      <w:r w:rsidR="00B87792" w:rsidRPr="006122EE">
        <w:rPr>
          <w:lang w:eastAsia="en-US"/>
        </w:rPr>
        <w:t>safety</w:t>
      </w:r>
      <w:r w:rsidR="005F58B1" w:rsidRPr="006122EE">
        <w:rPr>
          <w:lang w:eastAsia="en-US"/>
        </w:rPr>
        <w:t xml:space="preserve"> </w:t>
      </w:r>
      <w:r w:rsidR="00795075" w:rsidRPr="006122EE">
        <w:rPr>
          <w:lang w:eastAsia="en-US"/>
        </w:rPr>
        <w:t xml:space="preserve">rules and enforcement, </w:t>
      </w:r>
      <w:r w:rsidR="005F58B1" w:rsidRPr="006122EE">
        <w:rPr>
          <w:lang w:eastAsia="en-US"/>
        </w:rPr>
        <w:t xml:space="preserve">and </w:t>
      </w:r>
      <w:r w:rsidR="00795075" w:rsidRPr="006122EE">
        <w:rPr>
          <w:lang w:eastAsia="en-US"/>
        </w:rPr>
        <w:t xml:space="preserve">increasing </w:t>
      </w:r>
      <w:r w:rsidR="005F58B1" w:rsidRPr="006122EE">
        <w:rPr>
          <w:lang w:eastAsia="en-US"/>
        </w:rPr>
        <w:t>p</w:t>
      </w:r>
      <w:r w:rsidR="00B87792" w:rsidRPr="006122EE">
        <w:rPr>
          <w:lang w:eastAsia="en-US"/>
        </w:rPr>
        <w:t>ublic awareness</w:t>
      </w:r>
      <w:r w:rsidR="00795075" w:rsidRPr="006122EE">
        <w:rPr>
          <w:lang w:eastAsia="en-US"/>
        </w:rPr>
        <w:t xml:space="preserve">. </w:t>
      </w:r>
      <w:r w:rsidR="005F58B1" w:rsidRPr="006122EE">
        <w:rPr>
          <w:lang w:eastAsia="en-US"/>
        </w:rPr>
        <w:t xml:space="preserve"> </w:t>
      </w:r>
      <w:r w:rsidR="00B87792" w:rsidRPr="006122EE">
        <w:rPr>
          <w:lang w:eastAsia="en-US"/>
        </w:rPr>
        <w:t>Advice will be sought from other countries, such as Ghana, that have a long track record with LPG programs.</w:t>
      </w:r>
    </w:p>
    <w:p w14:paraId="66A4F91D" w14:textId="77777777" w:rsidR="002D0068" w:rsidRPr="006122EE" w:rsidRDefault="00B73CB6" w:rsidP="0082018A">
      <w:pPr>
        <w:widowControl w:val="0"/>
        <w:adjustRightInd w:val="0"/>
        <w:spacing w:after="0" w:line="276" w:lineRule="auto"/>
        <w:textAlignment w:val="baseline"/>
        <w:rPr>
          <w:rFonts w:eastAsia="Times New Roman" w:cs="Arial"/>
          <w:color w:val="auto"/>
          <w:lang w:eastAsia="fr-FR"/>
        </w:rPr>
      </w:pPr>
      <w:r w:rsidRPr="006122EE">
        <w:rPr>
          <w:rFonts w:eastAsia="Times New Roman" w:cs="Arial"/>
          <w:color w:val="auto"/>
          <w:lang w:eastAsia="fr-FR"/>
        </w:rPr>
        <w:t>Specifically, t</w:t>
      </w:r>
      <w:r w:rsidR="002D0068" w:rsidRPr="006122EE">
        <w:rPr>
          <w:rFonts w:eastAsia="Times New Roman" w:cs="Arial"/>
          <w:color w:val="auto"/>
          <w:lang w:eastAsia="fr-FR"/>
        </w:rPr>
        <w:t xml:space="preserve">he </w:t>
      </w:r>
      <w:r w:rsidR="00B87792" w:rsidRPr="006122EE">
        <w:rPr>
          <w:rFonts w:eastAsia="Times New Roman" w:cs="Arial"/>
          <w:color w:val="auto"/>
          <w:lang w:eastAsia="fr-FR"/>
        </w:rPr>
        <w:t>MoNREM</w:t>
      </w:r>
      <w:r w:rsidR="002D0068" w:rsidRPr="006122EE">
        <w:rPr>
          <w:rFonts w:eastAsia="Times New Roman" w:cs="Arial"/>
          <w:color w:val="auto"/>
          <w:lang w:eastAsia="fr-FR"/>
        </w:rPr>
        <w:t xml:space="preserve"> will: </w:t>
      </w:r>
    </w:p>
    <w:p w14:paraId="61F5B7DB" w14:textId="77777777" w:rsidR="002D0068" w:rsidRPr="006122EE" w:rsidRDefault="00B87792" w:rsidP="0082018A">
      <w:pPr>
        <w:widowControl w:val="0"/>
        <w:numPr>
          <w:ilvl w:val="0"/>
          <w:numId w:val="15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ab/>
        <w:t>Establish a nationwide framework for LPG distr</w:t>
      </w:r>
      <w:r w:rsidR="00567549" w:rsidRPr="006122EE">
        <w:rPr>
          <w:rFonts w:eastAsia="Times New Roman" w:cs="Arial"/>
          <w:color w:val="auto"/>
          <w:lang w:eastAsia="fr-FR"/>
        </w:rPr>
        <w:t>ibution, storage and retail operation</w:t>
      </w:r>
      <w:r w:rsidRPr="006122EE">
        <w:rPr>
          <w:rFonts w:eastAsia="Times New Roman" w:cs="Arial"/>
          <w:color w:val="auto"/>
          <w:lang w:eastAsia="fr-FR"/>
        </w:rPr>
        <w:t xml:space="preserve">s. The framework will </w:t>
      </w:r>
      <w:r w:rsidR="00B73CB6" w:rsidRPr="006122EE">
        <w:rPr>
          <w:rFonts w:eastAsia="Times New Roman" w:cs="Arial"/>
          <w:color w:val="auto"/>
          <w:lang w:eastAsia="fr-FR"/>
        </w:rPr>
        <w:t>address</w:t>
      </w:r>
      <w:r w:rsidRPr="006122EE">
        <w:rPr>
          <w:rFonts w:eastAsia="Times New Roman" w:cs="Arial"/>
          <w:color w:val="auto"/>
          <w:lang w:eastAsia="fr-FR"/>
        </w:rPr>
        <w:t xml:space="preserve"> priority geographical areas for the roll-out of the LPG </w:t>
      </w:r>
      <w:r w:rsidR="00B73CB6" w:rsidRPr="006122EE">
        <w:rPr>
          <w:rFonts w:eastAsia="Times New Roman" w:cs="Arial"/>
          <w:color w:val="auto"/>
          <w:lang w:eastAsia="fr-FR"/>
        </w:rPr>
        <w:t>campaign</w:t>
      </w:r>
      <w:r w:rsidRPr="006122EE">
        <w:rPr>
          <w:rFonts w:eastAsia="Times New Roman" w:cs="Arial"/>
          <w:color w:val="auto"/>
          <w:lang w:eastAsia="fr-FR"/>
        </w:rPr>
        <w:t>, whether LPG concessions will be awarded or a more competitive approach</w:t>
      </w:r>
      <w:r w:rsidR="00B73CB6" w:rsidRPr="006122EE">
        <w:rPr>
          <w:rFonts w:eastAsia="Times New Roman" w:cs="Arial"/>
          <w:color w:val="auto"/>
          <w:lang w:eastAsia="fr-FR"/>
        </w:rPr>
        <w:t xml:space="preserve"> will be used</w:t>
      </w:r>
      <w:r w:rsidRPr="006122EE">
        <w:rPr>
          <w:rFonts w:eastAsia="Times New Roman" w:cs="Arial"/>
          <w:color w:val="auto"/>
          <w:lang w:eastAsia="fr-FR"/>
        </w:rPr>
        <w:t xml:space="preserve">, and whether consumers will own their own cylinders or a cylinder trade-in operation will be </w:t>
      </w:r>
      <w:r w:rsidR="00E310AC">
        <w:rPr>
          <w:rFonts w:eastAsia="Times New Roman" w:cs="Arial"/>
          <w:color w:val="auto"/>
          <w:lang w:eastAsia="fr-FR"/>
        </w:rPr>
        <w:t>establish</w:t>
      </w:r>
      <w:r w:rsidRPr="006122EE">
        <w:rPr>
          <w:rFonts w:eastAsia="Times New Roman" w:cs="Arial"/>
          <w:color w:val="auto"/>
          <w:lang w:eastAsia="fr-FR"/>
        </w:rPr>
        <w:t>ed.</w:t>
      </w:r>
    </w:p>
    <w:p w14:paraId="2A9B4319" w14:textId="77777777" w:rsidR="00B73CB6" w:rsidRPr="006122EE" w:rsidRDefault="00B73CB6" w:rsidP="0082018A">
      <w:pPr>
        <w:widowControl w:val="0"/>
        <w:numPr>
          <w:ilvl w:val="0"/>
          <w:numId w:val="15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Establish a financing facility to support the establishment and expansion of LPG-related businesses. The government will approach development partners and private banks to support the facility.</w:t>
      </w:r>
    </w:p>
    <w:p w14:paraId="2169D732" w14:textId="77777777" w:rsidR="002D0068" w:rsidRPr="006122EE" w:rsidRDefault="00B73CB6" w:rsidP="0082018A">
      <w:pPr>
        <w:widowControl w:val="0"/>
        <w:numPr>
          <w:ilvl w:val="0"/>
          <w:numId w:val="15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Explore risk mitigation options related to the fact that LPG prices are linked to world oil prices and that volatility in those world prices can have a negative ripple effect on a domestic LPG market.</w:t>
      </w:r>
    </w:p>
    <w:p w14:paraId="74716D15" w14:textId="77777777" w:rsidR="002D0068" w:rsidRPr="006122EE" w:rsidRDefault="002D0068" w:rsidP="0082018A">
      <w:pPr>
        <w:widowControl w:val="0"/>
        <w:numPr>
          <w:ilvl w:val="0"/>
          <w:numId w:val="8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Identify and recommend fiscal incentives, especially related to subsidies and taxation on LPG cylinders and stoves so that LPG will be competitive with traditional fuels and will be more attractive to users, particularly low-income households.</w:t>
      </w:r>
    </w:p>
    <w:p w14:paraId="3E72A941" w14:textId="77777777" w:rsidR="002D0068" w:rsidRPr="006122EE" w:rsidRDefault="002D0068" w:rsidP="0082018A">
      <w:pPr>
        <w:widowControl w:val="0"/>
        <w:numPr>
          <w:ilvl w:val="0"/>
          <w:numId w:val="8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Work with the</w:t>
      </w:r>
      <w:r w:rsidR="00B73CB6" w:rsidRPr="006122EE">
        <w:rPr>
          <w:rFonts w:eastAsia="Times New Roman" w:cs="Arial"/>
          <w:color w:val="auto"/>
          <w:lang w:eastAsia="fr-FR"/>
        </w:rPr>
        <w:t xml:space="preserve"> Malawi Bureau of Standards</w:t>
      </w:r>
      <w:r w:rsidRPr="006122EE">
        <w:rPr>
          <w:rFonts w:eastAsia="Times New Roman" w:cs="Arial"/>
          <w:color w:val="auto"/>
          <w:lang w:eastAsia="fr-FR"/>
        </w:rPr>
        <w:t>, oil companies, LPG distributors, and others within the existing standards development framework, and other relevant stakeholders, to formulate and implement quality and safety standards for LPG cylinders and stoves and the supporting transport and cylinder refilling infrastructure.</w:t>
      </w:r>
    </w:p>
    <w:p w14:paraId="4FD3E85F" w14:textId="77777777" w:rsidR="00A41C3E" w:rsidRPr="006122EE" w:rsidRDefault="00567549" w:rsidP="0082018A">
      <w:pPr>
        <w:widowControl w:val="0"/>
        <w:numPr>
          <w:ilvl w:val="0"/>
          <w:numId w:val="89"/>
        </w:numPr>
        <w:adjustRightInd w:val="0"/>
        <w:spacing w:after="0" w:line="276" w:lineRule="auto"/>
        <w:ind w:left="719"/>
        <w:textAlignment w:val="baseline"/>
        <w:rPr>
          <w:rFonts w:eastAsia="Times New Roman" w:cs="Arial"/>
          <w:color w:val="auto"/>
          <w:lang w:eastAsia="fr-FR"/>
        </w:rPr>
      </w:pPr>
      <w:r w:rsidRPr="006122EE">
        <w:rPr>
          <w:rFonts w:eastAsia="Times New Roman" w:cs="Arial"/>
          <w:color w:val="auto"/>
          <w:lang w:eastAsia="fr-FR"/>
        </w:rPr>
        <w:t xml:space="preserve">Work with the </w:t>
      </w:r>
      <w:r w:rsidR="002D0068" w:rsidRPr="006122EE">
        <w:rPr>
          <w:rFonts w:eastAsia="Times New Roman" w:cs="Arial"/>
          <w:color w:val="auto"/>
          <w:lang w:eastAsia="fr-FR"/>
        </w:rPr>
        <w:t xml:space="preserve">Ministry of Industry and </w:t>
      </w:r>
      <w:r w:rsidRPr="006122EE">
        <w:rPr>
          <w:rFonts w:eastAsia="Times New Roman" w:cs="Arial"/>
          <w:color w:val="auto"/>
          <w:lang w:eastAsia="fr-FR"/>
        </w:rPr>
        <w:t>Trade</w:t>
      </w:r>
      <w:r w:rsidR="002D0068" w:rsidRPr="006122EE">
        <w:rPr>
          <w:rFonts w:eastAsia="Times New Roman" w:cs="Arial"/>
          <w:color w:val="auto"/>
          <w:lang w:eastAsia="fr-FR"/>
        </w:rPr>
        <w:t xml:space="preserve">, as well as industrial organisations, </w:t>
      </w:r>
      <w:r w:rsidRPr="006122EE">
        <w:rPr>
          <w:rFonts w:eastAsia="Times New Roman" w:cs="Arial"/>
          <w:color w:val="auto"/>
          <w:lang w:eastAsia="fr-FR"/>
        </w:rPr>
        <w:t xml:space="preserve">to </w:t>
      </w:r>
      <w:r w:rsidR="002D0068" w:rsidRPr="006122EE">
        <w:rPr>
          <w:rFonts w:eastAsia="Times New Roman" w:cs="Arial"/>
          <w:color w:val="auto"/>
          <w:lang w:eastAsia="fr-FR"/>
        </w:rPr>
        <w:t xml:space="preserve">promote local manufacturing of </w:t>
      </w:r>
      <w:r w:rsidR="00E310AC">
        <w:rPr>
          <w:rFonts w:eastAsia="Times New Roman" w:cs="Arial"/>
          <w:color w:val="auto"/>
          <w:lang w:eastAsia="fr-FR"/>
        </w:rPr>
        <w:t xml:space="preserve">LPG </w:t>
      </w:r>
      <w:r w:rsidR="002D0068" w:rsidRPr="006122EE">
        <w:rPr>
          <w:rFonts w:eastAsia="Times New Roman" w:cs="Arial"/>
          <w:color w:val="auto"/>
          <w:lang w:eastAsia="fr-FR"/>
        </w:rPr>
        <w:t>cylinders and cooking appliances.</w:t>
      </w:r>
      <w:r w:rsidR="00E310AC">
        <w:rPr>
          <w:rFonts w:eastAsia="Times New Roman" w:cs="Arial"/>
          <w:color w:val="auto"/>
          <w:lang w:eastAsia="fr-FR"/>
        </w:rPr>
        <w:t xml:space="preserve"> In the meantime, the cylinders and burners will need to be imported. The government will monitor and inspect the cylinders and otherwise ensure the cylinders are of high quality.</w:t>
      </w:r>
    </w:p>
    <w:p w14:paraId="0F86627A" w14:textId="77777777" w:rsidR="002D0068" w:rsidRPr="006122EE" w:rsidRDefault="002D0068" w:rsidP="0082018A">
      <w:pPr>
        <w:widowControl w:val="0"/>
        <w:adjustRightInd w:val="0"/>
        <w:spacing w:after="0" w:line="276" w:lineRule="auto"/>
        <w:textAlignment w:val="baseline"/>
      </w:pPr>
    </w:p>
    <w:p w14:paraId="317C8D41" w14:textId="77777777" w:rsidR="00321CA6" w:rsidRPr="006122EE" w:rsidRDefault="00321CA6" w:rsidP="0082018A">
      <w:pPr>
        <w:pStyle w:val="Style1"/>
        <w:spacing w:line="276" w:lineRule="auto"/>
      </w:pPr>
      <w:r w:rsidRPr="006122EE">
        <w:t>Promotion and adoption of Institutional Biogas Plants</w:t>
      </w:r>
    </w:p>
    <w:p w14:paraId="1243D387" w14:textId="77777777" w:rsidR="00321CA6" w:rsidRPr="006122EE" w:rsidRDefault="00321CA6" w:rsidP="0082018A">
      <w:pPr>
        <w:spacing w:line="276" w:lineRule="auto"/>
        <w:rPr>
          <w:color w:val="auto"/>
        </w:rPr>
      </w:pPr>
      <w:r w:rsidRPr="006122EE">
        <w:rPr>
          <w:color w:val="auto"/>
        </w:rPr>
        <w:t>Most institutions which require biomass energy use efficient cook stoves which lead to heavy depletion of forests due to the large quantity of biomass that they require. These institutions however have readily available source of feed stock for biogas plants in form of human waste. There was once an institutional biogas plant at one of the private school</w:t>
      </w:r>
      <w:r w:rsidR="00CC217A" w:rsidRPr="006122EE">
        <w:rPr>
          <w:color w:val="auto"/>
        </w:rPr>
        <w:t>s but it is now non-functional</w:t>
      </w:r>
      <w:r w:rsidR="00AF48CC">
        <w:rPr>
          <w:color w:val="auto"/>
        </w:rPr>
        <w:t xml:space="preserve">. </w:t>
      </w:r>
      <w:r w:rsidRPr="006122EE">
        <w:rPr>
          <w:color w:val="auto"/>
        </w:rPr>
        <w:t>It is in this vein that there is need for a deliberate effort by the Department of Energy with other stakeholders to promote institutional biogas plants. The Department of Energy should come up with pilot projects at least one in every region of the country to incentivise the use of institutional biogas plants. The Department of Energy should after installing the biogas plant calculate the amount of wood saved thereby increasing the revenue for the institution.</w:t>
      </w:r>
    </w:p>
    <w:p w14:paraId="4F169E82" w14:textId="77777777" w:rsidR="00B509DD" w:rsidRPr="00866D96" w:rsidRDefault="00B509DD" w:rsidP="0082018A">
      <w:pPr>
        <w:pStyle w:val="BTitle20"/>
        <w:rPr>
          <w:noProof w:val="0"/>
        </w:rPr>
      </w:pPr>
      <w:bookmarkStart w:id="404" w:name="_Toc469937961"/>
      <w:bookmarkStart w:id="405" w:name="_Toc469999917"/>
      <w:bookmarkStart w:id="406" w:name="_Toc470000028"/>
      <w:bookmarkStart w:id="407" w:name="_Toc470117760"/>
      <w:bookmarkStart w:id="408" w:name="_Toc470119116"/>
      <w:bookmarkStart w:id="409" w:name="_Toc469937962"/>
      <w:bookmarkStart w:id="410" w:name="_Toc469999918"/>
      <w:bookmarkStart w:id="411" w:name="_Toc470000029"/>
      <w:bookmarkStart w:id="412" w:name="_Toc470117761"/>
      <w:bookmarkStart w:id="413" w:name="_Toc470119117"/>
      <w:bookmarkStart w:id="414" w:name="_Toc469937963"/>
      <w:bookmarkStart w:id="415" w:name="_Toc469999919"/>
      <w:bookmarkStart w:id="416" w:name="_Toc470000030"/>
      <w:bookmarkStart w:id="417" w:name="_Toc470117762"/>
      <w:bookmarkStart w:id="418" w:name="_Toc470119118"/>
      <w:bookmarkStart w:id="419" w:name="_Toc437268394"/>
      <w:bookmarkStart w:id="420" w:name="_Toc48161492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66D96">
        <w:rPr>
          <w:noProof w:val="0"/>
        </w:rPr>
        <w:t>Energy access – Electricity</w:t>
      </w:r>
      <w:bookmarkEnd w:id="419"/>
      <w:bookmarkEnd w:id="420"/>
      <w:r w:rsidRPr="00866D96">
        <w:rPr>
          <w:noProof w:val="0"/>
        </w:rPr>
        <w:t xml:space="preserve">  </w:t>
      </w:r>
    </w:p>
    <w:p w14:paraId="31CBD178" w14:textId="77777777" w:rsidR="00B509DD" w:rsidRPr="00866D96" w:rsidRDefault="00B509DD" w:rsidP="0082018A">
      <w:pPr>
        <w:pStyle w:val="BTitle3"/>
        <w:spacing w:line="276" w:lineRule="auto"/>
        <w:rPr>
          <w:noProof w:val="0"/>
          <w:lang w:val="en-GB"/>
        </w:rPr>
      </w:pPr>
      <w:r w:rsidRPr="00866D96">
        <w:rPr>
          <w:noProof w:val="0"/>
          <w:lang w:val="en-GB"/>
        </w:rPr>
        <w:tab/>
      </w:r>
      <w:bookmarkStart w:id="421" w:name="_Toc481614926"/>
      <w:r w:rsidRPr="00866D96">
        <w:rPr>
          <w:noProof w:val="0"/>
          <w:lang w:val="en-GB"/>
        </w:rPr>
        <w:t>What are the actions and funding levels needed to achieve the overarching objective in the field of energy access - electricity?</w:t>
      </w:r>
      <w:bookmarkEnd w:id="421"/>
      <w:r w:rsidRPr="00866D96">
        <w:rPr>
          <w:noProof w:val="0"/>
          <w:lang w:val="en-GB"/>
        </w:rPr>
        <w:t xml:space="preserve">  </w:t>
      </w:r>
    </w:p>
    <w:p w14:paraId="732FC62D" w14:textId="77777777" w:rsidR="00B509DD" w:rsidRPr="006122EE" w:rsidRDefault="00383950" w:rsidP="0082018A">
      <w:pPr>
        <w:spacing w:line="276" w:lineRule="auto"/>
      </w:pPr>
      <w:r w:rsidRPr="006122EE">
        <w:t xml:space="preserve">In order to meet the electricity access </w:t>
      </w:r>
      <w:r w:rsidR="00BB3150" w:rsidRPr="006122EE">
        <w:t>targets</w:t>
      </w:r>
      <w:r w:rsidRPr="006122EE">
        <w:t xml:space="preserve">, a range of options - from stand-alone solar systems to mini-grids to grid connections - will be pursued. The government will work with donors and NGOs in each of these areas and will encourage households to access the most appropriate form of electricity based on </w:t>
      </w:r>
      <w:r w:rsidR="00BB3150" w:rsidRPr="006122EE">
        <w:t>their</w:t>
      </w:r>
      <w:r w:rsidRPr="006122EE">
        <w:t xml:space="preserve"> income and usage needs. Households and businesses will continue to be connected the national power grid</w:t>
      </w:r>
      <w:r w:rsidR="00B574B3" w:rsidRPr="006122EE">
        <w:t xml:space="preserve"> under MAREP</w:t>
      </w:r>
      <w:r w:rsidRPr="006122EE">
        <w:t xml:space="preserve">. </w:t>
      </w:r>
      <w:r w:rsidR="00B509DD" w:rsidRPr="006122EE">
        <w:t xml:space="preserve">The priority actions </w:t>
      </w:r>
      <w:r w:rsidR="00B574B3" w:rsidRPr="006122EE">
        <w:t>that will be pursued are the following.</w:t>
      </w:r>
    </w:p>
    <w:p w14:paraId="0AD2A789" w14:textId="77777777" w:rsidR="00EA598D" w:rsidRPr="006122EE" w:rsidRDefault="001D4A87" w:rsidP="0082018A">
      <w:pPr>
        <w:pStyle w:val="Style1"/>
        <w:spacing w:line="276" w:lineRule="auto"/>
      </w:pPr>
      <w:r>
        <w:t>I</w:t>
      </w:r>
      <w:r w:rsidR="00EA598D" w:rsidRPr="006122EE">
        <w:t xml:space="preserve">nnovation </w:t>
      </w:r>
      <w:r w:rsidR="00321CA6" w:rsidRPr="006122EE">
        <w:t xml:space="preserve">at </w:t>
      </w:r>
      <w:r w:rsidR="00EA598D" w:rsidRPr="006122EE">
        <w:t>MAREP</w:t>
      </w:r>
    </w:p>
    <w:p w14:paraId="4E71D78F" w14:textId="77777777" w:rsidR="00EA598D" w:rsidRPr="006122EE" w:rsidRDefault="00EA598D" w:rsidP="0082018A">
      <w:pPr>
        <w:spacing w:line="276" w:lineRule="auto"/>
      </w:pPr>
      <w:r w:rsidRPr="006122EE">
        <w:t xml:space="preserve">The MAREP needs to be innovative and target its resources not only </w:t>
      </w:r>
      <w:r w:rsidR="00321CA6" w:rsidRPr="006122EE">
        <w:t xml:space="preserve">on </w:t>
      </w:r>
      <w:r w:rsidRPr="006122EE">
        <w:t xml:space="preserve">extending the grid but also </w:t>
      </w:r>
      <w:r w:rsidR="00321CA6" w:rsidRPr="006122EE">
        <w:t xml:space="preserve">on connecting </w:t>
      </w:r>
      <w:r w:rsidRPr="006122EE">
        <w:t xml:space="preserve">those already within reach </w:t>
      </w:r>
      <w:r w:rsidR="00321CA6" w:rsidRPr="006122EE">
        <w:t>of distribution lines</w:t>
      </w:r>
      <w:r w:rsidRPr="006122EE">
        <w:t xml:space="preserve">. Currently the MAREP extends grid lines to selected trading centres and put forward the number of people to be connected by assigning 50 prepaid meters per each trading centre. There is need to keep on monitoring the access on those trading centres and if there are upcoming people needing to be connected, MAREP </w:t>
      </w:r>
      <w:r w:rsidR="009D2A23" w:rsidRPr="006122EE">
        <w:t>will</w:t>
      </w:r>
      <w:r w:rsidRPr="006122EE">
        <w:t xml:space="preserve"> continue to assign the prepaid meters to those upcoming people. There are also mini-grids which were done under MAREP but not functional. It is important that MAREP revives the mini-grids. The mini-grids </w:t>
      </w:r>
      <w:r w:rsidR="009D2A23" w:rsidRPr="006122EE">
        <w:t>will</w:t>
      </w:r>
      <w:r w:rsidRPr="006122EE">
        <w:t xml:space="preserve"> be maintained and the operation and maintenance be </w:t>
      </w:r>
      <w:r w:rsidR="00FC2919" w:rsidRPr="006122EE">
        <w:t>provided</w:t>
      </w:r>
      <w:r w:rsidRPr="006122EE">
        <w:t xml:space="preserve"> to a private operator. MAREP </w:t>
      </w:r>
      <w:r w:rsidR="009D2A23" w:rsidRPr="006122EE">
        <w:t>will</w:t>
      </w:r>
      <w:r w:rsidRPr="006122EE">
        <w:t xml:space="preserve"> electrify all public institutions 5Km away from the MV line through off-grid options.</w:t>
      </w:r>
    </w:p>
    <w:p w14:paraId="006769E9" w14:textId="77777777" w:rsidR="00EA598D" w:rsidRPr="006122EE" w:rsidRDefault="00EA598D" w:rsidP="0082018A">
      <w:pPr>
        <w:pStyle w:val="Style1"/>
        <w:spacing w:line="276" w:lineRule="auto"/>
      </w:pPr>
      <w:bookmarkStart w:id="422" w:name="_Toc481614927"/>
      <w:r w:rsidRPr="00866D96">
        <w:rPr>
          <w:rStyle w:val="CSubtitle1Char"/>
          <w:b/>
          <w:noProof w:val="0"/>
          <w:lang w:val="en-GB"/>
        </w:rPr>
        <w:t>Education, Training and Public Awareness</w:t>
      </w:r>
      <w:bookmarkEnd w:id="422"/>
    </w:p>
    <w:p w14:paraId="1A56C4C5" w14:textId="77777777" w:rsidR="00EA598D" w:rsidRPr="006122EE" w:rsidRDefault="00EA598D" w:rsidP="0082018A">
      <w:pPr>
        <w:spacing w:line="276" w:lineRule="auto"/>
      </w:pPr>
      <w:r w:rsidRPr="006122EE">
        <w:t xml:space="preserve">The majority of the Malawian population are not aware of the availability and benefits of the modern energy services. There is therefore need for deliberate effort by the </w:t>
      </w:r>
      <w:r w:rsidR="00983ED1" w:rsidRPr="006122EE">
        <w:t>g</w:t>
      </w:r>
      <w:r w:rsidRPr="006122EE">
        <w:t xml:space="preserve">overnment through the Department of Energy to invest in education, training and </w:t>
      </w:r>
      <w:r w:rsidR="00A410C7" w:rsidRPr="006122EE">
        <w:t>awareness</w:t>
      </w:r>
      <w:r w:rsidRPr="006122EE">
        <w:t xml:space="preserve"> on the modern energy services.</w:t>
      </w:r>
    </w:p>
    <w:p w14:paraId="0DC78B18" w14:textId="77777777" w:rsidR="00EA598D" w:rsidRPr="006122EE" w:rsidRDefault="00EA598D" w:rsidP="0082018A">
      <w:pPr>
        <w:pStyle w:val="Style1"/>
        <w:spacing w:line="276" w:lineRule="auto"/>
      </w:pPr>
      <w:r w:rsidRPr="006122EE">
        <w:t xml:space="preserve">Capacity Building of MBS on </w:t>
      </w:r>
      <w:r w:rsidR="00AF48CC" w:rsidRPr="006122EE">
        <w:t>Certification</w:t>
      </w:r>
      <w:r w:rsidRPr="006122EE">
        <w:t xml:space="preserve"> and Enforcement of Standards on RETS</w:t>
      </w:r>
    </w:p>
    <w:p w14:paraId="3B2FCB2D" w14:textId="77777777" w:rsidR="007201F2" w:rsidRPr="006122EE" w:rsidRDefault="0006730D" w:rsidP="0082018A">
      <w:pPr>
        <w:spacing w:line="276" w:lineRule="auto"/>
      </w:pPr>
      <w:r w:rsidRPr="006122EE">
        <w:t>Imports</w:t>
      </w:r>
      <w:r w:rsidR="00EA598D" w:rsidRPr="006122EE">
        <w:t xml:space="preserve"> of low quality RETs </w:t>
      </w:r>
      <w:r w:rsidRPr="006122EE">
        <w:t xml:space="preserve">are on the increase. It is carried out by </w:t>
      </w:r>
      <w:r w:rsidR="00EA598D" w:rsidRPr="006122EE">
        <w:t xml:space="preserve">non-certified companies. This is so because MBS is overwhelmed with the task. There is thus </w:t>
      </w:r>
      <w:r w:rsidRPr="006122EE">
        <w:t xml:space="preserve">a </w:t>
      </w:r>
      <w:r w:rsidR="00EA598D" w:rsidRPr="006122EE">
        <w:t xml:space="preserve">need to support capacity building within MBS to ensure that enforcement of quality standards in RETs is achieved and put punitive measures that would discourage non-certified importers bring </w:t>
      </w:r>
      <w:r w:rsidR="007201F2" w:rsidRPr="006122EE">
        <w:t xml:space="preserve">substandard product into Malawi. MERA should work together with MBS on the enforcement of standards because certified companies are supposed to follow standards. MERA should ensure that companies are in possession of all standards from MBS if they are to be certified. MERA should also ensure that certified companies are contributing to the development of RETS in the country by being members of REIAMA. A certified renewable energy company should be a member of REIAMA so that the development of RETS in Malawi is coordinated by a reputable private sector body with which MERA can work. </w:t>
      </w:r>
    </w:p>
    <w:p w14:paraId="339256DF" w14:textId="77777777" w:rsidR="00EA598D" w:rsidRPr="006122EE" w:rsidRDefault="00EA598D" w:rsidP="0082018A">
      <w:pPr>
        <w:pStyle w:val="Style1"/>
        <w:spacing w:line="276" w:lineRule="auto"/>
      </w:pPr>
      <w:r w:rsidRPr="006122EE">
        <w:t xml:space="preserve">Financing </w:t>
      </w:r>
      <w:r w:rsidR="00A5729A" w:rsidRPr="006122EE">
        <w:t xml:space="preserve">household-scale </w:t>
      </w:r>
      <w:r w:rsidR="00AF48CC" w:rsidRPr="006122EE">
        <w:t>electricity</w:t>
      </w:r>
      <w:r w:rsidRPr="006122EE">
        <w:t xml:space="preserve"> </w:t>
      </w:r>
      <w:r w:rsidR="00A5729A" w:rsidRPr="006122EE">
        <w:t>t</w:t>
      </w:r>
      <w:r w:rsidRPr="006122EE">
        <w:t>echnologies</w:t>
      </w:r>
    </w:p>
    <w:p w14:paraId="101B66AE" w14:textId="77777777" w:rsidR="007211BA" w:rsidRPr="006122EE" w:rsidRDefault="00EA598D" w:rsidP="0082018A">
      <w:pPr>
        <w:spacing w:line="276" w:lineRule="auto"/>
      </w:pPr>
      <w:r w:rsidRPr="006122EE">
        <w:t>Solar energy technologies</w:t>
      </w:r>
      <w:r w:rsidR="000A0501" w:rsidRPr="006122EE">
        <w:t>, particularly photovoltaics,</w:t>
      </w:r>
      <w:r w:rsidR="005C53C8" w:rsidRPr="006122EE">
        <w:t xml:space="preserve"> can</w:t>
      </w:r>
      <w:r w:rsidRPr="006122EE">
        <w:t xml:space="preserve"> </w:t>
      </w:r>
      <w:r w:rsidR="000A0501" w:rsidRPr="006122EE">
        <w:t>play a major role in</w:t>
      </w:r>
      <w:r w:rsidRPr="006122EE">
        <w:t xml:space="preserve"> provi</w:t>
      </w:r>
      <w:r w:rsidR="000A0501" w:rsidRPr="006122EE">
        <w:t>ding</w:t>
      </w:r>
      <w:r w:rsidRPr="006122EE">
        <w:t xml:space="preserve"> modern energy services to the majority of </w:t>
      </w:r>
      <w:r w:rsidR="00FC2919" w:rsidRPr="006122EE">
        <w:t>Malawi’s population</w:t>
      </w:r>
      <w:r w:rsidR="000A0501" w:rsidRPr="006122EE">
        <w:t>. It is particularly applicable</w:t>
      </w:r>
      <w:r w:rsidR="007211BA" w:rsidRPr="006122EE">
        <w:t xml:space="preserve"> in rural areas</w:t>
      </w:r>
      <w:r w:rsidR="000A0501" w:rsidRPr="006122EE">
        <w:t>, though there is scope for the unserved urban population</w:t>
      </w:r>
      <w:r w:rsidRPr="006122EE">
        <w:t xml:space="preserve">. </w:t>
      </w:r>
      <w:r w:rsidR="005C53C8" w:rsidRPr="006122EE">
        <w:t>However</w:t>
      </w:r>
      <w:r w:rsidR="00A41C3E" w:rsidRPr="006122EE">
        <w:t>, access</w:t>
      </w:r>
      <w:r w:rsidRPr="006122EE">
        <w:t xml:space="preserve"> </w:t>
      </w:r>
      <w:r w:rsidR="005C53C8" w:rsidRPr="006122EE">
        <w:t xml:space="preserve">to </w:t>
      </w:r>
      <w:r w:rsidRPr="006122EE">
        <w:t xml:space="preserve">these technologies is beyond the reach of the majority of the </w:t>
      </w:r>
      <w:r w:rsidR="000A0501" w:rsidRPr="006122EE">
        <w:t xml:space="preserve">country’s </w:t>
      </w:r>
      <w:r w:rsidRPr="006122EE">
        <w:t xml:space="preserve">population. It is therefore </w:t>
      </w:r>
      <w:r w:rsidR="007211BA" w:rsidRPr="006122EE">
        <w:t xml:space="preserve">essential </w:t>
      </w:r>
      <w:r w:rsidRPr="006122EE">
        <w:t xml:space="preserve">that financing </w:t>
      </w:r>
      <w:r w:rsidR="00697BFA" w:rsidRPr="006122EE">
        <w:t>approaches be identified and supported</w:t>
      </w:r>
      <w:r w:rsidR="000A0501" w:rsidRPr="006122EE">
        <w:t xml:space="preserve"> by the government. </w:t>
      </w:r>
    </w:p>
    <w:p w14:paraId="063EE77F" w14:textId="77777777" w:rsidR="00697BFA" w:rsidRPr="006122EE" w:rsidRDefault="000A0501" w:rsidP="0082018A">
      <w:pPr>
        <w:pStyle w:val="ListParagraph"/>
        <w:spacing w:line="276" w:lineRule="auto"/>
        <w:ind w:left="0"/>
        <w:rPr>
          <w:rFonts w:cs="Arial"/>
        </w:rPr>
      </w:pPr>
      <w:r w:rsidRPr="006122EE">
        <w:rPr>
          <w:rFonts w:cs="Arial"/>
        </w:rPr>
        <w:t>Bank loans may be applicable in some cases, although the interest rates and collateral requirements are prohibitive for most households. Besides, most Malawians do not have conventional credit records and are thus considered too risky for a loan. However, there are</w:t>
      </w:r>
      <w:r w:rsidR="00697BFA" w:rsidRPr="006122EE">
        <w:rPr>
          <w:rFonts w:cs="Arial"/>
        </w:rPr>
        <w:t xml:space="preserve"> a number of alternative approaches people are using </w:t>
      </w:r>
      <w:r w:rsidRPr="006122EE">
        <w:rPr>
          <w:rFonts w:cs="Arial"/>
        </w:rPr>
        <w:t xml:space="preserve">in many countries </w:t>
      </w:r>
      <w:r w:rsidR="00697BFA" w:rsidRPr="006122EE">
        <w:rPr>
          <w:rFonts w:cs="Arial"/>
        </w:rPr>
        <w:t>to obtain consumer debt for clean energy investments such as SHS</w:t>
      </w:r>
      <w:r w:rsidR="00FC2919" w:rsidRPr="006122EE">
        <w:rPr>
          <w:rFonts w:cs="Arial"/>
        </w:rPr>
        <w:t xml:space="preserve">. </w:t>
      </w:r>
      <w:r w:rsidR="00697BFA" w:rsidRPr="006122EE">
        <w:rPr>
          <w:rFonts w:cs="Arial"/>
        </w:rPr>
        <w:t xml:space="preserve">These include microcredit loans, community credit union loans, village pools, utility on-bill financing, and vendors offering pay-as-you-go solar financing. </w:t>
      </w:r>
      <w:r w:rsidR="001C3A9D" w:rsidRPr="006122EE">
        <w:rPr>
          <w:rFonts w:cs="Arial"/>
        </w:rPr>
        <w:t>A large Malawian micro-finance institution, CUMO, regards the potential savings for a household purchasing solar lights as a good reason to lend to such households</w:t>
      </w:r>
      <w:r w:rsidR="00FC2919" w:rsidRPr="006122EE">
        <w:rPr>
          <w:rStyle w:val="FootnoteReference"/>
          <w:rFonts w:cs="Arial"/>
        </w:rPr>
        <w:footnoteReference w:id="77"/>
      </w:r>
      <w:r w:rsidR="001C3A9D" w:rsidRPr="006122EE">
        <w:rPr>
          <w:rFonts w:cs="Arial"/>
        </w:rPr>
        <w:t xml:space="preserve">. </w:t>
      </w:r>
      <w:r w:rsidR="00697BFA" w:rsidRPr="006122EE">
        <w:rPr>
          <w:rFonts w:cs="Arial"/>
        </w:rPr>
        <w:t xml:space="preserve"> </w:t>
      </w:r>
      <w:r w:rsidRPr="006122EE">
        <w:rPr>
          <w:rFonts w:cs="Arial"/>
        </w:rPr>
        <w:t>Some microcredit institutions</w:t>
      </w:r>
      <w:r w:rsidR="00697BFA" w:rsidRPr="006122EE">
        <w:rPr>
          <w:rFonts w:cs="Arial"/>
        </w:rPr>
        <w:t xml:space="preserve"> provide small-scale loans to people who have no credit history but who can get community members </w:t>
      </w:r>
      <w:r w:rsidRPr="006122EE">
        <w:rPr>
          <w:rFonts w:cs="Arial"/>
        </w:rPr>
        <w:t xml:space="preserve">to </w:t>
      </w:r>
      <w:r w:rsidR="00697BFA" w:rsidRPr="006122EE">
        <w:rPr>
          <w:rFonts w:cs="Arial"/>
        </w:rPr>
        <w:t xml:space="preserve">co-sign </w:t>
      </w:r>
      <w:r w:rsidRPr="006122EE">
        <w:rPr>
          <w:rFonts w:cs="Arial"/>
        </w:rPr>
        <w:t xml:space="preserve">or </w:t>
      </w:r>
      <w:r w:rsidR="00697BFA" w:rsidRPr="006122EE">
        <w:rPr>
          <w:rFonts w:cs="Arial"/>
        </w:rPr>
        <w:t xml:space="preserve">the loans. </w:t>
      </w:r>
    </w:p>
    <w:p w14:paraId="3643B526" w14:textId="77777777" w:rsidR="00697BFA" w:rsidRPr="006122EE" w:rsidRDefault="00697BFA" w:rsidP="0082018A">
      <w:pPr>
        <w:spacing w:line="276" w:lineRule="auto"/>
        <w:rPr>
          <w:rFonts w:cs="Arial"/>
        </w:rPr>
      </w:pPr>
      <w:r w:rsidRPr="006122EE">
        <w:rPr>
          <w:rFonts w:cs="Arial"/>
        </w:rPr>
        <w:t xml:space="preserve">But debt financing for household clean energy projects is waning in the face of various forms of the energy service model. That is, the emergence of the pay-as-you-go (PAYG) </w:t>
      </w:r>
      <w:r w:rsidR="00FC2919" w:rsidRPr="006122EE">
        <w:rPr>
          <w:rFonts w:cs="Arial"/>
        </w:rPr>
        <w:t>arrangement</w:t>
      </w:r>
      <w:r w:rsidRPr="006122EE">
        <w:rPr>
          <w:rFonts w:cs="Arial"/>
        </w:rPr>
        <w:t xml:space="preserve"> for SHS</w:t>
      </w:r>
      <w:r w:rsidR="000A0501" w:rsidRPr="006122EE">
        <w:rPr>
          <w:rFonts w:cs="Arial"/>
        </w:rPr>
        <w:t xml:space="preserve"> has</w:t>
      </w:r>
      <w:r w:rsidRPr="006122EE">
        <w:rPr>
          <w:rFonts w:cs="Arial"/>
        </w:rPr>
        <w:t xml:space="preserve"> rapidly expanded because </w:t>
      </w:r>
      <w:r w:rsidR="000A0501" w:rsidRPr="006122EE">
        <w:rPr>
          <w:rFonts w:cs="Arial"/>
        </w:rPr>
        <w:t>it</w:t>
      </w:r>
      <w:r w:rsidRPr="006122EE">
        <w:rPr>
          <w:rFonts w:cs="Arial"/>
        </w:rPr>
        <w:t xml:space="preserve"> require</w:t>
      </w:r>
      <w:r w:rsidR="000A0501" w:rsidRPr="006122EE">
        <w:rPr>
          <w:rFonts w:cs="Arial"/>
        </w:rPr>
        <w:t>s</w:t>
      </w:r>
      <w:r w:rsidRPr="006122EE">
        <w:rPr>
          <w:rFonts w:cs="Arial"/>
        </w:rPr>
        <w:t xml:space="preserve"> low or no down payments from consumers. Instead, the energy </w:t>
      </w:r>
      <w:r w:rsidR="000A0501" w:rsidRPr="006122EE">
        <w:rPr>
          <w:rFonts w:cs="Arial"/>
        </w:rPr>
        <w:t>solar</w:t>
      </w:r>
      <w:r w:rsidRPr="006122EE">
        <w:rPr>
          <w:rFonts w:cs="Arial"/>
        </w:rPr>
        <w:t xml:space="preserve"> vendors/installers own and service the equipment for the duration of a contract period. After the installation of the </w:t>
      </w:r>
      <w:r w:rsidR="00FD5259" w:rsidRPr="006122EE">
        <w:rPr>
          <w:rFonts w:cs="Arial"/>
        </w:rPr>
        <w:t>SHS or other energy technology</w:t>
      </w:r>
      <w:r w:rsidRPr="006122EE">
        <w:rPr>
          <w:rFonts w:cs="Arial"/>
        </w:rPr>
        <w:t>, the customer merely has to continue purchasing electricity at roughly the same price they were paying in the past</w:t>
      </w:r>
      <w:r w:rsidR="00FC2919" w:rsidRPr="006122EE">
        <w:rPr>
          <w:rFonts w:cs="Arial"/>
        </w:rPr>
        <w:t xml:space="preserve">. </w:t>
      </w:r>
      <w:r w:rsidRPr="006122EE">
        <w:rPr>
          <w:rFonts w:cs="Arial"/>
        </w:rPr>
        <w:t xml:space="preserve">But instead of the money going to the electric utility, it goes to the </w:t>
      </w:r>
      <w:r w:rsidR="00FD5259" w:rsidRPr="006122EE">
        <w:rPr>
          <w:rFonts w:cs="Arial"/>
        </w:rPr>
        <w:t>solar</w:t>
      </w:r>
      <w:r w:rsidRPr="006122EE">
        <w:rPr>
          <w:rFonts w:cs="Arial"/>
        </w:rPr>
        <w:t xml:space="preserve"> provider.</w:t>
      </w:r>
      <w:r w:rsidR="00FD5259" w:rsidRPr="006122EE">
        <w:rPr>
          <w:rFonts w:cs="Arial"/>
        </w:rPr>
        <w:t xml:space="preserve"> T</w:t>
      </w:r>
      <w:r w:rsidRPr="006122EE">
        <w:rPr>
          <w:rFonts w:cs="Arial"/>
        </w:rPr>
        <w:t>he vendor covers its costs and earns a profit through the customer’s electricity payments plus any tax benefits that may accrue from ownership of the solar system</w:t>
      </w:r>
      <w:r w:rsidR="00FC2919" w:rsidRPr="006122EE">
        <w:rPr>
          <w:rFonts w:cs="Arial"/>
        </w:rPr>
        <w:t xml:space="preserve">. </w:t>
      </w:r>
      <w:r w:rsidR="00FD5259" w:rsidRPr="006122EE">
        <w:rPr>
          <w:rFonts w:cs="Arial"/>
        </w:rPr>
        <w:t>T</w:t>
      </w:r>
      <w:r w:rsidRPr="006122EE">
        <w:rPr>
          <w:rFonts w:cs="Arial"/>
        </w:rPr>
        <w:t>he financial arrangement is a variation on a lease or lease-purchase.</w:t>
      </w:r>
    </w:p>
    <w:p w14:paraId="5E894D9E" w14:textId="77777777" w:rsidR="00EA598D" w:rsidRPr="006122EE" w:rsidRDefault="00EA598D" w:rsidP="0082018A">
      <w:pPr>
        <w:spacing w:line="276" w:lineRule="auto"/>
      </w:pPr>
      <w:r w:rsidRPr="006122EE">
        <w:t xml:space="preserve">The </w:t>
      </w:r>
      <w:r w:rsidR="00983ED1" w:rsidRPr="006122EE">
        <w:t>g</w:t>
      </w:r>
      <w:r w:rsidRPr="006122EE">
        <w:t xml:space="preserve">overnment </w:t>
      </w:r>
      <w:r w:rsidR="00FD5259" w:rsidRPr="006122EE">
        <w:t>is interested in seeing this kind of approach expand throughout Malawi. In order to provide these financing ventures with seed capital, t</w:t>
      </w:r>
      <w:r w:rsidRPr="006122EE">
        <w:t xml:space="preserve">he Department of Energy </w:t>
      </w:r>
      <w:r w:rsidR="009D2A23" w:rsidRPr="006122EE">
        <w:t>will</w:t>
      </w:r>
      <w:r w:rsidRPr="006122EE">
        <w:t xml:space="preserve"> resuscitate the Guarantee Fund which was set </w:t>
      </w:r>
      <w:r w:rsidR="00FD5259" w:rsidRPr="006122EE">
        <w:t xml:space="preserve">up </w:t>
      </w:r>
      <w:r w:rsidRPr="006122EE">
        <w:t>through the Malawi Environment Endowment Trust.</w:t>
      </w:r>
      <w:r w:rsidR="00FD5259" w:rsidRPr="006122EE">
        <w:t xml:space="preserve"> How the fund will be used will be determined through consultations with stakeholders such as importers, manufacturers, installers and organizations representing the household sector.</w:t>
      </w:r>
    </w:p>
    <w:p w14:paraId="547385EE" w14:textId="77777777" w:rsidR="00B34AB2" w:rsidRPr="006122EE" w:rsidRDefault="00B34AB2" w:rsidP="0082018A">
      <w:pPr>
        <w:spacing w:line="276" w:lineRule="auto"/>
      </w:pPr>
      <w:r w:rsidRPr="006122EE">
        <w:t>Currently the population that is on the national grid enjoys subsided energy price as well as free access to electricity by way of either MAREP or ESCOM grid extension nearby them. The majority of the population far away from the grid do not enjoy these benefits. It is therefore imperative that if a private investor goes into the SHS business, particularly in rural areas, or a mini-grid construction and operation venture, a subsidy will be needed on either the upfront investment cost or on the operation and maintenance costs.  The government, led by the Department of Energy, will appraise various subsidy options, from investment tax credits to production credits to the waiving of certain fees and taxes. For mini-grids, there could be a subsidy provided per new connection, as is done in Mali</w:t>
      </w:r>
      <w:r w:rsidRPr="006122EE">
        <w:rPr>
          <w:rStyle w:val="FootnoteReference"/>
        </w:rPr>
        <w:footnoteReference w:id="78"/>
      </w:r>
      <w:r w:rsidRPr="006122EE">
        <w:t xml:space="preserve">. Alternatively, capital subsidies could be provided over time in tranches to better ensure good performance by the operator. The subsidies will be designed to achieve a certain IRR for the investors, although they will be responsible for a lower IRR if they are unable to contain costs.  </w:t>
      </w:r>
    </w:p>
    <w:p w14:paraId="6EE5EC00" w14:textId="77777777" w:rsidR="00EA598D" w:rsidRPr="006122EE" w:rsidRDefault="00A5729A" w:rsidP="0082018A">
      <w:pPr>
        <w:pStyle w:val="Style1"/>
        <w:spacing w:line="276" w:lineRule="auto"/>
      </w:pPr>
      <w:r w:rsidRPr="006122EE">
        <w:t xml:space="preserve">Financing </w:t>
      </w:r>
      <w:r w:rsidR="00B34AB2" w:rsidRPr="006122EE">
        <w:t xml:space="preserve">and regulation of </w:t>
      </w:r>
      <w:r w:rsidR="00AF48CC" w:rsidRPr="006122EE">
        <w:t>community</w:t>
      </w:r>
      <w:r w:rsidRPr="006122EE">
        <w:t>-level electricity generation</w:t>
      </w:r>
      <w:r w:rsidR="00EA598D" w:rsidRPr="006122EE">
        <w:t xml:space="preserve"> </w:t>
      </w:r>
      <w:r w:rsidRPr="006122EE">
        <w:t>(M</w:t>
      </w:r>
      <w:r w:rsidR="00EA598D" w:rsidRPr="006122EE">
        <w:t>ini</w:t>
      </w:r>
      <w:r w:rsidRPr="006122EE">
        <w:t>–</w:t>
      </w:r>
      <w:r w:rsidR="009B31B8" w:rsidRPr="006122EE">
        <w:t>g</w:t>
      </w:r>
      <w:r w:rsidR="00EA598D" w:rsidRPr="006122EE">
        <w:t>rid</w:t>
      </w:r>
      <w:r w:rsidRPr="006122EE">
        <w:t>s)</w:t>
      </w:r>
      <w:r w:rsidR="00EA598D" w:rsidRPr="006122EE">
        <w:t xml:space="preserve"> </w:t>
      </w:r>
    </w:p>
    <w:p w14:paraId="059BB576" w14:textId="77777777" w:rsidR="0025612B" w:rsidRPr="006122EE" w:rsidRDefault="009F7267" w:rsidP="0082018A">
      <w:pPr>
        <w:spacing w:line="276" w:lineRule="auto"/>
      </w:pPr>
      <w:r w:rsidRPr="006122EE">
        <w:t xml:space="preserve">Along with individual SHS, </w:t>
      </w:r>
      <w:r w:rsidR="00FC2919" w:rsidRPr="006122EE">
        <w:t>mini</w:t>
      </w:r>
      <w:r w:rsidR="00EA598D" w:rsidRPr="006122EE">
        <w:t xml:space="preserve"> grids </w:t>
      </w:r>
      <w:r w:rsidRPr="006122EE">
        <w:t xml:space="preserve">are a </w:t>
      </w:r>
      <w:r w:rsidR="003523B3" w:rsidRPr="006122EE">
        <w:t>key element</w:t>
      </w:r>
      <w:r w:rsidRPr="006122EE">
        <w:t xml:space="preserve"> in</w:t>
      </w:r>
      <w:r w:rsidR="003523B3" w:rsidRPr="006122EE">
        <w:t xml:space="preserve"> Malawi’s</w:t>
      </w:r>
      <w:r w:rsidRPr="006122EE">
        <w:t xml:space="preserve"> rural electricity </w:t>
      </w:r>
      <w:r w:rsidR="003523B3" w:rsidRPr="006122EE">
        <w:t>service</w:t>
      </w:r>
      <w:r w:rsidRPr="006122EE">
        <w:t xml:space="preserve"> strategy, particularly where population densities are high enough to support them</w:t>
      </w:r>
      <w:r w:rsidR="00FC2919" w:rsidRPr="006122EE">
        <w:t xml:space="preserve">. </w:t>
      </w:r>
      <w:r w:rsidRPr="006122EE">
        <w:t xml:space="preserve">Ideally, mini-grids would be built by an entrepreneur or by a community, who manage the system and charge </w:t>
      </w:r>
      <w:r w:rsidR="003523B3" w:rsidRPr="006122EE">
        <w:t xml:space="preserve">consumers </w:t>
      </w:r>
      <w:r w:rsidRPr="006122EE">
        <w:t>a fee for the electricity sufficient to cover the cost of building and operating the mini-grid. But in practice, t</w:t>
      </w:r>
      <w:r w:rsidR="003523B3" w:rsidRPr="006122EE">
        <w:t>his has been a challenge in many</w:t>
      </w:r>
      <w:r w:rsidRPr="006122EE">
        <w:t xml:space="preserve"> </w:t>
      </w:r>
      <w:r w:rsidR="00FC2919" w:rsidRPr="006122EE">
        <w:t>countries. Experience</w:t>
      </w:r>
      <w:r w:rsidRPr="006122EE">
        <w:t xml:space="preserve"> </w:t>
      </w:r>
      <w:r w:rsidR="003523B3" w:rsidRPr="006122EE">
        <w:t>in many countries</w:t>
      </w:r>
      <w:r w:rsidRPr="006122EE">
        <w:t xml:space="preserve"> </w:t>
      </w:r>
      <w:r w:rsidR="00FC2919" w:rsidRPr="006122EE">
        <w:t>indicates that</w:t>
      </w:r>
      <w:r w:rsidRPr="006122EE">
        <w:t xml:space="preserve"> many</w:t>
      </w:r>
      <w:r w:rsidR="00EA598D" w:rsidRPr="006122EE">
        <w:t xml:space="preserve"> mini</w:t>
      </w:r>
      <w:r w:rsidRPr="006122EE">
        <w:t>-</w:t>
      </w:r>
      <w:r w:rsidR="00EA598D" w:rsidRPr="006122EE">
        <w:t xml:space="preserve">grids </w:t>
      </w:r>
      <w:r w:rsidRPr="006122EE">
        <w:t>have high generation costs and low revenues</w:t>
      </w:r>
      <w:r w:rsidR="00A41C3E" w:rsidRPr="006122EE">
        <w:t>.</w:t>
      </w:r>
      <w:r w:rsidR="00EA598D" w:rsidRPr="006122EE">
        <w:t xml:space="preserve"> </w:t>
      </w:r>
      <w:r w:rsidR="00AE7936" w:rsidRPr="006122EE">
        <w:t>They are regarded as risky investments by private entrepreneurs, although with sound financial structuring and government support, mini-grids could be financial sustainable.</w:t>
      </w:r>
      <w:r w:rsidR="003523B3" w:rsidRPr="006122EE">
        <w:t xml:space="preserve"> </w:t>
      </w:r>
      <w:r w:rsidR="00B34AB2" w:rsidRPr="006122EE">
        <w:t>The DOE</w:t>
      </w:r>
      <w:r w:rsidR="003D471C">
        <w:t>A</w:t>
      </w:r>
      <w:r w:rsidR="00B34AB2" w:rsidRPr="006122EE">
        <w:t xml:space="preserve"> will identify the appropriate </w:t>
      </w:r>
      <w:r w:rsidR="003523B3" w:rsidRPr="006122EE">
        <w:t xml:space="preserve">form of subsidy </w:t>
      </w:r>
      <w:r w:rsidR="00B34AB2" w:rsidRPr="006122EE">
        <w:t xml:space="preserve">that </w:t>
      </w:r>
      <w:r w:rsidR="003523B3" w:rsidRPr="006122EE">
        <w:t xml:space="preserve">will  be needed (See “Provision of Subsidies” below). </w:t>
      </w:r>
    </w:p>
    <w:p w14:paraId="418D3447" w14:textId="77777777" w:rsidR="00732FF7" w:rsidRPr="006122EE" w:rsidRDefault="003523B3" w:rsidP="0082018A">
      <w:pPr>
        <w:spacing w:line="276" w:lineRule="auto"/>
      </w:pPr>
      <w:r w:rsidRPr="006122EE">
        <w:t xml:space="preserve">There are several ownership and financing models that the Government of Malawi will explore for developing mini-grids on a sound financial footing. </w:t>
      </w:r>
      <w:r w:rsidR="0025612B" w:rsidRPr="006122EE">
        <w:t xml:space="preserve">The </w:t>
      </w:r>
      <w:r w:rsidR="00983ED1" w:rsidRPr="006122EE">
        <w:t>g</w:t>
      </w:r>
      <w:r w:rsidR="0025612B" w:rsidRPr="006122EE">
        <w:t xml:space="preserve">overnment will not select a particular approach but will encourage approaches that attract private investment. An attractive </w:t>
      </w:r>
      <w:r w:rsidRPr="006122EE">
        <w:t xml:space="preserve">model is for a private entity to own the generation while the community owns the mini-grid itself. The private entity could also have a service contract to maintain the mini-grid. </w:t>
      </w:r>
      <w:r w:rsidR="0025612B" w:rsidRPr="006122EE">
        <w:t>Whichever approaches are chosen, private ownership of at least part of the mini-grid system will be desirable.</w:t>
      </w:r>
    </w:p>
    <w:p w14:paraId="611B5B69" w14:textId="77777777" w:rsidR="00B34AB2" w:rsidRPr="006122EE" w:rsidRDefault="00B34AB2" w:rsidP="0082018A">
      <w:pPr>
        <w:spacing w:line="276" w:lineRule="auto"/>
      </w:pPr>
      <w:r w:rsidRPr="006122EE">
        <w:t>While mini-grids can operate largely without regulation, a basic regulatory structure is needed to ensure financial and technical stability of the mini-grid, ensure safety standards are followed, and equipment and operating practices will allow the mini-grid to be more readily connected to the grid when the grid reaches the mini-grid</w:t>
      </w:r>
      <w:r w:rsidR="00A41C3E" w:rsidRPr="006122EE">
        <w:t xml:space="preserve">. </w:t>
      </w:r>
      <w:r w:rsidRPr="006122EE">
        <w:t>There is also the matter of regulating mini-grid tariffs. In some cases, the tariffs are reduced because people on the mini-grids are poor and cannot afford to purchase electricity at full price. Finally, because mini-grids are inherently risky investments, the GoM will look to find ways to reduce fees and other expenses faced by a mini-grid start-up. It may also be possible to exempt mni-grids from certain expenses or at least streamline processes such environmental impact assessment.</w:t>
      </w:r>
    </w:p>
    <w:p w14:paraId="718EC041" w14:textId="77777777" w:rsidR="00F852DA" w:rsidRPr="00866D96" w:rsidRDefault="00F852DA" w:rsidP="0082018A">
      <w:pPr>
        <w:pStyle w:val="Style1"/>
        <w:spacing w:line="276" w:lineRule="auto"/>
      </w:pPr>
      <w:r w:rsidRPr="00866D96">
        <w:t>Electrification of Public Institutions</w:t>
      </w:r>
    </w:p>
    <w:p w14:paraId="0C727A26" w14:textId="77777777" w:rsidR="00F852DA" w:rsidRPr="00866D96" w:rsidRDefault="00F852DA" w:rsidP="0082018A">
      <w:pPr>
        <w:spacing w:line="276" w:lineRule="auto"/>
        <w:rPr>
          <w:color w:val="auto"/>
        </w:rPr>
      </w:pPr>
      <w:r w:rsidRPr="00866D96">
        <w:rPr>
          <w:color w:val="auto"/>
        </w:rPr>
        <w:t>Most public institutions which are in the rural areas where there is no grid electricity are not electrified. The Rural Electrification Programme should intensify its efforts to electrify all public institutions where the grid has reached. The electrification should include in-house wiring of the institutions. Those public institutions far away from the grid should be electrified through off-grid options</w:t>
      </w:r>
      <w:r w:rsidR="00AF48CC">
        <w:rPr>
          <w:color w:val="auto"/>
        </w:rPr>
        <w:t>.</w:t>
      </w:r>
      <w:r w:rsidRPr="00866D96">
        <w:rPr>
          <w:color w:val="auto"/>
        </w:rPr>
        <w:t xml:space="preserve"> This will lead to 100% electrification of public institutions by 2030. Those public institutions which are in the urban areas but not electrified should also benefit from the Rural Electrification Programme through the arrangement of in-house wiring and meter connection.</w:t>
      </w:r>
    </w:p>
    <w:p w14:paraId="1EC4B316" w14:textId="77777777" w:rsidR="00B509DD" w:rsidRPr="00866D96" w:rsidRDefault="00B509DD" w:rsidP="0082018A">
      <w:pPr>
        <w:pStyle w:val="CSubtitle1"/>
        <w:spacing w:line="276" w:lineRule="auto"/>
        <w:rPr>
          <w:noProof w:val="0"/>
          <w:lang w:val="en-GB"/>
        </w:rPr>
      </w:pPr>
      <w:bookmarkStart w:id="423" w:name="_Toc481614928"/>
      <w:r w:rsidRPr="00866D96">
        <w:rPr>
          <w:noProof w:val="0"/>
          <w:lang w:val="en-GB"/>
        </w:rPr>
        <w:t>Promotion of Pico solar systems</w:t>
      </w:r>
      <w:bookmarkEnd w:id="423"/>
      <w:r w:rsidRPr="00866D96">
        <w:rPr>
          <w:noProof w:val="0"/>
          <w:lang w:val="en-GB"/>
        </w:rPr>
        <w:t xml:space="preserve"> </w:t>
      </w:r>
    </w:p>
    <w:p w14:paraId="7B171E11" w14:textId="77777777" w:rsidR="00D23BD5" w:rsidRDefault="001D4A87" w:rsidP="00D23BD5">
      <w:pPr>
        <w:spacing w:line="276" w:lineRule="auto"/>
      </w:pPr>
      <w:r>
        <w:t>The government’s strategy to broaden the use of pico solar products</w:t>
      </w:r>
      <w:r w:rsidR="00D23BD5">
        <w:t>, such as</w:t>
      </w:r>
      <w:r>
        <w:t xml:space="preserve"> solar lanterns</w:t>
      </w:r>
      <w:r w:rsidR="00D23BD5">
        <w:t>,</w:t>
      </w:r>
      <w:r>
        <w:t xml:space="preserve"> will rely on a strong collaboration with NGOs</w:t>
      </w:r>
      <w:r w:rsidR="00D23BD5">
        <w:t>, which are already engaged in the promotion and distribution of solar pico products</w:t>
      </w:r>
      <w:r w:rsidR="00B509DD" w:rsidRPr="006122EE">
        <w:t xml:space="preserve">. </w:t>
      </w:r>
      <w:r w:rsidR="00D23BD5">
        <w:t>The DOEA will mount a promotional campaign in select, isolated geographic areas to encourage people to use pico solar products as an alternative to kerosene and candles. The promotional campaign will also</w:t>
      </w:r>
      <w:r w:rsidR="00B1402E">
        <w:t>:</w:t>
      </w:r>
      <w:r w:rsidR="00D23BD5">
        <w:t xml:space="preserve"> </w:t>
      </w:r>
    </w:p>
    <w:p w14:paraId="40E97287" w14:textId="77777777" w:rsidR="00D23BD5" w:rsidRDefault="00D23BD5" w:rsidP="00B1402E">
      <w:pPr>
        <w:pStyle w:val="ListParagraph"/>
        <w:numPr>
          <w:ilvl w:val="0"/>
          <w:numId w:val="161"/>
        </w:numPr>
        <w:spacing w:line="276" w:lineRule="auto"/>
      </w:pPr>
      <w:r>
        <w:t>Inform consumers about how to purchase quality equipment, for example, by choosing certified products;</w:t>
      </w:r>
    </w:p>
    <w:p w14:paraId="56DB84BA" w14:textId="77777777" w:rsidR="00D23BD5" w:rsidRDefault="00D23BD5" w:rsidP="00B1402E">
      <w:pPr>
        <w:pStyle w:val="ListParagraph"/>
        <w:numPr>
          <w:ilvl w:val="0"/>
          <w:numId w:val="161"/>
        </w:numPr>
        <w:spacing w:line="276" w:lineRule="auto"/>
      </w:pPr>
      <w:r>
        <w:t>Work with local governments and village leaders to begin using pico solar products themselves and participate in encouraging other people to use them;</w:t>
      </w:r>
    </w:p>
    <w:p w14:paraId="3E7FABB0" w14:textId="77777777" w:rsidR="00D23BD5" w:rsidRDefault="00D23BD5" w:rsidP="00B1402E">
      <w:pPr>
        <w:pStyle w:val="ListParagraph"/>
        <w:numPr>
          <w:ilvl w:val="0"/>
          <w:numId w:val="161"/>
        </w:numPr>
        <w:spacing w:line="276" w:lineRule="auto"/>
      </w:pPr>
      <w:r>
        <w:t xml:space="preserve">Offer training courses </w:t>
      </w:r>
      <w:r w:rsidR="00B1402E">
        <w:t>and develop the capacity of</w:t>
      </w:r>
      <w:r>
        <w:t xml:space="preserve"> local entrepreneurs on the sale, servicing and financing of pico solar products as well as SHS and other alternative energy products. A possible model for this is the “energy stores” es</w:t>
      </w:r>
      <w:r w:rsidR="00B1402E">
        <w:t>tablished in the Kwa</w:t>
      </w:r>
      <w:r>
        <w:t>Zulu</w:t>
      </w:r>
      <w:r w:rsidR="00B1402E">
        <w:t>-</w:t>
      </w:r>
      <w:r>
        <w:t>Natal province of South Africa, which provide a range of solar, LPG and other energy services to rural communities.</w:t>
      </w:r>
    </w:p>
    <w:p w14:paraId="42EA49CA" w14:textId="77777777" w:rsidR="00D23BD5" w:rsidRDefault="00B1402E" w:rsidP="00B1402E">
      <w:pPr>
        <w:pStyle w:val="Default"/>
        <w:numPr>
          <w:ilvl w:val="0"/>
          <w:numId w:val="161"/>
        </w:numPr>
        <w:rPr>
          <w:color w:val="000000" w:themeColor="text1"/>
          <w:sz w:val="20"/>
          <w:szCs w:val="20"/>
        </w:rPr>
      </w:pPr>
      <w:r>
        <w:rPr>
          <w:color w:val="000000" w:themeColor="text1"/>
          <w:sz w:val="20"/>
          <w:szCs w:val="20"/>
        </w:rPr>
        <w:t xml:space="preserve">Work with universities to establish rural </w:t>
      </w:r>
      <w:r w:rsidR="00D23BD5">
        <w:rPr>
          <w:color w:val="000000" w:themeColor="text1"/>
          <w:sz w:val="20"/>
          <w:szCs w:val="20"/>
        </w:rPr>
        <w:t xml:space="preserve">business incubation facilities to assist </w:t>
      </w:r>
      <w:r>
        <w:rPr>
          <w:color w:val="000000" w:themeColor="text1"/>
          <w:sz w:val="20"/>
          <w:szCs w:val="20"/>
        </w:rPr>
        <w:t xml:space="preserve">entrepreneurs and </w:t>
      </w:r>
      <w:r w:rsidR="00D23BD5">
        <w:rPr>
          <w:color w:val="000000" w:themeColor="text1"/>
          <w:sz w:val="20"/>
          <w:szCs w:val="20"/>
        </w:rPr>
        <w:t xml:space="preserve">start-ups in developing </w:t>
      </w:r>
      <w:r>
        <w:rPr>
          <w:color w:val="000000" w:themeColor="text1"/>
          <w:sz w:val="20"/>
          <w:szCs w:val="20"/>
        </w:rPr>
        <w:t xml:space="preserve">pico solar and related </w:t>
      </w:r>
      <w:r w:rsidR="00D23BD5">
        <w:rPr>
          <w:color w:val="000000" w:themeColor="text1"/>
          <w:sz w:val="20"/>
          <w:szCs w:val="20"/>
        </w:rPr>
        <w:t>business</w:t>
      </w:r>
      <w:r>
        <w:rPr>
          <w:color w:val="000000" w:themeColor="text1"/>
          <w:sz w:val="20"/>
          <w:szCs w:val="20"/>
        </w:rPr>
        <w:t>es</w:t>
      </w:r>
      <w:r w:rsidR="00D23BD5">
        <w:rPr>
          <w:color w:val="000000" w:themeColor="text1"/>
          <w:sz w:val="20"/>
          <w:szCs w:val="20"/>
        </w:rPr>
        <w:t xml:space="preserve"> </w:t>
      </w:r>
      <w:r>
        <w:rPr>
          <w:color w:val="000000" w:themeColor="text1"/>
          <w:sz w:val="20"/>
          <w:szCs w:val="20"/>
        </w:rPr>
        <w:t>that provide energy services in rural areas.</w:t>
      </w:r>
    </w:p>
    <w:p w14:paraId="311DB5D5" w14:textId="77777777" w:rsidR="000E1A71" w:rsidRPr="006122EE" w:rsidRDefault="00B509DD" w:rsidP="0082018A">
      <w:pPr>
        <w:spacing w:line="276" w:lineRule="auto"/>
      </w:pPr>
      <w:r w:rsidRPr="006122EE">
        <w:t xml:space="preserve">NGOS </w:t>
      </w:r>
      <w:r w:rsidR="00670678" w:rsidRPr="006122EE">
        <w:t>will</w:t>
      </w:r>
      <w:r w:rsidRPr="006122EE">
        <w:t xml:space="preserve"> be encouraged to come up with </w:t>
      </w:r>
      <w:r w:rsidR="000E1A71" w:rsidRPr="006122EE">
        <w:t xml:space="preserve">large-scale </w:t>
      </w:r>
      <w:r w:rsidRPr="006122EE">
        <w:t xml:space="preserve">programmes </w:t>
      </w:r>
      <w:r w:rsidR="000E1A71" w:rsidRPr="006122EE">
        <w:t>to distribute and finance pico solar products</w:t>
      </w:r>
      <w:r w:rsidR="001D4A87">
        <w:t xml:space="preserve"> in specific geographical areas of the country</w:t>
      </w:r>
      <w:r w:rsidR="000E1A71" w:rsidRPr="006122EE">
        <w:t>.</w:t>
      </w:r>
      <w:r w:rsidRPr="006122EE">
        <w:t xml:space="preserve"> </w:t>
      </w:r>
      <w:r w:rsidR="001D4A87">
        <w:t>They</w:t>
      </w:r>
      <w:r w:rsidRPr="006122EE">
        <w:t xml:space="preserve"> </w:t>
      </w:r>
      <w:r w:rsidR="000E1A71" w:rsidRPr="006122EE">
        <w:t xml:space="preserve">will also be encouraged to </w:t>
      </w:r>
      <w:r w:rsidRPr="006122EE">
        <w:t>introduce solar energy kiosk</w:t>
      </w:r>
      <w:r w:rsidR="000E1A71" w:rsidRPr="006122EE">
        <w:t>s</w:t>
      </w:r>
      <w:r w:rsidRPr="006122EE">
        <w:t xml:space="preserve"> </w:t>
      </w:r>
      <w:r w:rsidR="000E1A71" w:rsidRPr="006122EE">
        <w:t xml:space="preserve">in remote </w:t>
      </w:r>
      <w:r w:rsidRPr="006122EE">
        <w:t>areas</w:t>
      </w:r>
      <w:r w:rsidR="00A41C3E" w:rsidRPr="006122EE">
        <w:t xml:space="preserve">. </w:t>
      </w:r>
      <w:r w:rsidR="001D4A87">
        <w:t>These mini-stores, which</w:t>
      </w:r>
      <w:r w:rsidR="000E1A71" w:rsidRPr="006122EE">
        <w:t xml:space="preserve"> provide refrigerated food and drinks</w:t>
      </w:r>
      <w:r w:rsidR="001D4A87">
        <w:t>,</w:t>
      </w:r>
      <w:r w:rsidR="000E1A71" w:rsidRPr="006122EE">
        <w:t xml:space="preserve"> have been a success in Tanzania, Kenya, Rwanda, Ethiopia and elsewhere.</w:t>
      </w:r>
    </w:p>
    <w:p w14:paraId="5BD571FC" w14:textId="77777777" w:rsidR="002F6F21" w:rsidRPr="00866D96" w:rsidRDefault="002F6F21" w:rsidP="001D4A87">
      <w:pPr>
        <w:pStyle w:val="DBulletlevel1"/>
        <w:numPr>
          <w:ilvl w:val="0"/>
          <w:numId w:val="0"/>
        </w:numPr>
        <w:spacing w:line="276" w:lineRule="auto"/>
        <w:ind w:left="1723"/>
        <w:rPr>
          <w:noProof w:val="0"/>
        </w:rPr>
      </w:pPr>
      <w:bookmarkStart w:id="424" w:name="_Toc448426478"/>
      <w:bookmarkStart w:id="425" w:name="_Toc448426479"/>
      <w:bookmarkStart w:id="426" w:name="_Toc448426480"/>
      <w:bookmarkStart w:id="427" w:name="_Toc448426481"/>
      <w:bookmarkEnd w:id="424"/>
      <w:bookmarkEnd w:id="425"/>
      <w:bookmarkEnd w:id="426"/>
      <w:bookmarkEnd w:id="427"/>
    </w:p>
    <w:p w14:paraId="2682C6EF" w14:textId="77777777" w:rsidR="00077CF5" w:rsidRDefault="00077CF5" w:rsidP="00866D96">
      <w:pPr>
        <w:pStyle w:val="Caption"/>
        <w:ind w:left="1003"/>
        <w:jc w:val="both"/>
        <w:sectPr w:rsidR="00077CF5" w:rsidSect="00077CF5">
          <w:pgSz w:w="11899" w:h="16838" w:code="9"/>
          <w:pgMar w:top="851" w:right="1134" w:bottom="851" w:left="1134" w:header="680" w:footer="668" w:gutter="227"/>
          <w:cols w:space="708"/>
          <w:docGrid w:linePitch="272"/>
        </w:sectPr>
      </w:pPr>
      <w:bookmarkStart w:id="428" w:name="_Toc481615018"/>
    </w:p>
    <w:p w14:paraId="0216985E" w14:textId="77777777" w:rsidR="006E363C" w:rsidRPr="006122EE" w:rsidRDefault="00A41C3E" w:rsidP="00866D96">
      <w:pPr>
        <w:pStyle w:val="Caption"/>
        <w:ind w:left="1003"/>
        <w:jc w:val="both"/>
      </w:pPr>
      <w:r w:rsidRPr="006122EE">
        <w:t xml:space="preserve">Table </w:t>
      </w:r>
      <w:r w:rsidR="00DC7D8C">
        <w:fldChar w:fldCharType="begin"/>
      </w:r>
      <w:r w:rsidR="00DC7D8C">
        <w:instrText xml:space="preserve"> SEQ Table \* ARABIC </w:instrText>
      </w:r>
      <w:r w:rsidR="00DC7D8C">
        <w:fldChar w:fldCharType="separate"/>
      </w:r>
      <w:r w:rsidR="00866D96">
        <w:rPr>
          <w:noProof/>
        </w:rPr>
        <w:t>33</w:t>
      </w:r>
      <w:r w:rsidR="00DC7D8C">
        <w:rPr>
          <w:noProof/>
        </w:rPr>
        <w:fldChar w:fldCharType="end"/>
      </w:r>
      <w:r w:rsidRPr="006122EE">
        <w:t>: Summary of priority actions on Energy Access</w:t>
      </w:r>
      <w:bookmarkEnd w:id="428"/>
    </w:p>
    <w:tbl>
      <w:tblPr>
        <w:tblStyle w:val="GridTable4-Accent331"/>
        <w:tblW w:w="5000" w:type="pct"/>
        <w:tblLayout w:type="fixed"/>
        <w:tblLook w:val="04A0" w:firstRow="1" w:lastRow="0" w:firstColumn="1" w:lastColumn="0" w:noHBand="0" w:noVBand="1"/>
      </w:tblPr>
      <w:tblGrid>
        <w:gridCol w:w="2987"/>
        <w:gridCol w:w="3167"/>
        <w:gridCol w:w="2054"/>
        <w:gridCol w:w="1827"/>
        <w:gridCol w:w="2459"/>
        <w:gridCol w:w="2632"/>
      </w:tblGrid>
      <w:tr w:rsidR="0094681A" w:rsidRPr="006122EE" w14:paraId="548ABBF1" w14:textId="77777777" w:rsidTr="00866D96">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987" w:type="pct"/>
            <w:noWrap/>
          </w:tcPr>
          <w:p w14:paraId="37E003F3" w14:textId="77777777" w:rsidR="00046EA5" w:rsidRPr="00866D96" w:rsidRDefault="00046EA5" w:rsidP="005A7401">
            <w:pPr>
              <w:rPr>
                <w:bCs w:val="0"/>
              </w:rPr>
            </w:pPr>
            <w:r w:rsidRPr="006122EE">
              <w:t>Category</w:t>
            </w:r>
          </w:p>
        </w:tc>
        <w:tc>
          <w:tcPr>
            <w:tcW w:w="1047" w:type="pct"/>
            <w:noWrap/>
          </w:tcPr>
          <w:p w14:paraId="280444CB" w14:textId="77777777" w:rsidR="00046EA5" w:rsidRPr="00866D96" w:rsidRDefault="00046EA5" w:rsidP="005A7401">
            <w:pPr>
              <w:cnfStyle w:val="100000000000" w:firstRow="1" w:lastRow="0" w:firstColumn="0" w:lastColumn="0" w:oddVBand="0" w:evenVBand="0" w:oddHBand="0" w:evenHBand="0" w:firstRowFirstColumn="0" w:firstRowLastColumn="0" w:lastRowFirstColumn="0" w:lastRowLastColumn="0"/>
              <w:rPr>
                <w:bCs w:val="0"/>
              </w:rPr>
            </w:pPr>
            <w:r w:rsidRPr="006122EE">
              <w:t>Action</w:t>
            </w:r>
          </w:p>
        </w:tc>
        <w:tc>
          <w:tcPr>
            <w:tcW w:w="679" w:type="pct"/>
          </w:tcPr>
          <w:p w14:paraId="46CFDD1D" w14:textId="77777777" w:rsidR="00046EA5" w:rsidRPr="00866D96" w:rsidRDefault="00046EA5" w:rsidP="005A7401">
            <w:pPr>
              <w:cnfStyle w:val="100000000000" w:firstRow="1" w:lastRow="0" w:firstColumn="0" w:lastColumn="0" w:oddVBand="0" w:evenVBand="0" w:oddHBand="0" w:evenHBand="0" w:firstRowFirstColumn="0" w:firstRowLastColumn="0" w:lastRowFirstColumn="0" w:lastRowLastColumn="0"/>
              <w:rPr>
                <w:bCs w:val="0"/>
              </w:rPr>
            </w:pPr>
            <w:r w:rsidRPr="006122EE">
              <w:t>Indicative time frame*</w:t>
            </w:r>
          </w:p>
        </w:tc>
        <w:tc>
          <w:tcPr>
            <w:tcW w:w="604" w:type="pct"/>
          </w:tcPr>
          <w:p w14:paraId="2F62724F" w14:textId="77777777" w:rsidR="00046EA5" w:rsidRPr="00866D96" w:rsidRDefault="00046EA5" w:rsidP="005A7401">
            <w:pPr>
              <w:cnfStyle w:val="100000000000" w:firstRow="1" w:lastRow="0" w:firstColumn="0" w:lastColumn="0" w:oddVBand="0" w:evenVBand="0" w:oddHBand="0" w:evenHBand="0" w:firstRowFirstColumn="0" w:firstRowLastColumn="0" w:lastRowFirstColumn="0" w:lastRowLastColumn="0"/>
              <w:rPr>
                <w:bCs w:val="0"/>
              </w:rPr>
            </w:pPr>
            <w:r w:rsidRPr="006122EE">
              <w:t>Lead agency</w:t>
            </w:r>
          </w:p>
        </w:tc>
        <w:tc>
          <w:tcPr>
            <w:tcW w:w="813" w:type="pct"/>
          </w:tcPr>
          <w:p w14:paraId="6EC81331" w14:textId="77777777" w:rsidR="00046EA5" w:rsidRPr="00866D96" w:rsidRDefault="00046EA5" w:rsidP="005A7401">
            <w:pPr>
              <w:cnfStyle w:val="100000000000" w:firstRow="1" w:lastRow="0" w:firstColumn="0" w:lastColumn="0" w:oddVBand="0" w:evenVBand="0" w:oddHBand="0" w:evenHBand="0" w:firstRowFirstColumn="0" w:firstRowLastColumn="0" w:lastRowFirstColumn="0" w:lastRowLastColumn="0"/>
              <w:rPr>
                <w:bCs w:val="0"/>
              </w:rPr>
            </w:pPr>
            <w:r w:rsidRPr="006122EE">
              <w:t>Cooperating stakeholders</w:t>
            </w:r>
          </w:p>
        </w:tc>
        <w:tc>
          <w:tcPr>
            <w:tcW w:w="870" w:type="pct"/>
          </w:tcPr>
          <w:p w14:paraId="0C953E7B" w14:textId="77777777" w:rsidR="00046EA5" w:rsidRPr="00866D96" w:rsidRDefault="00046EA5" w:rsidP="005A7401">
            <w:pPr>
              <w:cnfStyle w:val="100000000000" w:firstRow="1" w:lastRow="0" w:firstColumn="0" w:lastColumn="0" w:oddVBand="0" w:evenVBand="0" w:oddHBand="0" w:evenHBand="0" w:firstRowFirstColumn="0" w:firstRowLastColumn="0" w:lastRowFirstColumn="0" w:lastRowLastColumn="0"/>
              <w:rPr>
                <w:bCs w:val="0"/>
              </w:rPr>
            </w:pPr>
            <w:r w:rsidRPr="006122EE">
              <w:t>Estimated costs</w:t>
            </w:r>
          </w:p>
        </w:tc>
      </w:tr>
      <w:tr w:rsidR="00046EA5" w:rsidRPr="006122EE" w14:paraId="20DEF378"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6958DC6C" w14:textId="77777777" w:rsidR="00046EA5" w:rsidRPr="006122EE" w:rsidRDefault="00046EA5" w:rsidP="005A7401">
            <w:pPr>
              <w:jc w:val="left"/>
              <w:rPr>
                <w:bCs w:val="0"/>
              </w:rPr>
            </w:pPr>
            <w:r w:rsidRPr="006122EE">
              <w:rPr>
                <w:bCs w:val="0"/>
              </w:rPr>
              <w:t>Biomass supply intervention</w:t>
            </w:r>
          </w:p>
        </w:tc>
        <w:tc>
          <w:tcPr>
            <w:tcW w:w="1047" w:type="pct"/>
            <w:noWrap/>
          </w:tcPr>
          <w:p w14:paraId="110D0D34"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Improve coordination between Department of Energy and Department of Forestry</w:t>
            </w:r>
          </w:p>
        </w:tc>
        <w:tc>
          <w:tcPr>
            <w:tcW w:w="679" w:type="pct"/>
          </w:tcPr>
          <w:p w14:paraId="3CC041EF"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Short</w:t>
            </w:r>
          </w:p>
        </w:tc>
        <w:tc>
          <w:tcPr>
            <w:tcW w:w="604" w:type="pct"/>
          </w:tcPr>
          <w:p w14:paraId="36AE3096"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r w:rsidRPr="006122EE">
              <w:rPr>
                <w:bCs/>
              </w:rPr>
              <w:t xml:space="preserve"> and DOF</w:t>
            </w:r>
          </w:p>
        </w:tc>
        <w:tc>
          <w:tcPr>
            <w:tcW w:w="813" w:type="pct"/>
          </w:tcPr>
          <w:p w14:paraId="538ABE43"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MoNREM</w:t>
            </w:r>
          </w:p>
        </w:tc>
        <w:tc>
          <w:tcPr>
            <w:tcW w:w="870" w:type="pct"/>
          </w:tcPr>
          <w:p w14:paraId="0CB1ED08"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n.a.</w:t>
            </w:r>
          </w:p>
        </w:tc>
      </w:tr>
      <w:tr w:rsidR="00046EA5" w:rsidRPr="006122EE" w14:paraId="214DF7AC"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242F18D7" w14:textId="77777777" w:rsidR="00046EA5" w:rsidRPr="006122EE" w:rsidRDefault="00046EA5" w:rsidP="005A7401">
            <w:pPr>
              <w:jc w:val="left"/>
              <w:rPr>
                <w:bCs w:val="0"/>
              </w:rPr>
            </w:pPr>
            <w:r w:rsidRPr="006122EE">
              <w:rPr>
                <w:bCs w:val="0"/>
              </w:rPr>
              <w:t xml:space="preserve">Awareness campaign for efficient cook stoves and alternative cooking technologies </w:t>
            </w:r>
          </w:p>
        </w:tc>
        <w:tc>
          <w:tcPr>
            <w:tcW w:w="1047" w:type="pct"/>
            <w:shd w:val="clear" w:color="auto" w:fill="auto"/>
            <w:noWrap/>
          </w:tcPr>
          <w:p w14:paraId="3DD8A634"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Work with private sector and other stakeholders to promote clean cooking technologies and provide financial incentives for private firms to increase supply of these technologies</w:t>
            </w:r>
          </w:p>
        </w:tc>
        <w:tc>
          <w:tcPr>
            <w:tcW w:w="679" w:type="pct"/>
            <w:shd w:val="clear" w:color="auto" w:fill="auto"/>
          </w:tcPr>
          <w:p w14:paraId="3B6CF846"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Medium</w:t>
            </w:r>
          </w:p>
        </w:tc>
        <w:tc>
          <w:tcPr>
            <w:tcW w:w="604" w:type="pct"/>
            <w:shd w:val="clear" w:color="auto" w:fill="auto"/>
          </w:tcPr>
          <w:p w14:paraId="5E7D7809"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shd w:val="clear" w:color="auto" w:fill="auto"/>
          </w:tcPr>
          <w:p w14:paraId="0E72CC9C"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Ministry of Finance, Malawi Revenue Authority, Malawi Trade Investment Centre, private firms, NGOs</w:t>
            </w:r>
          </w:p>
        </w:tc>
        <w:tc>
          <w:tcPr>
            <w:tcW w:w="870" w:type="pct"/>
            <w:shd w:val="clear" w:color="auto" w:fill="auto"/>
          </w:tcPr>
          <w:p w14:paraId="65204041"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Awareness campaign $250,000/year; Financial incentives for private firms $2-3 million/year</w:t>
            </w:r>
          </w:p>
        </w:tc>
      </w:tr>
      <w:tr w:rsidR="00046EA5" w:rsidRPr="006122EE" w14:paraId="7D241ADA"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47235734" w14:textId="77777777" w:rsidR="00046EA5" w:rsidRPr="006122EE" w:rsidRDefault="00046EA5" w:rsidP="005A7401">
            <w:pPr>
              <w:jc w:val="left"/>
              <w:rPr>
                <w:bCs w:val="0"/>
              </w:rPr>
            </w:pPr>
            <w:r w:rsidRPr="006122EE">
              <w:rPr>
                <w:bCs w:val="0"/>
              </w:rPr>
              <w:t>Support implementation of efficient biomass cook stove initiatives</w:t>
            </w:r>
          </w:p>
        </w:tc>
        <w:tc>
          <w:tcPr>
            <w:tcW w:w="1047" w:type="pct"/>
            <w:noWrap/>
          </w:tcPr>
          <w:p w14:paraId="31D537F0"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Provide support to NGOs implementing cook stove projects; Pursue implementation of Cook Stove Road Map</w:t>
            </w:r>
          </w:p>
        </w:tc>
        <w:tc>
          <w:tcPr>
            <w:tcW w:w="679" w:type="pct"/>
          </w:tcPr>
          <w:p w14:paraId="5BCFC80E"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Short to medium</w:t>
            </w:r>
          </w:p>
        </w:tc>
        <w:tc>
          <w:tcPr>
            <w:tcW w:w="604" w:type="pct"/>
          </w:tcPr>
          <w:p w14:paraId="4D3AA112"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p>
        </w:tc>
        <w:tc>
          <w:tcPr>
            <w:tcW w:w="813" w:type="pct"/>
          </w:tcPr>
          <w:p w14:paraId="5D41FD2A"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NGOs</w:t>
            </w:r>
          </w:p>
        </w:tc>
        <w:tc>
          <w:tcPr>
            <w:tcW w:w="870" w:type="pct"/>
          </w:tcPr>
          <w:p w14:paraId="479A14FD"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Budget to be determined</w:t>
            </w:r>
          </w:p>
        </w:tc>
      </w:tr>
      <w:tr w:rsidR="00046EA5" w:rsidRPr="006122EE" w14:paraId="02018DB0"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6D272171" w14:textId="77777777" w:rsidR="00046EA5" w:rsidRPr="006122EE" w:rsidRDefault="00046EA5" w:rsidP="005A7401">
            <w:pPr>
              <w:jc w:val="left"/>
              <w:rPr>
                <w:bCs w:val="0"/>
              </w:rPr>
            </w:pPr>
            <w:r w:rsidRPr="006122EE">
              <w:rPr>
                <w:bCs w:val="0"/>
              </w:rPr>
              <w:t>Monitor and ensure implementation of clean cook stove initiatives</w:t>
            </w:r>
          </w:p>
        </w:tc>
        <w:tc>
          <w:tcPr>
            <w:tcW w:w="1047" w:type="pct"/>
            <w:shd w:val="clear" w:color="auto" w:fill="auto"/>
            <w:noWrap/>
          </w:tcPr>
          <w:p w14:paraId="113ADCD2"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Implement BEST and monitor its impact. Arrange for independent evaluation of the</w:t>
            </w:r>
            <w:r w:rsidR="00E14657">
              <w:rPr>
                <w:bCs/>
              </w:rPr>
              <w:t xml:space="preserve"> Cook Stoves Road Map Programme, including household surveys pursuant to the World Bank’s Global Tracking Framework.</w:t>
            </w:r>
          </w:p>
        </w:tc>
        <w:tc>
          <w:tcPr>
            <w:tcW w:w="679" w:type="pct"/>
            <w:shd w:val="clear" w:color="auto" w:fill="auto"/>
          </w:tcPr>
          <w:p w14:paraId="1A362601"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Short to Medium</w:t>
            </w:r>
          </w:p>
        </w:tc>
        <w:tc>
          <w:tcPr>
            <w:tcW w:w="604" w:type="pct"/>
            <w:shd w:val="clear" w:color="auto" w:fill="auto"/>
          </w:tcPr>
          <w:p w14:paraId="2A5CB34E"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shd w:val="clear" w:color="auto" w:fill="auto"/>
          </w:tcPr>
          <w:p w14:paraId="415780FE"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NGOs, Development partners</w:t>
            </w:r>
          </w:p>
        </w:tc>
        <w:tc>
          <w:tcPr>
            <w:tcW w:w="870" w:type="pct"/>
            <w:shd w:val="clear" w:color="auto" w:fill="auto"/>
          </w:tcPr>
          <w:p w14:paraId="54FC58F4" w14:textId="77777777" w:rsidR="00046EA5" w:rsidRDefault="00B70C84" w:rsidP="005A7401">
            <w:pPr>
              <w:jc w:val="left"/>
              <w:cnfStyle w:val="000000000000" w:firstRow="0" w:lastRow="0" w:firstColumn="0" w:lastColumn="0" w:oddVBand="0" w:evenVBand="0" w:oddHBand="0" w:evenHBand="0" w:firstRowFirstColumn="0" w:firstRowLastColumn="0" w:lastRowFirstColumn="0" w:lastRowLastColumn="0"/>
              <w:rPr>
                <w:bCs/>
              </w:rPr>
            </w:pPr>
            <w:r>
              <w:rPr>
                <w:bCs/>
              </w:rPr>
              <w:t>$</w:t>
            </w:r>
            <w:r w:rsidR="00046EA5" w:rsidRPr="006122EE">
              <w:rPr>
                <w:bCs/>
              </w:rPr>
              <w:t>50,000/year for monitoring and evaluation</w:t>
            </w:r>
          </w:p>
          <w:p w14:paraId="6FED69D2" w14:textId="77777777" w:rsidR="00B70C84" w:rsidRPr="006122EE" w:rsidRDefault="00B70C84" w:rsidP="005A7401">
            <w:pPr>
              <w:jc w:val="left"/>
              <w:cnfStyle w:val="000000000000" w:firstRow="0" w:lastRow="0" w:firstColumn="0" w:lastColumn="0" w:oddVBand="0" w:evenVBand="0" w:oddHBand="0" w:evenHBand="0" w:firstRowFirstColumn="0" w:firstRowLastColumn="0" w:lastRowFirstColumn="0" w:lastRowLastColumn="0"/>
              <w:rPr>
                <w:bCs/>
              </w:rPr>
            </w:pPr>
            <w:r>
              <w:rPr>
                <w:bCs/>
              </w:rPr>
              <w:t>Mid-term evaluation: $80,000</w:t>
            </w:r>
          </w:p>
        </w:tc>
      </w:tr>
      <w:tr w:rsidR="00046EA5" w:rsidRPr="006122EE" w14:paraId="05A2BA41"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0A537BC" w14:textId="77777777" w:rsidR="00046EA5" w:rsidRPr="006122EE" w:rsidRDefault="00046EA5" w:rsidP="005A7401">
            <w:pPr>
              <w:jc w:val="left"/>
              <w:rPr>
                <w:bCs w:val="0"/>
              </w:rPr>
            </w:pPr>
            <w:r w:rsidRPr="006122EE">
              <w:rPr>
                <w:bCs w:val="0"/>
              </w:rPr>
              <w:t>LPG expansion</w:t>
            </w:r>
          </w:p>
        </w:tc>
        <w:tc>
          <w:tcPr>
            <w:tcW w:w="1047" w:type="pct"/>
            <w:noWrap/>
          </w:tcPr>
          <w:p w14:paraId="2D57F3E1"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Roll out a campaign to greatly increase LPG use for cooking, addressing legal, financial, safety and ownership issues</w:t>
            </w:r>
          </w:p>
        </w:tc>
        <w:tc>
          <w:tcPr>
            <w:tcW w:w="679" w:type="pct"/>
          </w:tcPr>
          <w:p w14:paraId="2233BB48"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Medium to Long</w:t>
            </w:r>
          </w:p>
        </w:tc>
        <w:tc>
          <w:tcPr>
            <w:tcW w:w="604" w:type="pct"/>
          </w:tcPr>
          <w:p w14:paraId="35A48A01"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r w:rsidRPr="006122EE">
              <w:rPr>
                <w:bCs/>
              </w:rPr>
              <w:t xml:space="preserve"> </w:t>
            </w:r>
          </w:p>
        </w:tc>
        <w:tc>
          <w:tcPr>
            <w:tcW w:w="813" w:type="pct"/>
          </w:tcPr>
          <w:p w14:paraId="044F21D5"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Ministry of Finance, Malawi Bureau of Standards, oil companies, private companies, local governments, Small and Medium Enterprise Development Institute</w:t>
            </w:r>
          </w:p>
        </w:tc>
        <w:tc>
          <w:tcPr>
            <w:tcW w:w="870" w:type="pct"/>
          </w:tcPr>
          <w:p w14:paraId="6AD19735"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Preparing the LPG roll-out plan $400,000; incentives for businesses $1.2 million over 2-3 years; public awareness campaign $175,00/year</w:t>
            </w:r>
          </w:p>
        </w:tc>
      </w:tr>
      <w:tr w:rsidR="00046EA5" w:rsidRPr="006122EE" w14:paraId="46BB25D6"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4ECFF59A" w14:textId="77777777" w:rsidR="00046EA5" w:rsidRPr="006122EE" w:rsidRDefault="00046EA5" w:rsidP="005A7401">
            <w:pPr>
              <w:jc w:val="left"/>
              <w:rPr>
                <w:bCs w:val="0"/>
              </w:rPr>
            </w:pPr>
            <w:r w:rsidRPr="006122EE">
              <w:rPr>
                <w:bCs w:val="0"/>
              </w:rPr>
              <w:t>Promotion of biogas plants</w:t>
            </w:r>
          </w:p>
        </w:tc>
        <w:tc>
          <w:tcPr>
            <w:tcW w:w="1047" w:type="pct"/>
            <w:shd w:val="clear" w:color="auto" w:fill="auto"/>
            <w:noWrap/>
          </w:tcPr>
          <w:p w14:paraId="1B0DF24F"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Increase the use of biogas plants at institutions such as schools; undertake pilot projects</w:t>
            </w:r>
          </w:p>
        </w:tc>
        <w:tc>
          <w:tcPr>
            <w:tcW w:w="679" w:type="pct"/>
            <w:shd w:val="clear" w:color="auto" w:fill="auto"/>
          </w:tcPr>
          <w:p w14:paraId="0115809E"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Short to medium</w:t>
            </w:r>
          </w:p>
        </w:tc>
        <w:tc>
          <w:tcPr>
            <w:tcW w:w="604" w:type="pct"/>
            <w:shd w:val="clear" w:color="auto" w:fill="auto"/>
          </w:tcPr>
          <w:p w14:paraId="30F3DE8D"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shd w:val="clear" w:color="auto" w:fill="auto"/>
          </w:tcPr>
          <w:p w14:paraId="16ADA70F"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Schools, hospitals, clinics, biogas plant manufacturers</w:t>
            </w:r>
          </w:p>
        </w:tc>
        <w:tc>
          <w:tcPr>
            <w:tcW w:w="870" w:type="pct"/>
            <w:shd w:val="clear" w:color="auto" w:fill="auto"/>
          </w:tcPr>
          <w:p w14:paraId="1EEEB5A4"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Pilot projects $750,000</w:t>
            </w:r>
          </w:p>
        </w:tc>
      </w:tr>
      <w:tr w:rsidR="00046EA5" w:rsidRPr="006122EE" w14:paraId="516D946C"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4A76F5B" w14:textId="77777777" w:rsidR="00046EA5" w:rsidRPr="006122EE" w:rsidRDefault="00046EA5" w:rsidP="005A7401">
            <w:pPr>
              <w:jc w:val="left"/>
              <w:rPr>
                <w:bCs w:val="0"/>
              </w:rPr>
            </w:pPr>
            <w:r w:rsidRPr="006122EE">
              <w:rPr>
                <w:bCs w:val="0"/>
              </w:rPr>
              <w:t>Innovation at MAREP</w:t>
            </w:r>
          </w:p>
        </w:tc>
        <w:tc>
          <w:tcPr>
            <w:tcW w:w="1047" w:type="pct"/>
            <w:noWrap/>
          </w:tcPr>
          <w:p w14:paraId="7667A15D"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Connect households in close proximity to distribution lines, monitor trading centre connections, revive maintain the dysfunctional mini-grids</w:t>
            </w:r>
          </w:p>
        </w:tc>
        <w:tc>
          <w:tcPr>
            <w:tcW w:w="679" w:type="pct"/>
          </w:tcPr>
          <w:p w14:paraId="00A66C8B"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Short, medium, long</w:t>
            </w:r>
          </w:p>
        </w:tc>
        <w:tc>
          <w:tcPr>
            <w:tcW w:w="604" w:type="pct"/>
          </w:tcPr>
          <w:p w14:paraId="0B9EB870"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p>
        </w:tc>
        <w:tc>
          <w:tcPr>
            <w:tcW w:w="813" w:type="pct"/>
          </w:tcPr>
          <w:p w14:paraId="63164D0B"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MAREP</w:t>
            </w:r>
          </w:p>
        </w:tc>
        <w:tc>
          <w:tcPr>
            <w:tcW w:w="870" w:type="pct"/>
          </w:tcPr>
          <w:p w14:paraId="699698B7"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Budgets to be determined</w:t>
            </w:r>
          </w:p>
        </w:tc>
      </w:tr>
      <w:tr w:rsidR="00046EA5" w:rsidRPr="006122EE" w14:paraId="1BF9FC52"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73E3DB4F" w14:textId="77777777" w:rsidR="00046EA5" w:rsidRPr="006122EE" w:rsidRDefault="00046EA5" w:rsidP="005A7401">
            <w:pPr>
              <w:jc w:val="left"/>
              <w:rPr>
                <w:bCs w:val="0"/>
              </w:rPr>
            </w:pPr>
            <w:r w:rsidRPr="006122EE">
              <w:rPr>
                <w:bCs w:val="0"/>
              </w:rPr>
              <w:t>Subsidies for solar home systems and mini-grids</w:t>
            </w:r>
          </w:p>
        </w:tc>
        <w:tc>
          <w:tcPr>
            <w:tcW w:w="1047" w:type="pct"/>
            <w:shd w:val="clear" w:color="auto" w:fill="auto"/>
            <w:noWrap/>
          </w:tcPr>
          <w:p w14:paraId="07614B02"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Appraise subsidy options e.g., tax credits, interest rate subsidies, reduced fees, etc.) and provide them to providers and/or consumers.</w:t>
            </w:r>
          </w:p>
        </w:tc>
        <w:tc>
          <w:tcPr>
            <w:tcW w:w="679" w:type="pct"/>
            <w:shd w:val="clear" w:color="auto" w:fill="auto"/>
          </w:tcPr>
          <w:p w14:paraId="3A872F05"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Medium</w:t>
            </w:r>
          </w:p>
        </w:tc>
        <w:tc>
          <w:tcPr>
            <w:tcW w:w="604" w:type="pct"/>
            <w:shd w:val="clear" w:color="auto" w:fill="auto"/>
          </w:tcPr>
          <w:p w14:paraId="6F239B7F" w14:textId="77777777" w:rsidR="00046EA5" w:rsidRPr="006122EE" w:rsidRDefault="00041521" w:rsidP="005A7401">
            <w:pPr>
              <w:jc w:val="left"/>
              <w:cnfStyle w:val="000000000000" w:firstRow="0" w:lastRow="0" w:firstColumn="0" w:lastColumn="0" w:oddVBand="0" w:evenVBand="0" w:oddHBand="0" w:evenHBand="0" w:firstRowFirstColumn="0" w:firstRowLastColumn="0" w:lastRowFirstColumn="0" w:lastRowLastColumn="0"/>
              <w:rPr>
                <w:bCs/>
              </w:rPr>
            </w:pPr>
            <w:r>
              <w:rPr>
                <w:bCs/>
              </w:rPr>
              <w:t>DOEA</w:t>
            </w:r>
          </w:p>
        </w:tc>
        <w:tc>
          <w:tcPr>
            <w:tcW w:w="813" w:type="pct"/>
            <w:shd w:val="clear" w:color="auto" w:fill="auto"/>
          </w:tcPr>
          <w:p w14:paraId="44113852"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Ministry of Finance, solar companies, ESCOM, Renewable Energy Association of Malawi</w:t>
            </w:r>
          </w:p>
        </w:tc>
        <w:tc>
          <w:tcPr>
            <w:tcW w:w="870" w:type="pct"/>
            <w:shd w:val="clear" w:color="auto" w:fill="auto"/>
          </w:tcPr>
          <w:p w14:paraId="63AA6BE4"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Appraisal $100,000; Cost of subsidies to be determined</w:t>
            </w:r>
          </w:p>
        </w:tc>
      </w:tr>
      <w:tr w:rsidR="00041521" w:rsidRPr="006122EE" w14:paraId="75C95381"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60519E3E" w14:textId="77777777" w:rsidR="00041521" w:rsidRPr="006122EE" w:rsidRDefault="00041521" w:rsidP="005A7401">
            <w:pPr>
              <w:jc w:val="left"/>
              <w:rPr>
                <w:bCs w:val="0"/>
              </w:rPr>
            </w:pPr>
            <w:r>
              <w:rPr>
                <w:bCs w:val="0"/>
              </w:rPr>
              <w:t>Support for expansion of pico solar solutions in select isolated areas</w:t>
            </w:r>
          </w:p>
        </w:tc>
        <w:tc>
          <w:tcPr>
            <w:tcW w:w="1047" w:type="pct"/>
            <w:noWrap/>
          </w:tcPr>
          <w:p w14:paraId="3630A32A" w14:textId="77777777" w:rsidR="00041521" w:rsidRPr="006122EE" w:rsidRDefault="00041521" w:rsidP="005A7401">
            <w:pPr>
              <w:jc w:val="left"/>
              <w:cnfStyle w:val="000000100000" w:firstRow="0" w:lastRow="0" w:firstColumn="0" w:lastColumn="0" w:oddVBand="0" w:evenVBand="0" w:oddHBand="1" w:evenHBand="0" w:firstRowFirstColumn="0" w:firstRowLastColumn="0" w:lastRowFirstColumn="0" w:lastRowLastColumn="0"/>
              <w:rPr>
                <w:bCs/>
              </w:rPr>
            </w:pPr>
            <w:r>
              <w:rPr>
                <w:bCs/>
              </w:rPr>
              <w:t>Establish promotional/awareness-raising campaign and support local entrepreneurs to provide sales, servicing &amp; financing of pico solar and other energy products</w:t>
            </w:r>
          </w:p>
        </w:tc>
        <w:tc>
          <w:tcPr>
            <w:tcW w:w="679" w:type="pct"/>
          </w:tcPr>
          <w:p w14:paraId="02F058A7" w14:textId="77777777" w:rsidR="00041521" w:rsidRPr="006122EE" w:rsidRDefault="00041521" w:rsidP="005A7401">
            <w:pPr>
              <w:jc w:val="left"/>
              <w:cnfStyle w:val="000000100000" w:firstRow="0" w:lastRow="0" w:firstColumn="0" w:lastColumn="0" w:oddVBand="0" w:evenVBand="0" w:oddHBand="1" w:evenHBand="0" w:firstRowFirstColumn="0" w:firstRowLastColumn="0" w:lastRowFirstColumn="0" w:lastRowLastColumn="0"/>
              <w:rPr>
                <w:bCs/>
              </w:rPr>
            </w:pPr>
            <w:r>
              <w:rPr>
                <w:bCs/>
              </w:rPr>
              <w:t>Short, medium long</w:t>
            </w:r>
          </w:p>
        </w:tc>
        <w:tc>
          <w:tcPr>
            <w:tcW w:w="604" w:type="pct"/>
          </w:tcPr>
          <w:p w14:paraId="5985C2B4" w14:textId="77777777" w:rsidR="00041521" w:rsidRPr="006122EE" w:rsidRDefault="00041521" w:rsidP="005A7401">
            <w:pPr>
              <w:jc w:val="left"/>
              <w:cnfStyle w:val="000000100000" w:firstRow="0" w:lastRow="0" w:firstColumn="0" w:lastColumn="0" w:oddVBand="0" w:evenVBand="0" w:oddHBand="1" w:evenHBand="0" w:firstRowFirstColumn="0" w:firstRowLastColumn="0" w:lastRowFirstColumn="0" w:lastRowLastColumn="0"/>
              <w:rPr>
                <w:bCs/>
              </w:rPr>
            </w:pPr>
            <w:r>
              <w:rPr>
                <w:bCs/>
              </w:rPr>
              <w:t>DOEA</w:t>
            </w:r>
          </w:p>
        </w:tc>
        <w:tc>
          <w:tcPr>
            <w:tcW w:w="813" w:type="pct"/>
          </w:tcPr>
          <w:p w14:paraId="7B8B4A88" w14:textId="77777777" w:rsidR="00041521" w:rsidRPr="006122EE" w:rsidRDefault="00041521" w:rsidP="005A7401">
            <w:pPr>
              <w:jc w:val="left"/>
              <w:cnfStyle w:val="000000100000" w:firstRow="0" w:lastRow="0" w:firstColumn="0" w:lastColumn="0" w:oddVBand="0" w:evenVBand="0" w:oddHBand="1" w:evenHBand="0" w:firstRowFirstColumn="0" w:firstRowLastColumn="0" w:lastRowFirstColumn="0" w:lastRowLastColumn="0"/>
              <w:rPr>
                <w:bCs/>
              </w:rPr>
            </w:pPr>
            <w:r>
              <w:rPr>
                <w:bCs/>
              </w:rPr>
              <w:t>NGOs, universities, local governments</w:t>
            </w:r>
          </w:p>
        </w:tc>
        <w:tc>
          <w:tcPr>
            <w:tcW w:w="870" w:type="pct"/>
          </w:tcPr>
          <w:p w14:paraId="29B73DC4" w14:textId="77777777" w:rsidR="00041521" w:rsidRPr="006122EE" w:rsidRDefault="00041521" w:rsidP="005A7401">
            <w:pPr>
              <w:jc w:val="left"/>
              <w:cnfStyle w:val="000000100000" w:firstRow="0" w:lastRow="0" w:firstColumn="0" w:lastColumn="0" w:oddVBand="0" w:evenVBand="0" w:oddHBand="1" w:evenHBand="0" w:firstRowFirstColumn="0" w:firstRowLastColumn="0" w:lastRowFirstColumn="0" w:lastRowLastColumn="0"/>
              <w:rPr>
                <w:bCs/>
              </w:rPr>
            </w:pPr>
            <w:r>
              <w:rPr>
                <w:bCs/>
              </w:rPr>
              <w:t>$250,000/year</w:t>
            </w:r>
          </w:p>
        </w:tc>
      </w:tr>
      <w:tr w:rsidR="00046EA5" w:rsidRPr="006122EE" w14:paraId="0F55923B" w14:textId="77777777" w:rsidTr="00962994">
        <w:trPr>
          <w:trHeight w:val="264"/>
        </w:trPr>
        <w:tc>
          <w:tcPr>
            <w:cnfStyle w:val="001000000000" w:firstRow="0" w:lastRow="0" w:firstColumn="1" w:lastColumn="0" w:oddVBand="0" w:evenVBand="0" w:oddHBand="0" w:evenHBand="0" w:firstRowFirstColumn="0" w:firstRowLastColumn="0" w:lastRowFirstColumn="0" w:lastRowLastColumn="0"/>
            <w:tcW w:w="987" w:type="pct"/>
            <w:tcBorders>
              <w:bottom w:val="single" w:sz="4" w:space="0" w:color="52CEFF" w:themeColor="accent3" w:themeTint="99"/>
            </w:tcBorders>
            <w:noWrap/>
          </w:tcPr>
          <w:p w14:paraId="47956AC2" w14:textId="77777777" w:rsidR="00046EA5" w:rsidRPr="006122EE" w:rsidRDefault="00046EA5" w:rsidP="005A7401">
            <w:pPr>
              <w:jc w:val="left"/>
              <w:rPr>
                <w:bCs w:val="0"/>
              </w:rPr>
            </w:pPr>
            <w:r w:rsidRPr="006122EE">
              <w:rPr>
                <w:bCs w:val="0"/>
              </w:rPr>
              <w:t>Financing and regulation of mini-grids</w:t>
            </w:r>
          </w:p>
        </w:tc>
        <w:tc>
          <w:tcPr>
            <w:tcW w:w="1047" w:type="pct"/>
            <w:tcBorders>
              <w:bottom w:val="single" w:sz="4" w:space="0" w:color="52CEFF" w:themeColor="accent3" w:themeTint="99"/>
            </w:tcBorders>
            <w:noWrap/>
          </w:tcPr>
          <w:p w14:paraId="4A2D67B9"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Identify subsidy mechanism to support mini-grids; Establish rules on safety, performance, operating practices</w:t>
            </w:r>
          </w:p>
        </w:tc>
        <w:tc>
          <w:tcPr>
            <w:tcW w:w="679" w:type="pct"/>
            <w:tcBorders>
              <w:bottom w:val="single" w:sz="4" w:space="0" w:color="52CEFF" w:themeColor="accent3" w:themeTint="99"/>
            </w:tcBorders>
          </w:tcPr>
          <w:p w14:paraId="4AF0F67A"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Short to medium</w:t>
            </w:r>
          </w:p>
        </w:tc>
        <w:tc>
          <w:tcPr>
            <w:tcW w:w="604" w:type="pct"/>
            <w:tcBorders>
              <w:bottom w:val="single" w:sz="4" w:space="0" w:color="52CEFF" w:themeColor="accent3" w:themeTint="99"/>
            </w:tcBorders>
          </w:tcPr>
          <w:p w14:paraId="192C9119"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tcBorders>
              <w:bottom w:val="single" w:sz="4" w:space="0" w:color="52CEFF" w:themeColor="accent3" w:themeTint="99"/>
            </w:tcBorders>
          </w:tcPr>
          <w:p w14:paraId="5DC71956"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MERA, Renewable Energy Association of Malawi</w:t>
            </w:r>
          </w:p>
        </w:tc>
        <w:tc>
          <w:tcPr>
            <w:tcW w:w="870" w:type="pct"/>
          </w:tcPr>
          <w:p w14:paraId="3A23ED5B"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Develop regulatory structure $250,000</w:t>
            </w:r>
          </w:p>
        </w:tc>
      </w:tr>
      <w:tr w:rsidR="00046EA5" w:rsidRPr="006122EE" w14:paraId="70375A0A"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60D79090" w14:textId="77777777" w:rsidR="00046EA5" w:rsidRPr="006122EE" w:rsidRDefault="00046EA5" w:rsidP="005A7401">
            <w:pPr>
              <w:jc w:val="left"/>
              <w:rPr>
                <w:bCs w:val="0"/>
              </w:rPr>
            </w:pPr>
            <w:r w:rsidRPr="006122EE">
              <w:rPr>
                <w:bCs w:val="0"/>
              </w:rPr>
              <w:t>Financing household scale electricity technologies</w:t>
            </w:r>
          </w:p>
        </w:tc>
        <w:tc>
          <w:tcPr>
            <w:tcW w:w="1047" w:type="pct"/>
            <w:shd w:val="clear" w:color="auto" w:fill="auto"/>
            <w:noWrap/>
          </w:tcPr>
          <w:p w14:paraId="48D1C7D1"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Appraise financing and subsidy needs to support solar home systems and other household scale technologies, including appraisal of how the Guarantee Fund could be used; Resuscitate the Guarantee Fund</w:t>
            </w:r>
          </w:p>
        </w:tc>
        <w:tc>
          <w:tcPr>
            <w:tcW w:w="679" w:type="pct"/>
            <w:shd w:val="clear" w:color="auto" w:fill="auto"/>
          </w:tcPr>
          <w:p w14:paraId="32EB7F28"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Short, medium, long</w:t>
            </w:r>
          </w:p>
        </w:tc>
        <w:tc>
          <w:tcPr>
            <w:tcW w:w="604" w:type="pct"/>
            <w:shd w:val="clear" w:color="auto" w:fill="auto"/>
          </w:tcPr>
          <w:p w14:paraId="0F7A0065"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p>
        </w:tc>
        <w:tc>
          <w:tcPr>
            <w:tcW w:w="813" w:type="pct"/>
            <w:shd w:val="clear" w:color="auto" w:fill="auto"/>
          </w:tcPr>
          <w:p w14:paraId="566DD485"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NGOs, manufacturers, importers, installers, Renewable Energy Association of Malawi</w:t>
            </w:r>
          </w:p>
        </w:tc>
        <w:tc>
          <w:tcPr>
            <w:tcW w:w="870" w:type="pct"/>
            <w:shd w:val="clear" w:color="auto" w:fill="auto"/>
          </w:tcPr>
          <w:p w14:paraId="4E7EC423"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Appraisal $100,000</w:t>
            </w:r>
          </w:p>
        </w:tc>
      </w:tr>
      <w:tr w:rsidR="00046EA5" w:rsidRPr="006122EE" w14:paraId="7BEB6306" w14:textId="77777777" w:rsidTr="00962994">
        <w:trPr>
          <w:trHeight w:val="1016"/>
        </w:trPr>
        <w:tc>
          <w:tcPr>
            <w:cnfStyle w:val="001000000000" w:firstRow="0" w:lastRow="0" w:firstColumn="1" w:lastColumn="0" w:oddVBand="0" w:evenVBand="0" w:oddHBand="0" w:evenHBand="0" w:firstRowFirstColumn="0" w:firstRowLastColumn="0" w:lastRowFirstColumn="0" w:lastRowLastColumn="0"/>
            <w:tcW w:w="987" w:type="pct"/>
            <w:noWrap/>
          </w:tcPr>
          <w:p w14:paraId="16861DFB" w14:textId="77777777" w:rsidR="00046EA5" w:rsidRPr="006122EE" w:rsidRDefault="00046EA5" w:rsidP="005A7401">
            <w:pPr>
              <w:jc w:val="left"/>
              <w:rPr>
                <w:bCs w:val="0"/>
              </w:rPr>
            </w:pPr>
            <w:r w:rsidRPr="006122EE">
              <w:rPr>
                <w:bCs w:val="0"/>
              </w:rPr>
              <w:t>Capacity building at Malawi Bureau of Standards</w:t>
            </w:r>
          </w:p>
        </w:tc>
        <w:tc>
          <w:tcPr>
            <w:tcW w:w="1047" w:type="pct"/>
            <w:noWrap/>
          </w:tcPr>
          <w:p w14:paraId="3238F2D6"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Support MBS on certification and enforcement of RETS and mini-grid standards</w:t>
            </w:r>
          </w:p>
        </w:tc>
        <w:tc>
          <w:tcPr>
            <w:tcW w:w="679" w:type="pct"/>
          </w:tcPr>
          <w:p w14:paraId="4DC8CE9D"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Short to medium</w:t>
            </w:r>
          </w:p>
        </w:tc>
        <w:tc>
          <w:tcPr>
            <w:tcW w:w="604" w:type="pct"/>
          </w:tcPr>
          <w:p w14:paraId="2BAB32D4"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tcPr>
          <w:p w14:paraId="61C9C807"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MBS</w:t>
            </w:r>
          </w:p>
        </w:tc>
        <w:tc>
          <w:tcPr>
            <w:tcW w:w="870" w:type="pct"/>
          </w:tcPr>
          <w:p w14:paraId="150BACA8"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n.a.</w:t>
            </w:r>
          </w:p>
        </w:tc>
      </w:tr>
      <w:tr w:rsidR="00046EA5" w:rsidRPr="006122EE" w14:paraId="0384E95E"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tcPr>
          <w:p w14:paraId="1042CDA6" w14:textId="77777777" w:rsidR="00046EA5" w:rsidRPr="006122EE" w:rsidRDefault="00046EA5" w:rsidP="005A7401">
            <w:pPr>
              <w:jc w:val="left"/>
              <w:rPr>
                <w:bCs w:val="0"/>
              </w:rPr>
            </w:pPr>
            <w:r w:rsidRPr="006122EE">
              <w:rPr>
                <w:bCs w:val="0"/>
              </w:rPr>
              <w:t>Electrification of Public Institutions</w:t>
            </w:r>
          </w:p>
        </w:tc>
        <w:tc>
          <w:tcPr>
            <w:tcW w:w="1047" w:type="pct"/>
            <w:shd w:val="clear" w:color="auto" w:fill="auto"/>
            <w:noWrap/>
          </w:tcPr>
          <w:p w14:paraId="6DD82581"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Electrify all of the country’s public institutions with either grid connections or off-grid technologies</w:t>
            </w:r>
          </w:p>
        </w:tc>
        <w:tc>
          <w:tcPr>
            <w:tcW w:w="679" w:type="pct"/>
            <w:shd w:val="clear" w:color="auto" w:fill="auto"/>
          </w:tcPr>
          <w:p w14:paraId="1823BBA7"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Medium to long</w:t>
            </w:r>
          </w:p>
        </w:tc>
        <w:tc>
          <w:tcPr>
            <w:tcW w:w="604" w:type="pct"/>
            <w:shd w:val="clear" w:color="auto" w:fill="auto"/>
          </w:tcPr>
          <w:p w14:paraId="2DE2BDD3"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DOE</w:t>
            </w:r>
            <w:r w:rsidR="00041521">
              <w:rPr>
                <w:bCs/>
              </w:rPr>
              <w:t>A</w:t>
            </w:r>
          </w:p>
        </w:tc>
        <w:tc>
          <w:tcPr>
            <w:tcW w:w="813" w:type="pct"/>
            <w:shd w:val="clear" w:color="auto" w:fill="auto"/>
          </w:tcPr>
          <w:p w14:paraId="6E991E6B"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MAREP, Renewable Energy Association of Malawi</w:t>
            </w:r>
          </w:p>
        </w:tc>
        <w:tc>
          <w:tcPr>
            <w:tcW w:w="870" w:type="pct"/>
            <w:shd w:val="clear" w:color="auto" w:fill="auto"/>
          </w:tcPr>
          <w:p w14:paraId="0330D5C0" w14:textId="77777777" w:rsidR="00046EA5" w:rsidRPr="006122EE" w:rsidRDefault="00046EA5" w:rsidP="005A740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Budget to be developed</w:t>
            </w:r>
          </w:p>
        </w:tc>
      </w:tr>
      <w:tr w:rsidR="00046EA5" w:rsidRPr="006122EE" w14:paraId="0619306A"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CF95AA0" w14:textId="77777777" w:rsidR="00046EA5" w:rsidRPr="006122EE" w:rsidRDefault="00046EA5" w:rsidP="005A7401">
            <w:pPr>
              <w:jc w:val="left"/>
              <w:rPr>
                <w:bCs w:val="0"/>
              </w:rPr>
            </w:pPr>
            <w:r w:rsidRPr="006122EE">
              <w:rPr>
                <w:bCs w:val="0"/>
              </w:rPr>
              <w:t>Support for pico solar products</w:t>
            </w:r>
          </w:p>
        </w:tc>
        <w:tc>
          <w:tcPr>
            <w:tcW w:w="1047" w:type="pct"/>
            <w:noWrap/>
          </w:tcPr>
          <w:p w14:paraId="25165B53"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Accelerate implementation of pico solar products by supporting and coordinating existing NGO pico solar programs</w:t>
            </w:r>
          </w:p>
        </w:tc>
        <w:tc>
          <w:tcPr>
            <w:tcW w:w="679" w:type="pct"/>
          </w:tcPr>
          <w:p w14:paraId="65BA3403"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Short, medium, long</w:t>
            </w:r>
          </w:p>
        </w:tc>
        <w:tc>
          <w:tcPr>
            <w:tcW w:w="604" w:type="pct"/>
          </w:tcPr>
          <w:p w14:paraId="336A49C5"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DOE</w:t>
            </w:r>
            <w:r w:rsidR="00041521">
              <w:rPr>
                <w:bCs/>
              </w:rPr>
              <w:t>A</w:t>
            </w:r>
          </w:p>
        </w:tc>
        <w:tc>
          <w:tcPr>
            <w:tcW w:w="813" w:type="pct"/>
          </w:tcPr>
          <w:p w14:paraId="0F9CD14D"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NGOs, Renewable Energy Association of Malawi</w:t>
            </w:r>
          </w:p>
        </w:tc>
        <w:tc>
          <w:tcPr>
            <w:tcW w:w="870" w:type="pct"/>
          </w:tcPr>
          <w:p w14:paraId="0E163C6F" w14:textId="77777777" w:rsidR="00046EA5" w:rsidRPr="006122EE" w:rsidRDefault="00046EA5" w:rsidP="005A740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Budget to be developed</w:t>
            </w:r>
          </w:p>
        </w:tc>
      </w:tr>
      <w:tr w:rsidR="00E14657" w:rsidRPr="006122EE" w14:paraId="1A6608EE"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0F630DEE" w14:textId="77777777" w:rsidR="00E14657" w:rsidRPr="006122EE" w:rsidRDefault="00E14657" w:rsidP="00E14657">
            <w:pPr>
              <w:jc w:val="left"/>
              <w:rPr>
                <w:bCs w:val="0"/>
              </w:rPr>
            </w:pPr>
            <w:r>
              <w:rPr>
                <w:bCs w:val="0"/>
              </w:rPr>
              <w:t>Monitor and evaluate progress in providing electricity services</w:t>
            </w:r>
          </w:p>
        </w:tc>
        <w:tc>
          <w:tcPr>
            <w:tcW w:w="1047" w:type="pct"/>
            <w:noWrap/>
          </w:tcPr>
          <w:p w14:paraId="661A1882" w14:textId="77777777" w:rsidR="00E14657" w:rsidRPr="006122EE" w:rsidRDefault="00E14657" w:rsidP="005A7401">
            <w:pPr>
              <w:jc w:val="left"/>
              <w:cnfStyle w:val="000000100000" w:firstRow="0" w:lastRow="0" w:firstColumn="0" w:lastColumn="0" w:oddVBand="0" w:evenVBand="0" w:oddHBand="1" w:evenHBand="0" w:firstRowFirstColumn="0" w:firstRowLastColumn="0" w:lastRowFirstColumn="0" w:lastRowLastColumn="0"/>
              <w:rPr>
                <w:bCs/>
              </w:rPr>
            </w:pPr>
            <w:r>
              <w:rPr>
                <w:bCs/>
              </w:rPr>
              <w:t>Arrange for independent M&amp;E, which should use household surveys pursuant to the World Bank’s Global Tracking Framework</w:t>
            </w:r>
          </w:p>
        </w:tc>
        <w:tc>
          <w:tcPr>
            <w:tcW w:w="679" w:type="pct"/>
          </w:tcPr>
          <w:p w14:paraId="122B2426" w14:textId="77777777" w:rsidR="00E14657" w:rsidRPr="006122EE" w:rsidRDefault="00E14657" w:rsidP="005A7401">
            <w:pPr>
              <w:jc w:val="left"/>
              <w:cnfStyle w:val="000000100000" w:firstRow="0" w:lastRow="0" w:firstColumn="0" w:lastColumn="0" w:oddVBand="0" w:evenVBand="0" w:oddHBand="1" w:evenHBand="0" w:firstRowFirstColumn="0" w:firstRowLastColumn="0" w:lastRowFirstColumn="0" w:lastRowLastColumn="0"/>
              <w:rPr>
                <w:bCs/>
              </w:rPr>
            </w:pPr>
            <w:r>
              <w:rPr>
                <w:bCs/>
              </w:rPr>
              <w:t>Short, medium, long</w:t>
            </w:r>
          </w:p>
        </w:tc>
        <w:tc>
          <w:tcPr>
            <w:tcW w:w="604" w:type="pct"/>
          </w:tcPr>
          <w:p w14:paraId="1C166F05" w14:textId="77777777" w:rsidR="00E14657" w:rsidRPr="006122EE" w:rsidRDefault="00E14657" w:rsidP="005A7401">
            <w:pPr>
              <w:jc w:val="left"/>
              <w:cnfStyle w:val="000000100000" w:firstRow="0" w:lastRow="0" w:firstColumn="0" w:lastColumn="0" w:oddVBand="0" w:evenVBand="0" w:oddHBand="1" w:evenHBand="0" w:firstRowFirstColumn="0" w:firstRowLastColumn="0" w:lastRowFirstColumn="0" w:lastRowLastColumn="0"/>
              <w:rPr>
                <w:bCs/>
              </w:rPr>
            </w:pPr>
            <w:r>
              <w:rPr>
                <w:bCs/>
              </w:rPr>
              <w:t>DOEA</w:t>
            </w:r>
          </w:p>
        </w:tc>
        <w:tc>
          <w:tcPr>
            <w:tcW w:w="813" w:type="pct"/>
          </w:tcPr>
          <w:p w14:paraId="23ADC28C" w14:textId="77777777" w:rsidR="00E14657" w:rsidRPr="006122EE" w:rsidRDefault="00E14657" w:rsidP="005A7401">
            <w:pPr>
              <w:jc w:val="left"/>
              <w:cnfStyle w:val="000000100000" w:firstRow="0" w:lastRow="0" w:firstColumn="0" w:lastColumn="0" w:oddVBand="0" w:evenVBand="0" w:oddHBand="1" w:evenHBand="0" w:firstRowFirstColumn="0" w:firstRowLastColumn="0" w:lastRowFirstColumn="0" w:lastRowLastColumn="0"/>
              <w:rPr>
                <w:bCs/>
              </w:rPr>
            </w:pPr>
            <w:r>
              <w:rPr>
                <w:bCs/>
              </w:rPr>
              <w:t xml:space="preserve">NGOs, </w:t>
            </w:r>
            <w:r w:rsidR="00B70C84">
              <w:rPr>
                <w:bCs/>
              </w:rPr>
              <w:t xml:space="preserve">MAREP, </w:t>
            </w:r>
            <w:r>
              <w:rPr>
                <w:bCs/>
              </w:rPr>
              <w:t>Renewable Energy Association of Malawi</w:t>
            </w:r>
          </w:p>
        </w:tc>
        <w:tc>
          <w:tcPr>
            <w:tcW w:w="870" w:type="pct"/>
          </w:tcPr>
          <w:p w14:paraId="5C0D4362" w14:textId="77777777" w:rsidR="00E14657" w:rsidRDefault="00E14657" w:rsidP="005A7401">
            <w:pPr>
              <w:jc w:val="left"/>
              <w:cnfStyle w:val="000000100000" w:firstRow="0" w:lastRow="0" w:firstColumn="0" w:lastColumn="0" w:oddVBand="0" w:evenVBand="0" w:oddHBand="1" w:evenHBand="0" w:firstRowFirstColumn="0" w:firstRowLastColumn="0" w:lastRowFirstColumn="0" w:lastRowLastColumn="0"/>
              <w:rPr>
                <w:bCs/>
              </w:rPr>
            </w:pPr>
            <w:r>
              <w:rPr>
                <w:bCs/>
              </w:rPr>
              <w:t>Annual monitoring $50,000</w:t>
            </w:r>
          </w:p>
          <w:p w14:paraId="03DEEE3B" w14:textId="77777777" w:rsidR="00E14657" w:rsidRPr="006122EE" w:rsidRDefault="00B70C84" w:rsidP="005A7401">
            <w:pPr>
              <w:jc w:val="left"/>
              <w:cnfStyle w:val="000000100000" w:firstRow="0" w:lastRow="0" w:firstColumn="0" w:lastColumn="0" w:oddVBand="0" w:evenVBand="0" w:oddHBand="1" w:evenHBand="0" w:firstRowFirstColumn="0" w:firstRowLastColumn="0" w:lastRowFirstColumn="0" w:lastRowLastColumn="0"/>
              <w:rPr>
                <w:bCs/>
              </w:rPr>
            </w:pPr>
            <w:r>
              <w:rPr>
                <w:bCs/>
              </w:rPr>
              <w:t>Mid-term evaluation $80</w:t>
            </w:r>
            <w:r w:rsidR="00E14657">
              <w:rPr>
                <w:bCs/>
              </w:rPr>
              <w:t>,000</w:t>
            </w:r>
          </w:p>
        </w:tc>
      </w:tr>
    </w:tbl>
    <w:p w14:paraId="57714E7A" w14:textId="77777777" w:rsidR="00077CF5" w:rsidRDefault="00077CF5" w:rsidP="00866D96">
      <w:pPr>
        <w:pStyle w:val="Style1"/>
      </w:pPr>
    </w:p>
    <w:p w14:paraId="30DC8B1E" w14:textId="77777777" w:rsidR="00077CF5" w:rsidRDefault="00077CF5">
      <w:pPr>
        <w:spacing w:before="0" w:after="0" w:line="240" w:lineRule="auto"/>
        <w:jc w:val="left"/>
        <w:rPr>
          <w:b/>
          <w:color w:val="92D400" w:themeColor="accent2"/>
          <w:sz w:val="24"/>
        </w:rPr>
      </w:pPr>
      <w:r>
        <w:br w:type="page"/>
      </w:r>
    </w:p>
    <w:p w14:paraId="17D1CDDA" w14:textId="77777777" w:rsidR="00077CF5" w:rsidRDefault="00077CF5" w:rsidP="00866D96">
      <w:pPr>
        <w:pStyle w:val="Style1"/>
        <w:sectPr w:rsidR="00077CF5" w:rsidSect="00077CF5">
          <w:pgSz w:w="16838" w:h="11899" w:orient="landscape" w:code="9"/>
          <w:pgMar w:top="1134" w:right="851" w:bottom="1134" w:left="851" w:header="680" w:footer="668" w:gutter="227"/>
          <w:cols w:space="708"/>
          <w:docGrid w:linePitch="272"/>
        </w:sectPr>
      </w:pPr>
    </w:p>
    <w:p w14:paraId="66D2D067" w14:textId="77777777" w:rsidR="00962994" w:rsidRPr="006122EE" w:rsidRDefault="00962994" w:rsidP="00962994">
      <w:pPr>
        <w:pStyle w:val="CSubtitle1"/>
      </w:pPr>
      <w:r w:rsidRPr="006122EE">
        <w:t>Which (global) high-impact opportunities are relevant?</w:t>
      </w:r>
    </w:p>
    <w:p w14:paraId="4091DFB3" w14:textId="77777777" w:rsidR="00962994" w:rsidRPr="00866D96" w:rsidRDefault="00962994" w:rsidP="00962994">
      <w:pPr>
        <w:pStyle w:val="DBulletlevel1"/>
        <w:spacing w:line="276" w:lineRule="auto"/>
        <w:rPr>
          <w:noProof w:val="0"/>
        </w:rPr>
      </w:pPr>
      <w:r w:rsidRPr="00866D96">
        <w:rPr>
          <w:noProof w:val="0"/>
        </w:rPr>
        <w:t>Advanced Lighting &amp; Appliance Efficiency.</w:t>
      </w:r>
    </w:p>
    <w:p w14:paraId="373FBF87" w14:textId="77777777" w:rsidR="00962994" w:rsidRPr="00866D96" w:rsidRDefault="00962994" w:rsidP="00962994">
      <w:pPr>
        <w:pStyle w:val="DBulletlevel1"/>
        <w:spacing w:line="276" w:lineRule="auto"/>
        <w:rPr>
          <w:noProof w:val="0"/>
        </w:rPr>
      </w:pPr>
      <w:r w:rsidRPr="00866D96">
        <w:rPr>
          <w:noProof w:val="0"/>
        </w:rPr>
        <w:t>Off-Grid Lighting &amp; Charging.</w:t>
      </w:r>
    </w:p>
    <w:p w14:paraId="23A36E4B" w14:textId="77777777" w:rsidR="00962994" w:rsidRDefault="00962994" w:rsidP="00962994">
      <w:pPr>
        <w:pStyle w:val="DBulletlevel1"/>
        <w:spacing w:line="276" w:lineRule="auto"/>
        <w:rPr>
          <w:noProof w:val="0"/>
        </w:rPr>
      </w:pPr>
      <w:r w:rsidRPr="00866D96">
        <w:rPr>
          <w:noProof w:val="0"/>
        </w:rPr>
        <w:t>PV Irrigation and Productive Use.</w:t>
      </w:r>
    </w:p>
    <w:p w14:paraId="4FCAFB54" w14:textId="77777777" w:rsidR="00962994" w:rsidRDefault="00962994" w:rsidP="00866D96">
      <w:pPr>
        <w:pStyle w:val="Style1"/>
      </w:pPr>
    </w:p>
    <w:p w14:paraId="39189551" w14:textId="77777777" w:rsidR="004709F9" w:rsidRPr="006122EE" w:rsidRDefault="000809CC" w:rsidP="00866D96">
      <w:pPr>
        <w:pStyle w:val="Style1"/>
      </w:pPr>
      <w:r w:rsidRPr="006122EE">
        <w:t>Renewable energy</w:t>
      </w:r>
    </w:p>
    <w:p w14:paraId="7F25090E" w14:textId="77777777" w:rsidR="00421393" w:rsidRPr="006122EE" w:rsidRDefault="00421393" w:rsidP="00B1153E">
      <w:pPr>
        <w:spacing w:line="276" w:lineRule="auto"/>
        <w:rPr>
          <w:rFonts w:cs="Arial"/>
          <w:color w:val="000000"/>
          <w:szCs w:val="20"/>
        </w:rPr>
      </w:pPr>
      <w:r w:rsidRPr="006122EE">
        <w:rPr>
          <w:rFonts w:cs="Arial"/>
          <w:color w:val="000000"/>
          <w:szCs w:val="20"/>
        </w:rPr>
        <w:t xml:space="preserve">The </w:t>
      </w:r>
      <w:r w:rsidR="00983ED1" w:rsidRPr="006122EE">
        <w:rPr>
          <w:rFonts w:cs="Arial"/>
          <w:color w:val="000000"/>
          <w:szCs w:val="20"/>
        </w:rPr>
        <w:t>g</w:t>
      </w:r>
      <w:r w:rsidRPr="006122EE">
        <w:rPr>
          <w:rFonts w:cs="Arial"/>
          <w:color w:val="000000"/>
          <w:szCs w:val="20"/>
        </w:rPr>
        <w:t xml:space="preserve">overnment has prioritized energy generation and supply as one of the priority areas (MGDS II &amp; ERP) to stimulate </w:t>
      </w:r>
      <w:r w:rsidRPr="006122EE">
        <w:rPr>
          <w:color w:val="000000"/>
        </w:rPr>
        <w:t>economic</w:t>
      </w:r>
      <w:r w:rsidRPr="006122EE">
        <w:rPr>
          <w:rFonts w:cs="Arial"/>
          <w:color w:val="000000"/>
          <w:szCs w:val="20"/>
        </w:rPr>
        <w:t xml:space="preserve"> growth. The specific goals are:</w:t>
      </w:r>
    </w:p>
    <w:p w14:paraId="4AD96CF9" w14:textId="77777777" w:rsidR="00421393" w:rsidRPr="00866D96" w:rsidRDefault="00421393" w:rsidP="00B1153E">
      <w:pPr>
        <w:pStyle w:val="DBulletlevel1"/>
        <w:spacing w:line="276" w:lineRule="auto"/>
        <w:rPr>
          <w:noProof w:val="0"/>
        </w:rPr>
      </w:pPr>
      <w:r w:rsidRPr="00866D96">
        <w:rPr>
          <w:noProof w:val="0"/>
        </w:rPr>
        <w:t>Make the energy sector sufficiently robust and efficient to support GoM’s socio-economic agenda of poverty reduction, sustainable economic development, and enhanced labour productivity</w:t>
      </w:r>
      <w:r w:rsidR="00FC2919" w:rsidRPr="00866D96">
        <w:rPr>
          <w:noProof w:val="0"/>
        </w:rPr>
        <w:t>.</w:t>
      </w:r>
    </w:p>
    <w:p w14:paraId="12367549" w14:textId="77777777" w:rsidR="00421393" w:rsidRPr="00866D96" w:rsidRDefault="00421393" w:rsidP="00B1153E">
      <w:pPr>
        <w:pStyle w:val="DBulletlevel1"/>
        <w:spacing w:line="276" w:lineRule="auto"/>
        <w:rPr>
          <w:noProof w:val="0"/>
        </w:rPr>
      </w:pPr>
      <w:r w:rsidRPr="00866D96">
        <w:rPr>
          <w:noProof w:val="0"/>
        </w:rPr>
        <w:t>Catalyse the establishment of a more liberalized, private sector driven energy supply industry in which pricing will reflect the competition and efficiency that will develop in the reform process</w:t>
      </w:r>
      <w:r w:rsidR="00FC2919" w:rsidRPr="00866D96">
        <w:rPr>
          <w:noProof w:val="0"/>
        </w:rPr>
        <w:t>.</w:t>
      </w:r>
    </w:p>
    <w:p w14:paraId="4E3E296A" w14:textId="77777777" w:rsidR="00421393" w:rsidRPr="00866D96" w:rsidRDefault="00421393" w:rsidP="00B1153E">
      <w:pPr>
        <w:pStyle w:val="DBulletlevel1"/>
        <w:keepLines/>
        <w:spacing w:line="276" w:lineRule="auto"/>
        <w:ind w:left="1718" w:hanging="357"/>
        <w:rPr>
          <w:noProof w:val="0"/>
        </w:rPr>
      </w:pPr>
      <w:r w:rsidRPr="00866D96">
        <w:rPr>
          <w:noProof w:val="0"/>
        </w:rPr>
        <w:t>Transform the country’s energy economy from one that is overly dependent on biomass to one with a high modern energy component in the energy mix</w:t>
      </w:r>
      <w:r w:rsidRPr="00866D96">
        <w:rPr>
          <w:noProof w:val="0"/>
          <w:vertAlign w:val="superscript"/>
        </w:rPr>
        <w:footnoteReference w:id="79"/>
      </w:r>
      <w:r w:rsidR="00FC2919" w:rsidRPr="00866D96">
        <w:rPr>
          <w:noProof w:val="0"/>
        </w:rPr>
        <w:t>.</w:t>
      </w:r>
      <w:r w:rsidRPr="00866D96">
        <w:rPr>
          <w:noProof w:val="0"/>
          <w:vertAlign w:val="superscript"/>
        </w:rPr>
        <w:t xml:space="preserve"> </w:t>
      </w:r>
    </w:p>
    <w:p w14:paraId="41C7B4AE" w14:textId="77777777" w:rsidR="00924387" w:rsidRPr="006122EE" w:rsidRDefault="00924387" w:rsidP="00B1153E">
      <w:pPr>
        <w:pStyle w:val="BTitle3"/>
        <w:spacing w:line="276" w:lineRule="auto"/>
        <w:rPr>
          <w:noProof w:val="0"/>
          <w:lang w:val="en-GB"/>
        </w:rPr>
      </w:pPr>
      <w:bookmarkStart w:id="429" w:name="_Toc481614929"/>
      <w:r w:rsidRPr="006122EE">
        <w:rPr>
          <w:noProof w:val="0"/>
          <w:lang w:val="en-GB"/>
        </w:rPr>
        <w:t>What are the actions and funding levels needed to achieve the overarching objective in the field of renewable energy?</w:t>
      </w:r>
      <w:bookmarkEnd w:id="429"/>
    </w:p>
    <w:p w14:paraId="256B43A4" w14:textId="77777777" w:rsidR="005605A3" w:rsidRPr="006122EE" w:rsidRDefault="005605A3" w:rsidP="00B1153E">
      <w:pPr>
        <w:pStyle w:val="Style1"/>
        <w:spacing w:line="276" w:lineRule="auto"/>
      </w:pPr>
      <w:r w:rsidRPr="006122EE">
        <w:t xml:space="preserve">Adopt a renewable energy </w:t>
      </w:r>
      <w:r w:rsidR="00B311D0" w:rsidRPr="006122EE">
        <w:t>policy</w:t>
      </w:r>
      <w:r w:rsidRPr="006122EE">
        <w:t xml:space="preserve"> </w:t>
      </w:r>
    </w:p>
    <w:p w14:paraId="1F0EA88C" w14:textId="77777777" w:rsidR="00421393" w:rsidRPr="006122EE" w:rsidRDefault="00421393" w:rsidP="00B1153E">
      <w:pPr>
        <w:spacing w:line="276" w:lineRule="auto"/>
        <w:rPr>
          <w:color w:val="000000"/>
        </w:rPr>
      </w:pPr>
      <w:r w:rsidRPr="006122EE">
        <w:rPr>
          <w:color w:val="000000"/>
        </w:rPr>
        <w:t xml:space="preserve">The increased use of renewable energy is consistent with the Malawi Growth and Development Strategy II and the  </w:t>
      </w:r>
      <w:r w:rsidR="00E61B49" w:rsidRPr="006122EE">
        <w:rPr>
          <w:color w:val="000000"/>
        </w:rPr>
        <w:t>updated</w:t>
      </w:r>
      <w:r w:rsidRPr="006122EE">
        <w:rPr>
          <w:color w:val="000000"/>
        </w:rPr>
        <w:t xml:space="preserve"> energy policy</w:t>
      </w:r>
      <w:r w:rsidR="00E61B49" w:rsidRPr="006122EE">
        <w:rPr>
          <w:color w:val="000000"/>
        </w:rPr>
        <w:t>.</w:t>
      </w:r>
      <w:r w:rsidRPr="006122EE">
        <w:rPr>
          <w:color w:val="000000"/>
        </w:rPr>
        <w:t xml:space="preserve"> But </w:t>
      </w:r>
      <w:r w:rsidR="00E61B49" w:rsidRPr="006122EE">
        <w:rPr>
          <w:color w:val="000000"/>
        </w:rPr>
        <w:t xml:space="preserve">while </w:t>
      </w:r>
      <w:r w:rsidR="00242455" w:rsidRPr="006122EE">
        <w:rPr>
          <w:color w:val="000000"/>
        </w:rPr>
        <w:t xml:space="preserve">a draft IPP framework and </w:t>
      </w:r>
      <w:r w:rsidR="00E61B49" w:rsidRPr="006122EE">
        <w:rPr>
          <w:color w:val="000000"/>
        </w:rPr>
        <w:t xml:space="preserve">draft Renewable Energy Strategy </w:t>
      </w:r>
      <w:r w:rsidR="00242455" w:rsidRPr="006122EE">
        <w:rPr>
          <w:color w:val="000000"/>
        </w:rPr>
        <w:t xml:space="preserve">were developed in 2016 and 2017, respectively, </w:t>
      </w:r>
      <w:r w:rsidRPr="006122EE">
        <w:rPr>
          <w:color w:val="000000"/>
        </w:rPr>
        <w:t>there is no</w:t>
      </w:r>
      <w:r w:rsidR="00E61B49" w:rsidRPr="006122EE">
        <w:rPr>
          <w:color w:val="000000"/>
        </w:rPr>
        <w:t xml:space="preserve">t yet </w:t>
      </w:r>
      <w:r w:rsidRPr="006122EE">
        <w:rPr>
          <w:color w:val="000000"/>
        </w:rPr>
        <w:t xml:space="preserve"> overall policy framework that addresses renewable energy comprehensively. Malawi will adopt a national renewable energy policy </w:t>
      </w:r>
      <w:r w:rsidR="003D5B54" w:rsidRPr="006122EE">
        <w:rPr>
          <w:color w:val="000000"/>
        </w:rPr>
        <w:t>to be overseen by a steering committee composed of major stakeholders such as MERA, the energy ministry, ESCOM, REIMA, industrial associations, and universities. The RE policy will establish</w:t>
      </w:r>
      <w:r w:rsidRPr="006122EE">
        <w:rPr>
          <w:color w:val="000000"/>
        </w:rPr>
        <w:t xml:space="preserve"> a framework for RE project development, including.  </w:t>
      </w:r>
    </w:p>
    <w:p w14:paraId="1064BEA8" w14:textId="77777777" w:rsidR="00421393" w:rsidRPr="00866D96" w:rsidRDefault="00421393" w:rsidP="00B1153E">
      <w:pPr>
        <w:pStyle w:val="DBulletlevel1"/>
        <w:spacing w:line="276" w:lineRule="auto"/>
        <w:rPr>
          <w:noProof w:val="0"/>
        </w:rPr>
      </w:pPr>
      <w:r w:rsidRPr="00866D96">
        <w:rPr>
          <w:noProof w:val="0"/>
        </w:rPr>
        <w:t xml:space="preserve">Formal adoption of rules for the acquisition of RE electricity, such as REFit, RE Obligation, </w:t>
      </w:r>
      <w:r w:rsidR="00E61B49" w:rsidRPr="00866D96">
        <w:rPr>
          <w:noProof w:val="0"/>
        </w:rPr>
        <w:t xml:space="preserve">and </w:t>
      </w:r>
      <w:r w:rsidRPr="00866D96">
        <w:rPr>
          <w:noProof w:val="0"/>
        </w:rPr>
        <w:t>RE auction</w:t>
      </w:r>
      <w:r w:rsidR="00FC2919" w:rsidRPr="00866D96">
        <w:rPr>
          <w:noProof w:val="0"/>
        </w:rPr>
        <w:t>.</w:t>
      </w:r>
    </w:p>
    <w:p w14:paraId="03F2E490" w14:textId="77777777" w:rsidR="00421393" w:rsidRPr="00866D96" w:rsidRDefault="00421393" w:rsidP="00B1153E">
      <w:pPr>
        <w:pStyle w:val="DBulletlevel1"/>
        <w:spacing w:line="276" w:lineRule="auto"/>
        <w:rPr>
          <w:noProof w:val="0"/>
        </w:rPr>
      </w:pPr>
      <w:r w:rsidRPr="00866D96">
        <w:rPr>
          <w:noProof w:val="0"/>
        </w:rPr>
        <w:t>Targets and timetables for the acquisition of RE electricity</w:t>
      </w:r>
      <w:r w:rsidR="00FC2919" w:rsidRPr="00866D96">
        <w:rPr>
          <w:noProof w:val="0"/>
        </w:rPr>
        <w:t xml:space="preserve">. </w:t>
      </w:r>
    </w:p>
    <w:p w14:paraId="18371E43" w14:textId="77777777" w:rsidR="00421393" w:rsidRPr="00866D96" w:rsidRDefault="00421393" w:rsidP="00B1153E">
      <w:pPr>
        <w:pStyle w:val="DBulletlevel1"/>
        <w:spacing w:line="276" w:lineRule="auto"/>
        <w:rPr>
          <w:noProof w:val="0"/>
        </w:rPr>
      </w:pPr>
      <w:r w:rsidRPr="00866D96">
        <w:rPr>
          <w:noProof w:val="0"/>
        </w:rPr>
        <w:t>Support for private investment in RE projects</w:t>
      </w:r>
      <w:r w:rsidR="00FC2919" w:rsidRPr="00866D96">
        <w:rPr>
          <w:noProof w:val="0"/>
        </w:rPr>
        <w:t>.</w:t>
      </w:r>
    </w:p>
    <w:p w14:paraId="1590C1CA" w14:textId="77777777" w:rsidR="00421393" w:rsidRPr="00866D96" w:rsidRDefault="00421393" w:rsidP="00B1153E">
      <w:pPr>
        <w:pStyle w:val="DBulletlevel1"/>
        <w:spacing w:line="276" w:lineRule="auto"/>
        <w:rPr>
          <w:noProof w:val="0"/>
        </w:rPr>
      </w:pPr>
      <w:r w:rsidRPr="00866D96">
        <w:rPr>
          <w:noProof w:val="0"/>
        </w:rPr>
        <w:t>Streamlining the project planning process and decreases project development and licensing costs</w:t>
      </w:r>
      <w:r w:rsidR="00FC2919" w:rsidRPr="00866D96">
        <w:rPr>
          <w:noProof w:val="0"/>
        </w:rPr>
        <w:t>.</w:t>
      </w:r>
    </w:p>
    <w:p w14:paraId="6D6726DD" w14:textId="77777777" w:rsidR="00FB25FF" w:rsidRPr="00866D96" w:rsidRDefault="00FB25FF" w:rsidP="00B1153E">
      <w:pPr>
        <w:pStyle w:val="DBulletlevel1"/>
        <w:spacing w:line="276" w:lineRule="auto"/>
        <w:rPr>
          <w:noProof w:val="0"/>
        </w:rPr>
      </w:pPr>
      <w:r w:rsidRPr="00866D96">
        <w:rPr>
          <w:noProof w:val="0"/>
        </w:rPr>
        <w:t>Introducing independent assessment, supervision and certification (independent consultants) of RE projects as is the case in other engineering and construction projects</w:t>
      </w:r>
      <w:r w:rsidR="00FC2919" w:rsidRPr="00866D96">
        <w:rPr>
          <w:noProof w:val="0"/>
        </w:rPr>
        <w:t>.</w:t>
      </w:r>
    </w:p>
    <w:p w14:paraId="294AED3D" w14:textId="77777777" w:rsidR="00421393" w:rsidRPr="00866D96" w:rsidRDefault="00421393" w:rsidP="00B1153E">
      <w:pPr>
        <w:pStyle w:val="DBulletlevel1"/>
        <w:spacing w:line="276" w:lineRule="auto"/>
        <w:rPr>
          <w:noProof w:val="0"/>
        </w:rPr>
      </w:pPr>
      <w:r w:rsidRPr="00866D96">
        <w:rPr>
          <w:noProof w:val="0"/>
        </w:rPr>
        <w:t>Assigning roles to ESCOM, MERA, the Department of Energy, other government entities, and other players</w:t>
      </w:r>
      <w:r w:rsidR="00FC2919" w:rsidRPr="00866D96">
        <w:rPr>
          <w:noProof w:val="0"/>
        </w:rPr>
        <w:t>.</w:t>
      </w:r>
      <w:r w:rsidRPr="00866D96">
        <w:rPr>
          <w:noProof w:val="0"/>
        </w:rPr>
        <w:t xml:space="preserve"> </w:t>
      </w:r>
    </w:p>
    <w:p w14:paraId="3A7C07DD" w14:textId="77777777" w:rsidR="00421393" w:rsidRPr="00866D96" w:rsidRDefault="00421393" w:rsidP="00B1153E">
      <w:pPr>
        <w:pStyle w:val="DBulletlevel1"/>
        <w:spacing w:line="276" w:lineRule="auto"/>
        <w:rPr>
          <w:noProof w:val="0"/>
        </w:rPr>
      </w:pPr>
      <w:r w:rsidRPr="00866D96">
        <w:rPr>
          <w:noProof w:val="0"/>
        </w:rPr>
        <w:t xml:space="preserve">Ensuring adequate consultation with stakeholders and the public in the project development process.  </w:t>
      </w:r>
    </w:p>
    <w:p w14:paraId="434686CC" w14:textId="77777777" w:rsidR="00B311D0" w:rsidRPr="00866D96" w:rsidRDefault="00192F03" w:rsidP="00B1153E">
      <w:pPr>
        <w:pStyle w:val="CSubtitle2"/>
        <w:spacing w:line="276" w:lineRule="auto"/>
        <w:rPr>
          <w:noProof w:val="0"/>
          <w:lang w:val="en-GB"/>
        </w:rPr>
      </w:pPr>
      <w:r w:rsidRPr="00866D96">
        <w:rPr>
          <w:noProof w:val="0"/>
          <w:lang w:val="en-GB"/>
        </w:rPr>
        <w:t>Mechanism</w:t>
      </w:r>
      <w:r w:rsidR="00B311D0" w:rsidRPr="00866D96">
        <w:rPr>
          <w:noProof w:val="0"/>
          <w:lang w:val="en-GB"/>
        </w:rPr>
        <w:t xml:space="preserve"> for acquiring electricity from RE sources</w:t>
      </w:r>
      <w:r w:rsidR="00C679D8" w:rsidRPr="00866D96">
        <w:rPr>
          <w:noProof w:val="0"/>
          <w:lang w:val="en-GB"/>
        </w:rPr>
        <w:t xml:space="preserve">  </w:t>
      </w:r>
    </w:p>
    <w:p w14:paraId="03AE0DF7" w14:textId="77777777" w:rsidR="00310152" w:rsidRPr="006122EE" w:rsidRDefault="00421393" w:rsidP="00B1153E">
      <w:pPr>
        <w:spacing w:line="276" w:lineRule="auto"/>
        <w:rPr>
          <w:color w:val="000000"/>
        </w:rPr>
      </w:pPr>
      <w:r w:rsidRPr="006122EE">
        <w:rPr>
          <w:color w:val="000000"/>
        </w:rPr>
        <w:t>Malawi has choices to make</w:t>
      </w:r>
      <w:r w:rsidR="00B311D0" w:rsidRPr="006122EE">
        <w:rPr>
          <w:color w:val="000000"/>
        </w:rPr>
        <w:t xml:space="preserve"> about how to acquire </w:t>
      </w:r>
      <w:r w:rsidR="00876FE3" w:rsidRPr="006122EE">
        <w:rPr>
          <w:color w:val="000000"/>
        </w:rPr>
        <w:t xml:space="preserve">large-scale, grid-connected </w:t>
      </w:r>
      <w:r w:rsidR="00B311D0" w:rsidRPr="006122EE">
        <w:rPr>
          <w:color w:val="000000"/>
        </w:rPr>
        <w:t>RE</w:t>
      </w:r>
      <w:r w:rsidRPr="006122EE">
        <w:rPr>
          <w:color w:val="000000"/>
        </w:rPr>
        <w:t>.</w:t>
      </w:r>
      <w:r w:rsidR="00876FE3" w:rsidRPr="006122EE">
        <w:rPr>
          <w:rStyle w:val="FootnoteReference"/>
          <w:color w:val="000000"/>
        </w:rPr>
        <w:footnoteReference w:id="80"/>
      </w:r>
      <w:r w:rsidRPr="006122EE">
        <w:rPr>
          <w:color w:val="000000"/>
        </w:rPr>
        <w:t xml:space="preserve"> The </w:t>
      </w:r>
      <w:r w:rsidR="00983ED1" w:rsidRPr="006122EE">
        <w:rPr>
          <w:color w:val="000000"/>
        </w:rPr>
        <w:t>g</w:t>
      </w:r>
      <w:r w:rsidRPr="006122EE">
        <w:rPr>
          <w:color w:val="000000"/>
        </w:rPr>
        <w:t xml:space="preserve">overnment, through ESCOM, can either build the RE power projects itself or enter into contracts with private suppliers or do both. The government will seek to do both, but will place a major emphasis on using private suppliers or IPPs. </w:t>
      </w:r>
    </w:p>
    <w:p w14:paraId="475A65A4" w14:textId="77777777" w:rsidR="00421393" w:rsidRPr="006122EE" w:rsidRDefault="00421393" w:rsidP="00B1153E">
      <w:pPr>
        <w:spacing w:line="276" w:lineRule="auto"/>
        <w:rPr>
          <w:color w:val="000000"/>
        </w:rPr>
      </w:pPr>
      <w:r w:rsidRPr="006122EE">
        <w:rPr>
          <w:color w:val="000000"/>
        </w:rPr>
        <w:t xml:space="preserve">For example, the </w:t>
      </w:r>
      <w:r w:rsidR="00983ED1" w:rsidRPr="006122EE">
        <w:rPr>
          <w:color w:val="000000"/>
        </w:rPr>
        <w:t>g</w:t>
      </w:r>
      <w:r w:rsidRPr="006122EE">
        <w:rPr>
          <w:color w:val="000000"/>
        </w:rPr>
        <w:t xml:space="preserve">overnment has already moved toward operationalizing a REFiT. However, there is disagreement about the price that ESCOM should pay for various types of RE. One of the disadvantages of a REFiT is that the government must continuously review and update the tariffs. There is also disagreement about how many years a certain price should be offered to an RE supplier. Some parties point to the decreasing costs of solar and wind and suggest that those costs will continue to decrease and so a 20-year contract to purchase RE electricity should reflect the decreasing costs by reducing the tariff in later years. </w:t>
      </w:r>
      <w:r w:rsidR="00310152" w:rsidRPr="006122EE">
        <w:rPr>
          <w:color w:val="000000"/>
        </w:rPr>
        <w:t>However</w:t>
      </w:r>
      <w:r w:rsidRPr="006122EE">
        <w:rPr>
          <w:color w:val="000000"/>
        </w:rPr>
        <w:t xml:space="preserve">, the RE developers point out that the technology they install in Year 1 will be the same technology in future years and will not reflect the lower future technology costs, so the tariff should reflect the costs of the installed technology and thus remain the same for the duration of the contract. Regardless of which approach is taken, the REFiT will need to provide price predictability to RE investors for 20 years. Without price predictability, investors will not finance the RE projects. </w:t>
      </w:r>
    </w:p>
    <w:p w14:paraId="71FA2528" w14:textId="77777777" w:rsidR="00421393" w:rsidRPr="006122EE" w:rsidRDefault="00421393" w:rsidP="00B1153E">
      <w:pPr>
        <w:spacing w:line="276" w:lineRule="auto"/>
        <w:rPr>
          <w:color w:val="000000"/>
        </w:rPr>
      </w:pPr>
      <w:r w:rsidRPr="006122EE">
        <w:rPr>
          <w:color w:val="000000"/>
        </w:rPr>
        <w:t>Given the somewhat cumbersome and con</w:t>
      </w:r>
      <w:r w:rsidR="00310152" w:rsidRPr="006122EE">
        <w:rPr>
          <w:color w:val="000000"/>
        </w:rPr>
        <w:t xml:space="preserve">troversial nature of a REFiT, an </w:t>
      </w:r>
      <w:r w:rsidRPr="006122EE">
        <w:rPr>
          <w:color w:val="000000"/>
        </w:rPr>
        <w:t>alternative mechanism is the Renewable Energy Obligation (R</w:t>
      </w:r>
      <w:r w:rsidR="0025203B" w:rsidRPr="006122EE">
        <w:rPr>
          <w:color w:val="000000"/>
        </w:rPr>
        <w:t>E</w:t>
      </w:r>
      <w:r w:rsidRPr="006122EE">
        <w:rPr>
          <w:color w:val="000000"/>
        </w:rPr>
        <w:t>O). An R</w:t>
      </w:r>
      <w:r w:rsidR="0025203B" w:rsidRPr="006122EE">
        <w:rPr>
          <w:color w:val="000000"/>
        </w:rPr>
        <w:t>E</w:t>
      </w:r>
      <w:r w:rsidRPr="006122EE">
        <w:rPr>
          <w:color w:val="000000"/>
        </w:rPr>
        <w:t>O would simply require ESCOM to supply a certain percentage of its power from RE sources by a certain date</w:t>
      </w:r>
      <w:r w:rsidR="0094681A" w:rsidRPr="006122EE">
        <w:rPr>
          <w:color w:val="000000"/>
        </w:rPr>
        <w:t xml:space="preserve">. </w:t>
      </w:r>
      <w:r w:rsidRPr="006122EE">
        <w:rPr>
          <w:color w:val="000000"/>
        </w:rPr>
        <w:t xml:space="preserve">It would be up to ESCOM </w:t>
      </w:r>
      <w:r w:rsidR="00310152" w:rsidRPr="006122EE">
        <w:rPr>
          <w:color w:val="000000"/>
        </w:rPr>
        <w:t>to decide</w:t>
      </w:r>
      <w:r w:rsidRPr="006122EE">
        <w:rPr>
          <w:color w:val="000000"/>
        </w:rPr>
        <w:t xml:space="preserve"> how to go about doing this. For example, it could finance the projects itself. It could enter into PPAs with IPPs. It could create its own tariff at which it will offer to acquire power from various types of RE projects, or it could hold a competitive bidding process. The choices would be up to ESCOM as long a</w:t>
      </w:r>
      <w:r w:rsidR="00310152" w:rsidRPr="006122EE">
        <w:rPr>
          <w:color w:val="000000"/>
        </w:rPr>
        <w:t>s it meets the target date. The</w:t>
      </w:r>
      <w:r w:rsidRPr="006122EE">
        <w:rPr>
          <w:color w:val="000000"/>
        </w:rPr>
        <w:t xml:space="preserve"> amount of RE power ESCOM would have to supply by that date would be based on the </w:t>
      </w:r>
      <w:r w:rsidR="00FE7056" w:rsidRPr="006122EE">
        <w:rPr>
          <w:lang w:eastAsia="en-US"/>
        </w:rPr>
        <w:t>SE4ALL</w:t>
      </w:r>
      <w:r w:rsidRPr="006122EE">
        <w:rPr>
          <w:color w:val="000000"/>
        </w:rPr>
        <w:t xml:space="preserve"> targets. R</w:t>
      </w:r>
      <w:r w:rsidR="0025203B" w:rsidRPr="006122EE">
        <w:rPr>
          <w:color w:val="000000"/>
        </w:rPr>
        <w:t>E</w:t>
      </w:r>
      <w:r w:rsidRPr="006122EE">
        <w:rPr>
          <w:color w:val="000000"/>
        </w:rPr>
        <w:t xml:space="preserve">O’s exist in the UK, US, China, Korea, Japan, Australia and Germany, among other countries. They can be simple in design and just require the utility to supply a certain percentage of MWh from RE sources; or they can specify targets for specific RE technologies.  </w:t>
      </w:r>
    </w:p>
    <w:p w14:paraId="247074E8" w14:textId="77777777" w:rsidR="00421393" w:rsidRPr="006122EE" w:rsidRDefault="00421393" w:rsidP="00B1153E">
      <w:pPr>
        <w:spacing w:line="276" w:lineRule="auto"/>
        <w:rPr>
          <w:color w:val="000000"/>
        </w:rPr>
      </w:pPr>
      <w:r w:rsidRPr="006122EE">
        <w:rPr>
          <w:color w:val="000000"/>
        </w:rPr>
        <w:t xml:space="preserve">The </w:t>
      </w:r>
      <w:r w:rsidR="00983ED1" w:rsidRPr="006122EE">
        <w:rPr>
          <w:color w:val="000000"/>
        </w:rPr>
        <w:t>g</w:t>
      </w:r>
      <w:r w:rsidRPr="006122EE">
        <w:rPr>
          <w:color w:val="000000"/>
        </w:rPr>
        <w:t>overnment could decide to adopt a modified R</w:t>
      </w:r>
      <w:r w:rsidR="0025203B" w:rsidRPr="006122EE">
        <w:rPr>
          <w:color w:val="000000"/>
        </w:rPr>
        <w:t>E</w:t>
      </w:r>
      <w:r w:rsidRPr="006122EE">
        <w:rPr>
          <w:color w:val="000000"/>
        </w:rPr>
        <w:t xml:space="preserve">O that has minimum targets for certain technologies like small hydro solar power, and wind so that ESCOM wouldn’t try to acquire all the RE in the form of large hydro. But ESCOM would still have flexibility in determining for itself how to acquire those RE sources. The </w:t>
      </w:r>
      <w:r w:rsidR="00983ED1" w:rsidRPr="006122EE">
        <w:rPr>
          <w:color w:val="000000"/>
        </w:rPr>
        <w:t>g</w:t>
      </w:r>
      <w:r w:rsidRPr="006122EE">
        <w:rPr>
          <w:color w:val="000000"/>
        </w:rPr>
        <w:t>overnment would not set targets for specific solar technologies, such as PV or CSP.</w:t>
      </w:r>
    </w:p>
    <w:p w14:paraId="0941A80D" w14:textId="77777777" w:rsidR="00421393" w:rsidRPr="006122EE" w:rsidRDefault="00421393" w:rsidP="00B1153E">
      <w:pPr>
        <w:spacing w:line="276" w:lineRule="auto"/>
        <w:rPr>
          <w:color w:val="000000"/>
        </w:rPr>
      </w:pPr>
      <w:r w:rsidRPr="006122EE">
        <w:rPr>
          <w:color w:val="000000"/>
        </w:rPr>
        <w:t>For larger RE projects (&gt; 30 MW), a transparent and timely bidding process is probably the best approach. This could eventually lead to an RE auction system like South Africa is planning to operationalize.</w:t>
      </w:r>
    </w:p>
    <w:p w14:paraId="36D89DF1" w14:textId="77777777" w:rsidR="00C14C09" w:rsidRPr="006122EE" w:rsidRDefault="00C14C09" w:rsidP="00B1153E">
      <w:pPr>
        <w:spacing w:line="276" w:lineRule="auto"/>
        <w:rPr>
          <w:color w:val="000000"/>
        </w:rPr>
      </w:pPr>
      <w:r w:rsidRPr="006122EE">
        <w:rPr>
          <w:color w:val="000000"/>
        </w:rPr>
        <w:t xml:space="preserve">Allowing small-scale on-site RE installations to sell excess power to the grid is a common policy. A limit on the size of each system, such as 0.5 MW is common as well. The government is supportive of net metering and will need to develop standards to ensure that the power from the small projects is of sufficient quality and does not cause voltage problems with the grid. </w:t>
      </w:r>
    </w:p>
    <w:p w14:paraId="2F2FE844" w14:textId="77777777" w:rsidR="003D5B54" w:rsidRPr="00866D96" w:rsidRDefault="00421393" w:rsidP="00B1153E">
      <w:pPr>
        <w:pStyle w:val="CSubtitle2"/>
        <w:spacing w:line="276" w:lineRule="auto"/>
        <w:rPr>
          <w:noProof w:val="0"/>
          <w:lang w:val="en-GB"/>
        </w:rPr>
      </w:pPr>
      <w:r w:rsidRPr="00866D96">
        <w:rPr>
          <w:noProof w:val="0"/>
          <w:lang w:val="en-GB"/>
        </w:rPr>
        <w:t>Providing financial incen</w:t>
      </w:r>
      <w:r w:rsidR="003D5B54" w:rsidRPr="00866D96">
        <w:rPr>
          <w:noProof w:val="0"/>
          <w:lang w:val="en-GB"/>
        </w:rPr>
        <w:t>tives for developers and users</w:t>
      </w:r>
    </w:p>
    <w:p w14:paraId="5BEE37A4" w14:textId="77777777" w:rsidR="00421393" w:rsidRPr="006122EE" w:rsidRDefault="00421393" w:rsidP="00B1153E">
      <w:pPr>
        <w:spacing w:line="276" w:lineRule="auto"/>
        <w:rPr>
          <w:color w:val="000000"/>
        </w:rPr>
      </w:pPr>
      <w:r w:rsidRPr="006122EE">
        <w:rPr>
          <w:color w:val="000000"/>
        </w:rPr>
        <w:t xml:space="preserve">Many countries provide incentives </w:t>
      </w:r>
      <w:r w:rsidR="00E93EED" w:rsidRPr="006122EE">
        <w:rPr>
          <w:color w:val="000000"/>
        </w:rPr>
        <w:t xml:space="preserve">for the development of RE sources. </w:t>
      </w:r>
      <w:r w:rsidR="00E93EED" w:rsidRPr="00866D96">
        <w:rPr>
          <w:rFonts w:eastAsia="Times New Roman" w:cs="Arial"/>
          <w:color w:val="auto"/>
          <w:szCs w:val="20"/>
          <w:lang w:eastAsia="en-US"/>
        </w:rPr>
        <w:t>The types of incentives used include concessional import duties, excise tax benefits, corporate and personal income tax benefits</w:t>
      </w:r>
      <w:r w:rsidR="00FC2919" w:rsidRPr="00866D96">
        <w:rPr>
          <w:rFonts w:eastAsia="Times New Roman" w:cs="Arial"/>
          <w:color w:val="auto"/>
          <w:szCs w:val="20"/>
          <w:lang w:eastAsia="en-US"/>
        </w:rPr>
        <w:t xml:space="preserve"> </w:t>
      </w:r>
      <w:r w:rsidR="00E93EED" w:rsidRPr="00866D96">
        <w:rPr>
          <w:rFonts w:eastAsia="Times New Roman" w:cs="Arial"/>
          <w:color w:val="auto"/>
          <w:szCs w:val="20"/>
          <w:lang w:eastAsia="en-US"/>
        </w:rPr>
        <w:t>(including tax exemptions, holidays, credits, and deductions, as well as accelerated depreciation), subsidies against investment costs, low-interest loans, and premium power purchase prices. In particular, corporate tax credits and RE production credits will be seriously considered by the Government of Malawi</w:t>
      </w:r>
      <w:r w:rsidR="00670CDA" w:rsidRPr="00866D96">
        <w:rPr>
          <w:rFonts w:eastAsia="Times New Roman" w:cs="Arial"/>
          <w:color w:val="auto"/>
          <w:szCs w:val="20"/>
          <w:lang w:eastAsia="en-US"/>
        </w:rPr>
        <w:t xml:space="preserve">. The size of the production credits would </w:t>
      </w:r>
      <w:r w:rsidR="00670CDA" w:rsidRPr="006122EE">
        <w:rPr>
          <w:color w:val="000000"/>
        </w:rPr>
        <w:t xml:space="preserve">be </w:t>
      </w:r>
      <w:r w:rsidRPr="006122EE">
        <w:rPr>
          <w:color w:val="000000"/>
        </w:rPr>
        <w:t xml:space="preserve">based on the number of MWh delivered to the grid. These </w:t>
      </w:r>
      <w:r w:rsidR="00670CDA" w:rsidRPr="006122EE">
        <w:rPr>
          <w:color w:val="000000"/>
        </w:rPr>
        <w:t xml:space="preserve">kind of incentives </w:t>
      </w:r>
      <w:r w:rsidRPr="006122EE">
        <w:rPr>
          <w:color w:val="000000"/>
        </w:rPr>
        <w:t xml:space="preserve">help improve cash flow and reduce risk for the </w:t>
      </w:r>
      <w:r w:rsidR="00670CDA" w:rsidRPr="006122EE">
        <w:rPr>
          <w:color w:val="000000"/>
        </w:rPr>
        <w:t xml:space="preserve">project </w:t>
      </w:r>
      <w:r w:rsidRPr="006122EE">
        <w:rPr>
          <w:color w:val="000000"/>
        </w:rPr>
        <w:t xml:space="preserve">developers and investors. The </w:t>
      </w:r>
      <w:r w:rsidR="00983ED1" w:rsidRPr="006122EE">
        <w:rPr>
          <w:color w:val="000000"/>
        </w:rPr>
        <w:t>g</w:t>
      </w:r>
      <w:r w:rsidRPr="006122EE">
        <w:rPr>
          <w:color w:val="000000"/>
        </w:rPr>
        <w:t xml:space="preserve">overnment </w:t>
      </w:r>
      <w:r w:rsidR="00670CDA" w:rsidRPr="006122EE">
        <w:rPr>
          <w:color w:val="000000"/>
        </w:rPr>
        <w:t>would</w:t>
      </w:r>
      <w:r w:rsidRPr="006122EE">
        <w:rPr>
          <w:color w:val="000000"/>
        </w:rPr>
        <w:t xml:space="preserve"> not lose revenue it would otherwise have </w:t>
      </w:r>
      <w:r w:rsidR="00A145CC" w:rsidRPr="006122EE">
        <w:rPr>
          <w:color w:val="000000"/>
        </w:rPr>
        <w:t>received</w:t>
      </w:r>
      <w:r w:rsidRPr="006122EE">
        <w:rPr>
          <w:color w:val="000000"/>
        </w:rPr>
        <w:t xml:space="preserve"> from these projects because the projects wouldn’t have been built without the existence of the incentives.</w:t>
      </w:r>
    </w:p>
    <w:p w14:paraId="5CD97E98" w14:textId="77777777" w:rsidR="003C0F42" w:rsidRPr="006122EE" w:rsidRDefault="003C0F42" w:rsidP="00B1153E">
      <w:pPr>
        <w:spacing w:before="0" w:after="0" w:line="276" w:lineRule="auto"/>
        <w:jc w:val="left"/>
        <w:rPr>
          <w:color w:val="000000"/>
        </w:rPr>
      </w:pPr>
    </w:p>
    <w:p w14:paraId="1EDA7C44" w14:textId="77777777" w:rsidR="0071280A" w:rsidRPr="006122EE" w:rsidRDefault="003C0F42" w:rsidP="00B1153E">
      <w:pPr>
        <w:spacing w:line="276" w:lineRule="auto"/>
        <w:rPr>
          <w:color w:val="000000"/>
        </w:rPr>
      </w:pPr>
      <w:r w:rsidRPr="006122EE">
        <w:rPr>
          <w:color w:val="000000"/>
        </w:rPr>
        <w:t xml:space="preserve">The financial incentives offered will need to be carefully calibrated with the mechanisms for acquiring the electricity, as discussed immediately above. A generous </w:t>
      </w:r>
      <w:r w:rsidR="001E77E4" w:rsidRPr="006122EE">
        <w:rPr>
          <w:color w:val="000000"/>
        </w:rPr>
        <w:t xml:space="preserve">and dependable long-term </w:t>
      </w:r>
      <w:r w:rsidRPr="006122EE">
        <w:rPr>
          <w:color w:val="000000"/>
        </w:rPr>
        <w:t>REFiT might obv</w:t>
      </w:r>
      <w:r w:rsidR="001E77E4" w:rsidRPr="006122EE">
        <w:rPr>
          <w:color w:val="000000"/>
        </w:rPr>
        <w:t>i</w:t>
      </w:r>
      <w:r w:rsidRPr="006122EE">
        <w:rPr>
          <w:color w:val="000000"/>
        </w:rPr>
        <w:t>ate the need for other financial incentives</w:t>
      </w:r>
      <w:r w:rsidR="001E77E4" w:rsidRPr="006122EE">
        <w:rPr>
          <w:color w:val="000000"/>
        </w:rPr>
        <w:t>, as Uruguay has found</w:t>
      </w:r>
      <w:r w:rsidRPr="006122EE">
        <w:rPr>
          <w:color w:val="000000"/>
        </w:rPr>
        <w:t xml:space="preserve">. Likewise, a REO combined with a competitive bidding process for the </w:t>
      </w:r>
      <w:r w:rsidR="001E77E4" w:rsidRPr="006122EE">
        <w:rPr>
          <w:color w:val="000000"/>
        </w:rPr>
        <w:t xml:space="preserve">purchase of electricity from RE projects </w:t>
      </w:r>
      <w:r w:rsidRPr="006122EE">
        <w:rPr>
          <w:color w:val="000000"/>
        </w:rPr>
        <w:t>may be all that is needed</w:t>
      </w:r>
      <w:r w:rsidR="001E77E4" w:rsidRPr="006122EE">
        <w:rPr>
          <w:color w:val="000000"/>
        </w:rPr>
        <w:t xml:space="preserve"> to provide sufficient long-term income to RE developers. However, looking at </w:t>
      </w:r>
      <w:r w:rsidR="00A3183A" w:rsidRPr="006122EE">
        <w:rPr>
          <w:color w:val="000000"/>
        </w:rPr>
        <w:t xml:space="preserve">most </w:t>
      </w:r>
      <w:r w:rsidR="001E77E4" w:rsidRPr="006122EE">
        <w:rPr>
          <w:color w:val="000000"/>
        </w:rPr>
        <w:t>other countries that have experienced significant expansion</w:t>
      </w:r>
      <w:r w:rsidR="00A3183A" w:rsidRPr="006122EE">
        <w:rPr>
          <w:color w:val="000000"/>
        </w:rPr>
        <w:t>s</w:t>
      </w:r>
      <w:r w:rsidR="001E77E4" w:rsidRPr="006122EE">
        <w:rPr>
          <w:color w:val="000000"/>
        </w:rPr>
        <w:t xml:space="preserve"> of grid-connected RE (e.g., India, China, Scotland, Germany, etc.), it </w:t>
      </w:r>
      <w:r w:rsidR="00A3183A" w:rsidRPr="006122EE">
        <w:rPr>
          <w:color w:val="000000"/>
        </w:rPr>
        <w:t>appears</w:t>
      </w:r>
      <w:r w:rsidR="001E77E4" w:rsidRPr="006122EE">
        <w:rPr>
          <w:color w:val="000000"/>
        </w:rPr>
        <w:t xml:space="preserve"> that government financial incentives have </w:t>
      </w:r>
      <w:r w:rsidR="00A3183A" w:rsidRPr="006122EE">
        <w:rPr>
          <w:color w:val="000000"/>
        </w:rPr>
        <w:t>played a key role in getting the expansions started. As the RE industry matures, the incentives can be scaled back.</w:t>
      </w:r>
    </w:p>
    <w:p w14:paraId="3EDDF786" w14:textId="77777777" w:rsidR="00DD3535" w:rsidRPr="006122EE" w:rsidRDefault="0071280A" w:rsidP="00B1153E">
      <w:pPr>
        <w:spacing w:line="276" w:lineRule="auto"/>
        <w:rPr>
          <w:color w:val="000000"/>
        </w:rPr>
      </w:pPr>
      <w:r w:rsidRPr="006122EE">
        <w:rPr>
          <w:color w:val="000000"/>
        </w:rPr>
        <w:t>Subsidized loans are another possibility for supporting the RE industry. Since most RE projects are highly leveraged – meaning a large percentage of their financing comes from debt – there may be a need for the government to work with international financial institutions to provide affordable (below-market) debt. But once again, providing subsidized debt will need to be carefully coordinated with other financial incentives the government may offer and with the REF</w:t>
      </w:r>
      <w:r w:rsidR="001B3D38" w:rsidRPr="006122EE">
        <w:rPr>
          <w:color w:val="000000"/>
        </w:rPr>
        <w:t>i</w:t>
      </w:r>
      <w:r w:rsidR="00FC2919" w:rsidRPr="006122EE">
        <w:rPr>
          <w:color w:val="000000"/>
        </w:rPr>
        <w:t>T</w:t>
      </w:r>
      <w:r w:rsidR="001B3D38" w:rsidRPr="006122EE">
        <w:rPr>
          <w:color w:val="000000"/>
        </w:rPr>
        <w:t>/</w:t>
      </w:r>
      <w:r w:rsidRPr="006122EE">
        <w:rPr>
          <w:color w:val="000000"/>
        </w:rPr>
        <w:t xml:space="preserve">REO policies. </w:t>
      </w:r>
      <w:r w:rsidR="001B3D38" w:rsidRPr="006122EE">
        <w:rPr>
          <w:color w:val="000000"/>
        </w:rPr>
        <w:t>While the government wants to support and assist RE developers, it does not want to foster free ridership.</w:t>
      </w:r>
    </w:p>
    <w:p w14:paraId="646D99B5" w14:textId="77777777" w:rsidR="00DD3535" w:rsidRPr="006122EE" w:rsidRDefault="00DD3535" w:rsidP="00B1153E">
      <w:pPr>
        <w:spacing w:line="276" w:lineRule="auto"/>
        <w:rPr>
          <w:color w:val="000000"/>
        </w:rPr>
      </w:pPr>
      <w:r w:rsidRPr="006122EE">
        <w:rPr>
          <w:color w:val="000000"/>
        </w:rPr>
        <w:t xml:space="preserve">Elimination of import duties on RE and EE equipment is common in many countries. However, there is a need to determine exactly which equipment qualifies for the exemptions. PV panels and inverters obviously do, but certain kinds of batteries which have other applications should nevertheless qualify as well, </w:t>
      </w:r>
    </w:p>
    <w:p w14:paraId="5BAEA046" w14:textId="77777777" w:rsidR="003D5B54" w:rsidRPr="00866D96" w:rsidRDefault="00421393" w:rsidP="00B1153E">
      <w:pPr>
        <w:pStyle w:val="CSubtitle2"/>
        <w:spacing w:line="276" w:lineRule="auto"/>
        <w:rPr>
          <w:noProof w:val="0"/>
          <w:lang w:val="en-GB"/>
        </w:rPr>
      </w:pPr>
      <w:r w:rsidRPr="00866D96">
        <w:rPr>
          <w:noProof w:val="0"/>
          <w:lang w:val="en-GB"/>
        </w:rPr>
        <w:t>Streamlined requirements and quick and inexpensive MERA li</w:t>
      </w:r>
      <w:r w:rsidR="003D5B54" w:rsidRPr="00866D96">
        <w:rPr>
          <w:noProof w:val="0"/>
          <w:lang w:val="en-GB"/>
        </w:rPr>
        <w:t>censing process for developers</w:t>
      </w:r>
    </w:p>
    <w:p w14:paraId="5547905E" w14:textId="77777777" w:rsidR="00421393" w:rsidRPr="006122EE" w:rsidRDefault="00421393" w:rsidP="00B1153E">
      <w:pPr>
        <w:spacing w:line="276" w:lineRule="auto"/>
        <w:rPr>
          <w:color w:val="000000"/>
        </w:rPr>
      </w:pPr>
      <w:r w:rsidRPr="006122EE">
        <w:rPr>
          <w:color w:val="000000"/>
        </w:rPr>
        <w:t>As discussed in the previous chapter, permitting, licensing land leasing and EIA procedures can in combination be cumbersome and time-consuming. Establishing a streamlined approval procedure with an inter-agency project review committee will help speed the process and thus reduce costs and risks for the project developers.</w:t>
      </w:r>
    </w:p>
    <w:p w14:paraId="357A586A" w14:textId="77777777" w:rsidR="003D5B54" w:rsidRPr="00866D96" w:rsidRDefault="00421393" w:rsidP="00B1153E">
      <w:pPr>
        <w:pStyle w:val="CSubtitle2"/>
        <w:spacing w:line="276" w:lineRule="auto"/>
        <w:rPr>
          <w:noProof w:val="0"/>
          <w:lang w:val="en-GB"/>
        </w:rPr>
      </w:pPr>
      <w:r w:rsidRPr="00866D96">
        <w:rPr>
          <w:noProof w:val="0"/>
          <w:lang w:val="en-GB"/>
        </w:rPr>
        <w:t>Providing assistance to developers in the preparation of the energy yield studies, interconnection stud</w:t>
      </w:r>
      <w:r w:rsidR="003D5B54" w:rsidRPr="00866D96">
        <w:rPr>
          <w:noProof w:val="0"/>
          <w:lang w:val="en-GB"/>
        </w:rPr>
        <w:t>ies, economic models, EIAs, etc.</w:t>
      </w:r>
      <w:r w:rsidRPr="00866D96">
        <w:rPr>
          <w:noProof w:val="0"/>
          <w:lang w:val="en-GB"/>
        </w:rPr>
        <w:t xml:space="preserve"> </w:t>
      </w:r>
    </w:p>
    <w:p w14:paraId="319EB46C" w14:textId="77777777" w:rsidR="00421393" w:rsidRPr="006122EE" w:rsidRDefault="00421393" w:rsidP="00B1153E">
      <w:pPr>
        <w:spacing w:line="276" w:lineRule="auto"/>
        <w:rPr>
          <w:color w:val="000000"/>
        </w:rPr>
      </w:pPr>
      <w:r w:rsidRPr="006122EE">
        <w:rPr>
          <w:color w:val="000000"/>
        </w:rPr>
        <w:t xml:space="preserve">For larger RE projects, a number of these studies are needed to determine the amount and quality of electricity that will be delivered to the grid, and what it’s impact will be on the grid and the environment. These can be costly and there may be ways the </w:t>
      </w:r>
      <w:r w:rsidR="00983ED1" w:rsidRPr="006122EE">
        <w:rPr>
          <w:color w:val="000000"/>
        </w:rPr>
        <w:t>g</w:t>
      </w:r>
      <w:r w:rsidRPr="006122EE">
        <w:rPr>
          <w:color w:val="000000"/>
        </w:rPr>
        <w:t xml:space="preserve">overnment can help cover these costs. The studies for specific projects can be included in the Investment Prospectus as investments that donors may want to make. Risk guarantees to back up payments by ESCOM. Even if ESCOM agrees to buy electricity from an RE project and signs a long-term PPA, investors may question the reliability of ESCOM as a long-term payer. This is a common concern by RE investors. So the RE policy will consider ways of providing security for the investors, such as working with international financial institutions to provide partial payment guarantees to the investors. The guarantee would state that if ESCOM falls behind on its payments by a certain amount, then the payment guarantee will pay the investors a certain percent of what it owed. </w:t>
      </w:r>
    </w:p>
    <w:p w14:paraId="307C6BE0" w14:textId="77777777" w:rsidR="00B311D0" w:rsidRPr="006122EE" w:rsidRDefault="00B311D0" w:rsidP="00B1153E">
      <w:pPr>
        <w:spacing w:line="276" w:lineRule="auto"/>
        <w:ind w:left="2" w:firstLine="1"/>
        <w:rPr>
          <w:color w:val="000000"/>
        </w:rPr>
      </w:pPr>
      <w:r w:rsidRPr="00866D96">
        <w:rPr>
          <w:rStyle w:val="CSubtitle2Char"/>
          <w:noProof w:val="0"/>
          <w:lang w:val="en-GB"/>
        </w:rPr>
        <w:t xml:space="preserve">       </w:t>
      </w:r>
      <w:r w:rsidR="00421393" w:rsidRPr="00866D96">
        <w:rPr>
          <w:rStyle w:val="CSubtitle2Char"/>
          <w:noProof w:val="0"/>
          <w:lang w:val="en-GB"/>
        </w:rPr>
        <w:t>Rules for on-site RE generation by third parties</w:t>
      </w:r>
    </w:p>
    <w:p w14:paraId="304345A5" w14:textId="77777777" w:rsidR="00421393" w:rsidRPr="006122EE" w:rsidRDefault="00421393" w:rsidP="00B1153E">
      <w:pPr>
        <w:spacing w:line="276" w:lineRule="auto"/>
        <w:rPr>
          <w:color w:val="000000"/>
        </w:rPr>
      </w:pPr>
      <w:r w:rsidRPr="006122EE">
        <w:rPr>
          <w:color w:val="000000"/>
        </w:rPr>
        <w:t>Many industrial firms have on-site power generators to provide back-up power during outages. It may be desirable to have on-site power generation available at all times if it is provided by a contractor who installs a small RE plant such as a biomass power unit or a solar PV project. There will need to be rules to allow that contractor to build a generation facility connected to a grid-connected company, and there will need to be rules on the structure of the contract between the contactor and the power off-taker. This “chauffage” approach is also applicable to on-site cogeneration plants that sell both electricity and process heat to a facility.</w:t>
      </w:r>
    </w:p>
    <w:p w14:paraId="1FD3998B" w14:textId="77777777" w:rsidR="00B311D0" w:rsidRPr="00866D96" w:rsidRDefault="00421393" w:rsidP="00B1153E">
      <w:pPr>
        <w:pStyle w:val="CSubtitle2"/>
        <w:spacing w:line="276" w:lineRule="auto"/>
        <w:rPr>
          <w:noProof w:val="0"/>
          <w:lang w:val="en-GB"/>
        </w:rPr>
      </w:pPr>
      <w:r w:rsidRPr="00866D96">
        <w:rPr>
          <w:noProof w:val="0"/>
          <w:lang w:val="en-GB"/>
        </w:rPr>
        <w:t>Performance standards for RE equipm</w:t>
      </w:r>
      <w:r w:rsidR="00B311D0" w:rsidRPr="00866D96">
        <w:rPr>
          <w:noProof w:val="0"/>
          <w:lang w:val="en-GB"/>
        </w:rPr>
        <w:t>ent and licensing of installers</w:t>
      </w:r>
      <w:r w:rsidRPr="00866D96">
        <w:rPr>
          <w:noProof w:val="0"/>
          <w:lang w:val="en-GB"/>
        </w:rPr>
        <w:t xml:space="preserve"> </w:t>
      </w:r>
    </w:p>
    <w:p w14:paraId="13B631BB" w14:textId="77777777" w:rsidR="00421393" w:rsidRPr="006122EE" w:rsidRDefault="00421393" w:rsidP="00B1153E">
      <w:pPr>
        <w:spacing w:line="276" w:lineRule="auto"/>
        <w:rPr>
          <w:color w:val="000000"/>
        </w:rPr>
      </w:pPr>
      <w:r w:rsidRPr="006122EE">
        <w:rPr>
          <w:color w:val="000000"/>
        </w:rPr>
        <w:t>In order to avoid inferior equipment, such as PV modules or inverters, there may be a need for certification of the performance certain types of RE equipment, particularly that equipment used in small-scale and rooftop applications. There are likely advantages to having regional certification standards. A regional RE standard-setting and equipment certification initiative could be coordinated by SADC. There may also be a need for testing and labelling the equipment, which could also be conducted or coordinated by SADC. Likewise, trained and licensed RE installers, particular small-scale solar PV installers, is needed in order to have properly configured RE systems.</w:t>
      </w:r>
    </w:p>
    <w:p w14:paraId="4F9E8A4E" w14:textId="77777777" w:rsidR="00B311D0" w:rsidRPr="00866D96" w:rsidRDefault="00421393" w:rsidP="00B1153E">
      <w:pPr>
        <w:pStyle w:val="CSubtitle2"/>
        <w:spacing w:line="276" w:lineRule="auto"/>
        <w:rPr>
          <w:noProof w:val="0"/>
          <w:lang w:val="en-GB"/>
        </w:rPr>
      </w:pPr>
      <w:r w:rsidRPr="00866D96">
        <w:rPr>
          <w:noProof w:val="0"/>
          <w:lang w:val="en-GB"/>
        </w:rPr>
        <w:t xml:space="preserve">On-bill financing (OBF) for on-site residential RE installations </w:t>
      </w:r>
    </w:p>
    <w:p w14:paraId="102CB518" w14:textId="77777777" w:rsidR="00421393" w:rsidRPr="006122EE" w:rsidRDefault="00421393" w:rsidP="00B1153E">
      <w:pPr>
        <w:spacing w:line="276" w:lineRule="auto"/>
        <w:rPr>
          <w:color w:val="000000"/>
        </w:rPr>
      </w:pPr>
      <w:r w:rsidRPr="006122EE">
        <w:rPr>
          <w:color w:val="000000"/>
        </w:rPr>
        <w:t xml:space="preserve">This approach allows buyers of RE systems </w:t>
      </w:r>
      <w:r w:rsidR="00B311D0" w:rsidRPr="006122EE">
        <w:rPr>
          <w:color w:val="000000"/>
        </w:rPr>
        <w:t xml:space="preserve">for their homes or business -- such as solar PV panels and solar hot water systems -- </w:t>
      </w:r>
      <w:r w:rsidRPr="006122EE">
        <w:rPr>
          <w:color w:val="000000"/>
        </w:rPr>
        <w:t>to pay for the systems over time on their utility bills. OBF can work with prepayment meters as well. It’s convenient for the users because they don’t h</w:t>
      </w:r>
      <w:r w:rsidR="00B311D0" w:rsidRPr="006122EE">
        <w:rPr>
          <w:color w:val="000000"/>
        </w:rPr>
        <w:t>ave a separate loan payment. It’s</w:t>
      </w:r>
      <w:r w:rsidRPr="006122EE">
        <w:rPr>
          <w:color w:val="000000"/>
        </w:rPr>
        <w:t xml:space="preserve"> attractive to the bank that </w:t>
      </w:r>
      <w:r w:rsidR="00B311D0" w:rsidRPr="006122EE">
        <w:rPr>
          <w:color w:val="000000"/>
        </w:rPr>
        <w:t>operates</w:t>
      </w:r>
      <w:r w:rsidRPr="006122EE">
        <w:rPr>
          <w:color w:val="000000"/>
        </w:rPr>
        <w:t xml:space="preserve"> the program for the utility because there is close to a zero de</w:t>
      </w:r>
      <w:r w:rsidR="00017DE2" w:rsidRPr="006122EE">
        <w:rPr>
          <w:color w:val="000000"/>
        </w:rPr>
        <w:t>fault rate because default results in</w:t>
      </w:r>
      <w:r w:rsidRPr="006122EE">
        <w:rPr>
          <w:color w:val="000000"/>
        </w:rPr>
        <w:t xml:space="preserve"> cutting off the </w:t>
      </w:r>
      <w:r w:rsidR="00017DE2" w:rsidRPr="006122EE">
        <w:rPr>
          <w:color w:val="000000"/>
        </w:rPr>
        <w:t xml:space="preserve">customer’s </w:t>
      </w:r>
      <w:r w:rsidRPr="006122EE">
        <w:rPr>
          <w:color w:val="000000"/>
        </w:rPr>
        <w:t xml:space="preserve">electricity. </w:t>
      </w:r>
    </w:p>
    <w:p w14:paraId="1E2C1CA2" w14:textId="77777777" w:rsidR="00994D43" w:rsidRPr="00866D96" w:rsidRDefault="00421393" w:rsidP="00B1153E">
      <w:pPr>
        <w:pStyle w:val="CSubtitle2"/>
        <w:spacing w:line="276" w:lineRule="auto"/>
        <w:rPr>
          <w:noProof w:val="0"/>
          <w:lang w:val="en-GB"/>
        </w:rPr>
      </w:pPr>
      <w:r w:rsidRPr="00866D96">
        <w:rPr>
          <w:noProof w:val="0"/>
          <w:lang w:val="en-GB"/>
        </w:rPr>
        <w:t>Encouraging local government</w:t>
      </w:r>
      <w:r w:rsidR="00994D43" w:rsidRPr="00866D96">
        <w:rPr>
          <w:noProof w:val="0"/>
          <w:lang w:val="en-GB"/>
        </w:rPr>
        <w:t>s</w:t>
      </w:r>
      <w:r w:rsidRPr="00866D96">
        <w:rPr>
          <w:noProof w:val="0"/>
          <w:lang w:val="en-GB"/>
        </w:rPr>
        <w:t xml:space="preserve"> to require mandatory solar wate</w:t>
      </w:r>
      <w:r w:rsidR="00994D43" w:rsidRPr="00866D96">
        <w:rPr>
          <w:noProof w:val="0"/>
          <w:lang w:val="en-GB"/>
        </w:rPr>
        <w:t>r heaters in all new buildings</w:t>
      </w:r>
    </w:p>
    <w:p w14:paraId="1D532E32" w14:textId="77777777" w:rsidR="00421393" w:rsidRPr="006122EE" w:rsidRDefault="00421393" w:rsidP="00B1153E">
      <w:pPr>
        <w:spacing w:line="276" w:lineRule="auto"/>
        <w:rPr>
          <w:color w:val="000000"/>
        </w:rPr>
      </w:pPr>
      <w:r w:rsidRPr="006122EE">
        <w:rPr>
          <w:color w:val="000000"/>
        </w:rPr>
        <w:t>A requirement to install solar geysers in new construction can be done at either the national or local level. But since local governments oversee construction, it may be advantageous to include local governments in the initiative. It can also sensitize them to play a role in other energy activities like EE procurement of lights, pumps, etc. for local government facilities.</w:t>
      </w:r>
    </w:p>
    <w:p w14:paraId="1B20089C" w14:textId="77777777" w:rsidR="003D5B54" w:rsidRPr="00866D96" w:rsidRDefault="00421393" w:rsidP="00B1153E">
      <w:pPr>
        <w:pStyle w:val="CSubtitle2"/>
        <w:spacing w:line="276" w:lineRule="auto"/>
        <w:rPr>
          <w:noProof w:val="0"/>
          <w:lang w:val="en-GB"/>
        </w:rPr>
      </w:pPr>
      <w:r w:rsidRPr="00866D96">
        <w:rPr>
          <w:noProof w:val="0"/>
          <w:lang w:val="en-GB"/>
        </w:rPr>
        <w:t xml:space="preserve">Research program to identify, appraise and demonstrate opportunities in waste-to-energy, biomass power, geothermal, cogeneration, energy storage, etc. </w:t>
      </w:r>
    </w:p>
    <w:p w14:paraId="36F71759" w14:textId="77777777" w:rsidR="003D5B54" w:rsidRPr="006122EE" w:rsidRDefault="00421393" w:rsidP="00B1153E">
      <w:pPr>
        <w:spacing w:line="276" w:lineRule="auto"/>
        <w:rPr>
          <w:b/>
          <w:color w:val="92D400"/>
          <w:sz w:val="24"/>
          <w:lang w:eastAsia="fr-FR"/>
        </w:rPr>
      </w:pPr>
      <w:r w:rsidRPr="006122EE">
        <w:rPr>
          <w:color w:val="000000"/>
        </w:rPr>
        <w:t>There is a need to explore other RE possibilities besides hydro, solar and wind, and the Department of Energy, with assistance from donors, could conduct tests of the fuels and technologies, and determine their applicability and costs in Malawi.</w:t>
      </w:r>
    </w:p>
    <w:p w14:paraId="40478088" w14:textId="77777777" w:rsidR="005605A3" w:rsidRPr="006122EE" w:rsidRDefault="005605A3" w:rsidP="00B1153E">
      <w:pPr>
        <w:pStyle w:val="Style1"/>
        <w:spacing w:line="276" w:lineRule="auto"/>
        <w:rPr>
          <w:rFonts w:ascii="Calibri" w:eastAsia="Calibri" w:hAnsi="Calibri"/>
          <w:color w:val="auto"/>
          <w:sz w:val="22"/>
          <w:szCs w:val="22"/>
          <w:lang w:eastAsia="en-US"/>
        </w:rPr>
      </w:pPr>
      <w:r w:rsidRPr="006122EE">
        <w:t xml:space="preserve">Establish a Renewable Energy Agency </w:t>
      </w:r>
    </w:p>
    <w:p w14:paraId="121ABB06" w14:textId="77777777" w:rsidR="005605A3" w:rsidRPr="006122EE" w:rsidRDefault="005605A3" w:rsidP="00B1153E">
      <w:pPr>
        <w:spacing w:line="276" w:lineRule="auto"/>
        <w:rPr>
          <w:rFonts w:cs="Arial"/>
          <w:color w:val="000000"/>
          <w:szCs w:val="20"/>
        </w:rPr>
      </w:pPr>
      <w:r w:rsidRPr="006122EE">
        <w:rPr>
          <w:rFonts w:cs="Arial"/>
          <w:color w:val="000000"/>
          <w:szCs w:val="20"/>
        </w:rPr>
        <w:t xml:space="preserve">Some countries, such as India, have established stand-alone RE agencies or combined RE-EE agencies that have a mandate to implement the national RE policy. In other countries, RE policies are implemented without a separate agency. But a dedicated RE agency, given sufficient authority, could make a major difference in the expansion of RE in Malawi. The activities of the agency would include helping establish the country’s IPP policy, helping IPP developers through the regulatory process, certifying RE products and installers, working with MERA on setting and revising feed-in tariffs, and developing new policy to be established as law.   </w:t>
      </w:r>
    </w:p>
    <w:p w14:paraId="268591F3" w14:textId="77777777" w:rsidR="005605A3" w:rsidRPr="006122EE" w:rsidRDefault="005605A3" w:rsidP="00B1153E">
      <w:pPr>
        <w:pStyle w:val="Style1"/>
        <w:spacing w:line="276" w:lineRule="auto"/>
      </w:pPr>
      <w:r w:rsidRPr="006122EE">
        <w:t>Develop a financing strategy for RE</w:t>
      </w:r>
    </w:p>
    <w:p w14:paraId="6D3CD6AA" w14:textId="77777777" w:rsidR="005605A3" w:rsidRPr="006122EE" w:rsidRDefault="005605A3" w:rsidP="00B1153E">
      <w:pPr>
        <w:spacing w:line="276" w:lineRule="auto"/>
        <w:rPr>
          <w:rFonts w:cs="Arial"/>
          <w:color w:val="000000"/>
          <w:szCs w:val="20"/>
        </w:rPr>
      </w:pPr>
      <w:r w:rsidRPr="006122EE">
        <w:rPr>
          <w:rFonts w:cs="Arial"/>
          <w:color w:val="000000"/>
          <w:szCs w:val="20"/>
        </w:rPr>
        <w:t xml:space="preserve">The Government of Malawi </w:t>
      </w:r>
      <w:r w:rsidR="00310E38" w:rsidRPr="006122EE">
        <w:rPr>
          <w:rFonts w:cs="Arial"/>
          <w:color w:val="000000"/>
          <w:szCs w:val="20"/>
        </w:rPr>
        <w:t>will</w:t>
      </w:r>
      <w:r w:rsidRPr="006122EE">
        <w:rPr>
          <w:rFonts w:cs="Arial"/>
          <w:color w:val="000000"/>
          <w:szCs w:val="20"/>
        </w:rPr>
        <w:t xml:space="preserve"> take steps to address the financial barriers that currently exist for RE projects. Among the actions it </w:t>
      </w:r>
      <w:r w:rsidR="00B02242" w:rsidRPr="006122EE">
        <w:rPr>
          <w:rFonts w:cs="Arial"/>
          <w:color w:val="000000"/>
          <w:szCs w:val="20"/>
        </w:rPr>
        <w:t>will consider</w:t>
      </w:r>
      <w:r w:rsidRPr="006122EE">
        <w:rPr>
          <w:rFonts w:cs="Arial"/>
          <w:color w:val="000000"/>
          <w:szCs w:val="20"/>
        </w:rPr>
        <w:t xml:space="preserve"> are: </w:t>
      </w:r>
    </w:p>
    <w:p w14:paraId="52042B39" w14:textId="77777777" w:rsidR="0008664A" w:rsidRPr="00866D96" w:rsidRDefault="005605A3" w:rsidP="00B1153E">
      <w:pPr>
        <w:pStyle w:val="DBulletlevel1"/>
        <w:spacing w:line="276" w:lineRule="auto"/>
        <w:rPr>
          <w:noProof w:val="0"/>
        </w:rPr>
      </w:pPr>
      <w:r w:rsidRPr="00866D96">
        <w:rPr>
          <w:noProof w:val="0"/>
        </w:rPr>
        <w:t>Helping identify funding for pre-feasibility studies for RE projects, particularly in the areas of waste-to-</w:t>
      </w:r>
      <w:r w:rsidR="000E2ACA" w:rsidRPr="00866D96">
        <w:rPr>
          <w:noProof w:val="0"/>
        </w:rPr>
        <w:t>energy systems and cogeneration</w:t>
      </w:r>
      <w:r w:rsidR="00EE499B" w:rsidRPr="00866D96">
        <w:rPr>
          <w:noProof w:val="0"/>
        </w:rPr>
        <w:t>.</w:t>
      </w:r>
    </w:p>
    <w:p w14:paraId="04FB001A" w14:textId="77777777" w:rsidR="00B02242" w:rsidRPr="00866D96" w:rsidRDefault="00B02242" w:rsidP="00B1153E">
      <w:pPr>
        <w:pStyle w:val="DBulletlevel1"/>
        <w:spacing w:line="276" w:lineRule="auto"/>
        <w:rPr>
          <w:noProof w:val="0"/>
        </w:rPr>
      </w:pPr>
      <w:r w:rsidRPr="00866D96">
        <w:rPr>
          <w:noProof w:val="0"/>
        </w:rPr>
        <w:t>Establishing another MAREP-like mechanism, running parallel to the original MAREP, to help fund RE. The mechanism can be used to capitalize a guarantee fund that</w:t>
      </w:r>
      <w:r w:rsidR="00AB2AC1" w:rsidRPr="00866D96">
        <w:rPr>
          <w:noProof w:val="0"/>
        </w:rPr>
        <w:t xml:space="preserve"> can be used to e</w:t>
      </w:r>
      <w:r w:rsidRPr="00866D96">
        <w:rPr>
          <w:noProof w:val="0"/>
        </w:rPr>
        <w:t xml:space="preserve">nsure that ESCOM </w:t>
      </w:r>
      <w:r w:rsidR="00AB2AC1" w:rsidRPr="00866D96">
        <w:rPr>
          <w:noProof w:val="0"/>
        </w:rPr>
        <w:t>makes its payments</w:t>
      </w:r>
      <w:r w:rsidRPr="00866D96">
        <w:rPr>
          <w:noProof w:val="0"/>
        </w:rPr>
        <w:t xml:space="preserve"> under its PPAs. </w:t>
      </w:r>
    </w:p>
    <w:p w14:paraId="2C3FA97B" w14:textId="77777777" w:rsidR="0008664A" w:rsidRPr="00866D96" w:rsidRDefault="0008664A" w:rsidP="00B1153E">
      <w:pPr>
        <w:pStyle w:val="DBulletlevel1"/>
        <w:spacing w:line="276" w:lineRule="auto"/>
        <w:rPr>
          <w:noProof w:val="0"/>
        </w:rPr>
      </w:pPr>
      <w:r w:rsidRPr="00866D96">
        <w:rPr>
          <w:noProof w:val="0"/>
        </w:rPr>
        <w:t>On-bill financing for small-scale on-site solar systems, including solar geysers</w:t>
      </w:r>
      <w:r w:rsidR="00EE499B" w:rsidRPr="00866D96">
        <w:rPr>
          <w:noProof w:val="0"/>
        </w:rPr>
        <w:t>.</w:t>
      </w:r>
    </w:p>
    <w:p w14:paraId="2155AAD4" w14:textId="77777777" w:rsidR="005605A3" w:rsidRPr="00866D96" w:rsidRDefault="005605A3" w:rsidP="00B1153E">
      <w:pPr>
        <w:pStyle w:val="DBulletlevel1"/>
        <w:spacing w:line="276" w:lineRule="auto"/>
        <w:rPr>
          <w:noProof w:val="0"/>
        </w:rPr>
      </w:pPr>
      <w:r w:rsidRPr="00866D96">
        <w:rPr>
          <w:noProof w:val="0"/>
        </w:rPr>
        <w:t>Assisting and encouraging banks to pursue an RE loan bundling strategy that allows the bundled loans to be sold on the secondary market, as is</w:t>
      </w:r>
      <w:r w:rsidR="000E2ACA" w:rsidRPr="00866D96">
        <w:rPr>
          <w:noProof w:val="0"/>
        </w:rPr>
        <w:t xml:space="preserve"> being done in Kenya and Rwanda</w:t>
      </w:r>
      <w:r w:rsidR="00EE499B" w:rsidRPr="00866D96">
        <w:rPr>
          <w:noProof w:val="0"/>
        </w:rPr>
        <w:t>.</w:t>
      </w:r>
    </w:p>
    <w:p w14:paraId="6E874401" w14:textId="77777777" w:rsidR="005605A3" w:rsidRPr="00866D96" w:rsidRDefault="005605A3" w:rsidP="00B1153E">
      <w:pPr>
        <w:pStyle w:val="DBulletlevel1"/>
        <w:spacing w:line="276" w:lineRule="auto"/>
        <w:rPr>
          <w:noProof w:val="0"/>
        </w:rPr>
      </w:pPr>
      <w:r w:rsidRPr="00866D96">
        <w:rPr>
          <w:noProof w:val="0"/>
        </w:rPr>
        <w:t xml:space="preserve">Pursuing solutions to high country risk problem, e.g., off-taker (ESCOM) credit worthiness risk, such as </w:t>
      </w:r>
      <w:r w:rsidR="000E2ACA" w:rsidRPr="00866D96">
        <w:rPr>
          <w:noProof w:val="0"/>
        </w:rPr>
        <w:t>providing a sovereign guarantee</w:t>
      </w:r>
      <w:r w:rsidR="00EE499B" w:rsidRPr="00866D96">
        <w:rPr>
          <w:noProof w:val="0"/>
        </w:rPr>
        <w:t>.</w:t>
      </w:r>
    </w:p>
    <w:p w14:paraId="5648D505" w14:textId="77777777" w:rsidR="005605A3" w:rsidRPr="00866D96" w:rsidRDefault="005605A3" w:rsidP="00B1153E">
      <w:pPr>
        <w:pStyle w:val="DBulletlevel1"/>
        <w:spacing w:line="276" w:lineRule="auto"/>
        <w:rPr>
          <w:noProof w:val="0"/>
        </w:rPr>
      </w:pPr>
      <w:r w:rsidRPr="00866D96">
        <w:rPr>
          <w:noProof w:val="0"/>
        </w:rPr>
        <w:t>Eliminating or decreasing the VAT o</w:t>
      </w:r>
      <w:r w:rsidR="000E2ACA" w:rsidRPr="00866D96">
        <w:rPr>
          <w:noProof w:val="0"/>
        </w:rPr>
        <w:t>n RE products</w:t>
      </w:r>
      <w:r w:rsidR="00EE499B" w:rsidRPr="00866D96">
        <w:rPr>
          <w:noProof w:val="0"/>
        </w:rPr>
        <w:t>.</w:t>
      </w:r>
    </w:p>
    <w:p w14:paraId="432107FE" w14:textId="77777777" w:rsidR="005605A3" w:rsidRPr="00866D96" w:rsidRDefault="005605A3" w:rsidP="00B1153E">
      <w:pPr>
        <w:pStyle w:val="DBulletlevel1"/>
        <w:spacing w:line="276" w:lineRule="auto"/>
        <w:rPr>
          <w:noProof w:val="0"/>
        </w:rPr>
      </w:pPr>
      <w:r w:rsidRPr="00866D96">
        <w:rPr>
          <w:noProof w:val="0"/>
        </w:rPr>
        <w:t xml:space="preserve">Establishing rules for solar service agreements so that solar vendor/installer can receive tax incentives from the government as well as payments from the solar consumer for the electricity, and </w:t>
      </w:r>
      <w:r w:rsidR="0008664A" w:rsidRPr="00866D96">
        <w:rPr>
          <w:noProof w:val="0"/>
        </w:rPr>
        <w:t xml:space="preserve">can </w:t>
      </w:r>
      <w:r w:rsidRPr="00866D96">
        <w:rPr>
          <w:noProof w:val="0"/>
        </w:rPr>
        <w:t>then sell that electricity to ESCOM at the fe</w:t>
      </w:r>
      <w:r w:rsidR="000E2ACA" w:rsidRPr="00866D96">
        <w:rPr>
          <w:noProof w:val="0"/>
        </w:rPr>
        <w:t>ed-in tariff price.</w:t>
      </w:r>
      <w:r w:rsidR="0008664A" w:rsidRPr="00866D96">
        <w:rPr>
          <w:noProof w:val="0"/>
        </w:rPr>
        <w:t xml:space="preserve"> The advantage for the consumer is that they do not need to pay for the solar installation, which is owned and maintained by the vendor. The advantage for the vendor is that with the consumer not having to worry about paying for the solar installation, vastly more consumers will be interested in having the installations.</w:t>
      </w:r>
    </w:p>
    <w:p w14:paraId="653C79AE" w14:textId="77777777" w:rsidR="005605A3" w:rsidRPr="006122EE" w:rsidRDefault="005605A3" w:rsidP="00B1153E">
      <w:pPr>
        <w:pStyle w:val="Style1"/>
        <w:spacing w:line="276" w:lineRule="auto"/>
      </w:pPr>
      <w:r w:rsidRPr="006122EE">
        <w:t xml:space="preserve">Improve and modernize the electric grid </w:t>
      </w:r>
    </w:p>
    <w:p w14:paraId="5C150351" w14:textId="77777777" w:rsidR="005605A3" w:rsidRPr="00866D96" w:rsidRDefault="005605A3" w:rsidP="00B1153E">
      <w:pPr>
        <w:pStyle w:val="DBulletlevel1"/>
        <w:spacing w:line="276" w:lineRule="auto"/>
        <w:rPr>
          <w:noProof w:val="0"/>
        </w:rPr>
      </w:pPr>
      <w:r w:rsidRPr="00866D96">
        <w:rPr>
          <w:noProof w:val="0"/>
        </w:rPr>
        <w:t>Widespread development of RE is not possible without an improved T&amp;D infrastructure to allow wheeling of RE-generated electricity and increased overall reliability</w:t>
      </w:r>
      <w:r w:rsidR="00EE499B" w:rsidRPr="00866D96">
        <w:rPr>
          <w:noProof w:val="0"/>
        </w:rPr>
        <w:t>.</w:t>
      </w:r>
    </w:p>
    <w:p w14:paraId="2D2D24FA" w14:textId="77777777" w:rsidR="005605A3" w:rsidRPr="00866D96" w:rsidRDefault="005605A3" w:rsidP="00B1153E">
      <w:pPr>
        <w:pStyle w:val="DBulletlevel1"/>
        <w:spacing w:line="276" w:lineRule="auto"/>
        <w:rPr>
          <w:noProof w:val="0"/>
        </w:rPr>
      </w:pPr>
      <w:r w:rsidRPr="00866D96">
        <w:rPr>
          <w:noProof w:val="0"/>
        </w:rPr>
        <w:t>Modernization of the grid, including the use of advanced information and communication technologies, will be beneficial on a number of levels, including the ability to incorporate and manage electricity coming to the grid from a vari</w:t>
      </w:r>
      <w:r w:rsidR="000E2ACA" w:rsidRPr="00866D96">
        <w:rPr>
          <w:noProof w:val="0"/>
        </w:rPr>
        <w:t>ety of intermittent RE sources.</w:t>
      </w:r>
    </w:p>
    <w:p w14:paraId="37F04989" w14:textId="77777777" w:rsidR="005605A3" w:rsidRPr="00866D96" w:rsidRDefault="005605A3" w:rsidP="00B1153E">
      <w:pPr>
        <w:pStyle w:val="DBulletlevel1"/>
        <w:spacing w:line="276" w:lineRule="auto"/>
        <w:rPr>
          <w:noProof w:val="0"/>
        </w:rPr>
      </w:pPr>
      <w:r w:rsidRPr="00866D96">
        <w:rPr>
          <w:noProof w:val="0"/>
        </w:rPr>
        <w:t xml:space="preserve">Other grid improvement techniques could include GIS mapping, synchrophasers, and AMI metering with </w:t>
      </w:r>
      <w:r w:rsidR="000E2ACA" w:rsidRPr="00866D96">
        <w:rPr>
          <w:noProof w:val="0"/>
        </w:rPr>
        <w:t>remote reading and load control</w:t>
      </w:r>
      <w:r w:rsidR="00EE499B" w:rsidRPr="00866D96">
        <w:rPr>
          <w:noProof w:val="0"/>
        </w:rPr>
        <w:t>.</w:t>
      </w:r>
    </w:p>
    <w:p w14:paraId="1841E7E3" w14:textId="77777777" w:rsidR="005605A3" w:rsidRPr="006122EE" w:rsidRDefault="005605A3" w:rsidP="00B1153E">
      <w:pPr>
        <w:pStyle w:val="Style1"/>
        <w:spacing w:line="276" w:lineRule="auto"/>
      </w:pPr>
      <w:r w:rsidRPr="006122EE">
        <w:t>Adopt an effective IPP policy</w:t>
      </w:r>
    </w:p>
    <w:p w14:paraId="33699E25" w14:textId="77777777" w:rsidR="005605A3" w:rsidRPr="006122EE" w:rsidRDefault="005605A3" w:rsidP="00B1153E">
      <w:pPr>
        <w:spacing w:line="276" w:lineRule="auto"/>
        <w:rPr>
          <w:color w:val="000000"/>
        </w:rPr>
      </w:pPr>
      <w:r w:rsidRPr="006122EE">
        <w:rPr>
          <w:color w:val="000000"/>
        </w:rPr>
        <w:t>The feed-in tariff provides a guide for IPPs to participate in supplying power, and ESCOM has had discussions with RE IPPs. But no PPAs have been signed. A specific IPP policy is needed to set the terms for IPP participation in the power market. The policy, which may overlap with the RE policy outlined above, should:</w:t>
      </w:r>
    </w:p>
    <w:p w14:paraId="75E4D17F" w14:textId="77777777" w:rsidR="005605A3" w:rsidRPr="00866D96" w:rsidRDefault="005605A3" w:rsidP="00B1153E">
      <w:pPr>
        <w:pStyle w:val="DBulletlevel1"/>
        <w:spacing w:line="276" w:lineRule="auto"/>
        <w:rPr>
          <w:noProof w:val="0"/>
        </w:rPr>
      </w:pPr>
      <w:r w:rsidRPr="00866D96">
        <w:rPr>
          <w:noProof w:val="0"/>
        </w:rPr>
        <w:t>State that at least some predetermined level of new RE s</w:t>
      </w:r>
      <w:r w:rsidR="000E2ACA" w:rsidRPr="00866D96">
        <w:rPr>
          <w:noProof w:val="0"/>
        </w:rPr>
        <w:t>upply will be provided by IPPs</w:t>
      </w:r>
      <w:r w:rsidR="00EE499B" w:rsidRPr="00866D96">
        <w:rPr>
          <w:noProof w:val="0"/>
        </w:rPr>
        <w:t>.</w:t>
      </w:r>
    </w:p>
    <w:p w14:paraId="6645F018" w14:textId="77777777" w:rsidR="005605A3" w:rsidRPr="00866D96" w:rsidRDefault="005605A3" w:rsidP="00B1153E">
      <w:pPr>
        <w:pStyle w:val="DBulletlevel1"/>
        <w:spacing w:line="276" w:lineRule="auto"/>
        <w:rPr>
          <w:noProof w:val="0"/>
        </w:rPr>
      </w:pPr>
      <w:r w:rsidRPr="00866D96">
        <w:rPr>
          <w:noProof w:val="0"/>
        </w:rPr>
        <w:t xml:space="preserve">Allow IPPs to sell directly to large users – with prepayment meter (PPM) </w:t>
      </w:r>
      <w:r w:rsidR="000E2ACA" w:rsidRPr="00866D96">
        <w:rPr>
          <w:noProof w:val="0"/>
        </w:rPr>
        <w:t>funds going straight to the IPP</w:t>
      </w:r>
      <w:r w:rsidR="00EE499B" w:rsidRPr="00866D96">
        <w:rPr>
          <w:noProof w:val="0"/>
        </w:rPr>
        <w:t>.</w:t>
      </w:r>
    </w:p>
    <w:p w14:paraId="2418A568" w14:textId="77777777" w:rsidR="005605A3" w:rsidRPr="00866D96" w:rsidRDefault="005605A3" w:rsidP="00B1153E">
      <w:pPr>
        <w:pStyle w:val="DBulletlevel1"/>
        <w:spacing w:line="276" w:lineRule="auto"/>
        <w:rPr>
          <w:noProof w:val="0"/>
        </w:rPr>
      </w:pPr>
      <w:r w:rsidRPr="00866D96">
        <w:rPr>
          <w:noProof w:val="0"/>
        </w:rPr>
        <w:t>Establish clear land owner</w:t>
      </w:r>
      <w:r w:rsidR="000E2ACA" w:rsidRPr="00866D96">
        <w:rPr>
          <w:noProof w:val="0"/>
        </w:rPr>
        <w:t>ship and leasing rules for IPPs</w:t>
      </w:r>
      <w:r w:rsidR="00EE499B" w:rsidRPr="00866D96">
        <w:rPr>
          <w:noProof w:val="0"/>
        </w:rPr>
        <w:t>.</w:t>
      </w:r>
    </w:p>
    <w:p w14:paraId="608E54B4" w14:textId="77777777" w:rsidR="005605A3" w:rsidRPr="00866D96" w:rsidRDefault="005605A3" w:rsidP="00B1153E">
      <w:pPr>
        <w:pStyle w:val="DBulletlevel1"/>
        <w:spacing w:line="276" w:lineRule="auto"/>
        <w:rPr>
          <w:noProof w:val="0"/>
        </w:rPr>
      </w:pPr>
      <w:r w:rsidRPr="00866D96">
        <w:rPr>
          <w:noProof w:val="0"/>
        </w:rPr>
        <w:t>Streamline the licensing process and minimize licensi</w:t>
      </w:r>
      <w:r w:rsidR="000E2ACA" w:rsidRPr="00866D96">
        <w:rPr>
          <w:noProof w:val="0"/>
        </w:rPr>
        <w:t>ng fees and requirements</w:t>
      </w:r>
      <w:r w:rsidR="00EE499B" w:rsidRPr="00866D96">
        <w:rPr>
          <w:noProof w:val="0"/>
        </w:rPr>
        <w:t>.</w:t>
      </w:r>
    </w:p>
    <w:p w14:paraId="4F5479FF" w14:textId="77777777" w:rsidR="005605A3" w:rsidRPr="006122EE" w:rsidRDefault="005605A3" w:rsidP="00B1153E">
      <w:pPr>
        <w:pStyle w:val="Style1"/>
        <w:spacing w:line="276" w:lineRule="auto"/>
      </w:pPr>
      <w:r w:rsidRPr="006122EE">
        <w:t>Implement RE education and training program</w:t>
      </w:r>
    </w:p>
    <w:p w14:paraId="76D90818" w14:textId="77777777" w:rsidR="005605A3" w:rsidRPr="00866D96" w:rsidRDefault="005605A3" w:rsidP="00B1153E">
      <w:pPr>
        <w:pStyle w:val="DBulletlevel1"/>
        <w:spacing w:line="276" w:lineRule="auto"/>
        <w:rPr>
          <w:noProof w:val="0"/>
        </w:rPr>
      </w:pPr>
      <w:r w:rsidRPr="00866D96">
        <w:rPr>
          <w:noProof w:val="0"/>
        </w:rPr>
        <w:t>Improve/increase educational and training opportunities for students as well as officials in national government, local government, financial institutions and small and medium-sized ente</w:t>
      </w:r>
      <w:r w:rsidR="000E2ACA" w:rsidRPr="00866D96">
        <w:rPr>
          <w:noProof w:val="0"/>
        </w:rPr>
        <w:t>rprises (SMEs)</w:t>
      </w:r>
      <w:r w:rsidR="00EE499B" w:rsidRPr="00866D96">
        <w:rPr>
          <w:noProof w:val="0"/>
        </w:rPr>
        <w:t>.</w:t>
      </w:r>
    </w:p>
    <w:p w14:paraId="7F188676" w14:textId="77777777" w:rsidR="005605A3" w:rsidRPr="00866D96" w:rsidRDefault="005605A3" w:rsidP="00B1153E">
      <w:pPr>
        <w:pStyle w:val="DBulletlevel1"/>
        <w:spacing w:line="276" w:lineRule="auto"/>
        <w:rPr>
          <w:noProof w:val="0"/>
        </w:rPr>
      </w:pPr>
      <w:r w:rsidRPr="00866D96">
        <w:rPr>
          <w:noProof w:val="0"/>
        </w:rPr>
        <w:t>Establish RE training</w:t>
      </w:r>
      <w:r w:rsidR="000E2ACA" w:rsidRPr="00866D96">
        <w:rPr>
          <w:noProof w:val="0"/>
        </w:rPr>
        <w:t xml:space="preserve"> programs at technical colleges</w:t>
      </w:r>
      <w:r w:rsidR="00EE499B" w:rsidRPr="00866D96">
        <w:rPr>
          <w:noProof w:val="0"/>
        </w:rPr>
        <w:t>.</w:t>
      </w:r>
    </w:p>
    <w:p w14:paraId="6AEB65E9" w14:textId="77777777" w:rsidR="009B6CD7" w:rsidRPr="00866D96" w:rsidRDefault="005605A3" w:rsidP="00B1153E">
      <w:pPr>
        <w:pStyle w:val="DBulletlevel1"/>
        <w:spacing w:line="276" w:lineRule="auto"/>
        <w:rPr>
          <w:noProof w:val="0"/>
        </w:rPr>
      </w:pPr>
      <w:r w:rsidRPr="00866D96">
        <w:rPr>
          <w:noProof w:val="0"/>
        </w:rPr>
        <w:t>Establish an RE internship</w:t>
      </w:r>
      <w:r w:rsidR="000E2ACA" w:rsidRPr="00866D96">
        <w:rPr>
          <w:noProof w:val="0"/>
        </w:rPr>
        <w:t xml:space="preserve"> program for college graduates</w:t>
      </w:r>
      <w:r w:rsidR="00EE499B" w:rsidRPr="00866D96">
        <w:rPr>
          <w:noProof w:val="0"/>
        </w:rPr>
        <w:t>.</w:t>
      </w:r>
    </w:p>
    <w:p w14:paraId="63B17E06" w14:textId="77777777" w:rsidR="009B6CD7" w:rsidRPr="00866D96" w:rsidRDefault="009B6CD7" w:rsidP="00B1153E">
      <w:pPr>
        <w:pStyle w:val="DBulletlevel1"/>
        <w:spacing w:line="276" w:lineRule="auto"/>
        <w:rPr>
          <w:noProof w:val="0"/>
        </w:rPr>
      </w:pPr>
      <w:r w:rsidRPr="00866D96">
        <w:rPr>
          <w:noProof w:val="0"/>
        </w:rPr>
        <w:t>Until training programs at the technical colleges are established, implement a near-term training program on RE for those electrical and mechanical engineers who are already starting to work in the field on RE.</w:t>
      </w:r>
    </w:p>
    <w:p w14:paraId="2B3C990D" w14:textId="77777777" w:rsidR="005605A3" w:rsidRPr="00866D96" w:rsidRDefault="005605A3" w:rsidP="00B1153E">
      <w:pPr>
        <w:pStyle w:val="DBulletlevel1"/>
        <w:spacing w:line="276" w:lineRule="auto"/>
        <w:rPr>
          <w:noProof w:val="0"/>
        </w:rPr>
      </w:pPr>
      <w:r w:rsidRPr="00866D96">
        <w:rPr>
          <w:noProof w:val="0"/>
        </w:rPr>
        <w:t xml:space="preserve">Establish an RE awareness initiative, including introduction a media strategy including radio and </w:t>
      </w:r>
      <w:r w:rsidR="000E2ACA" w:rsidRPr="00866D96">
        <w:rPr>
          <w:noProof w:val="0"/>
        </w:rPr>
        <w:t>newspaper, and holding RE fairs</w:t>
      </w:r>
      <w:r w:rsidR="00EE499B" w:rsidRPr="00866D96">
        <w:rPr>
          <w:noProof w:val="0"/>
        </w:rPr>
        <w:t>.</w:t>
      </w:r>
    </w:p>
    <w:p w14:paraId="4EC85EA4" w14:textId="77777777" w:rsidR="00D72999" w:rsidRPr="006122EE" w:rsidRDefault="00D72999" w:rsidP="00B1153E">
      <w:pPr>
        <w:pStyle w:val="Style1"/>
        <w:spacing w:line="276" w:lineRule="auto"/>
      </w:pPr>
      <w:r w:rsidRPr="006122EE">
        <w:t>Refurbish old RE installations</w:t>
      </w:r>
    </w:p>
    <w:p w14:paraId="77E38806" w14:textId="77777777" w:rsidR="00315EB2" w:rsidRPr="00866D96" w:rsidRDefault="00D72999" w:rsidP="00B1153E">
      <w:pPr>
        <w:pStyle w:val="DBulletlevel1"/>
        <w:numPr>
          <w:ilvl w:val="0"/>
          <w:numId w:val="0"/>
        </w:numPr>
        <w:spacing w:line="276" w:lineRule="auto"/>
        <w:rPr>
          <w:noProof w:val="0"/>
        </w:rPr>
      </w:pPr>
      <w:r w:rsidRPr="00866D96">
        <w:rPr>
          <w:noProof w:val="0"/>
          <w:color w:val="000000"/>
        </w:rPr>
        <w:t xml:space="preserve">One of the reasons Malawians are </w:t>
      </w:r>
      <w:r w:rsidR="00AF48CC" w:rsidRPr="006122EE">
        <w:rPr>
          <w:noProof w:val="0"/>
          <w:color w:val="000000"/>
        </w:rPr>
        <w:t>sceptical</w:t>
      </w:r>
      <w:r w:rsidRPr="00866D96">
        <w:rPr>
          <w:noProof w:val="0"/>
          <w:color w:val="000000"/>
        </w:rPr>
        <w:t xml:space="preserve"> about the viability of RE is that a number of previous RE projects failed because of poor design and poor maintenance. It may be worthwhile to upgrade, rehabilitate or replace some of these projects to demonstrate the government’s commitment to RE and show that it can be done right.</w:t>
      </w:r>
      <w:bookmarkStart w:id="430" w:name="_Toc448426491"/>
      <w:bookmarkEnd w:id="430"/>
    </w:p>
    <w:p w14:paraId="6EE65533" w14:textId="77777777" w:rsidR="00852B61" w:rsidRPr="00866D96" w:rsidRDefault="00852B61" w:rsidP="00726AF3">
      <w:pPr>
        <w:pStyle w:val="BTitle3"/>
        <w:rPr>
          <w:noProof w:val="0"/>
          <w:lang w:val="en-GB"/>
        </w:rPr>
      </w:pPr>
      <w:bookmarkStart w:id="431" w:name="_Toc481614930"/>
      <w:r w:rsidRPr="00866D96">
        <w:rPr>
          <w:noProof w:val="0"/>
          <w:lang w:val="en-GB"/>
        </w:rPr>
        <w:t>Priority actions synthesis</w:t>
      </w:r>
      <w:bookmarkEnd w:id="431"/>
    </w:p>
    <w:p w14:paraId="155F6BA8" w14:textId="77777777" w:rsidR="00852B61" w:rsidRPr="00866D96" w:rsidRDefault="00852B61" w:rsidP="00852B61">
      <w:pPr>
        <w:rPr>
          <w:rFonts w:eastAsia="Times New Roman" w:cs="Arial"/>
          <w:color w:val="auto"/>
          <w:lang w:eastAsia="en-US"/>
        </w:rPr>
      </w:pPr>
      <w:r w:rsidRPr="00866D96">
        <w:rPr>
          <w:rFonts w:eastAsia="Times New Roman" w:cs="Arial"/>
          <w:color w:val="auto"/>
          <w:lang w:eastAsia="en-US"/>
        </w:rPr>
        <w:t xml:space="preserve">A summary of the priority actions proposed in the </w:t>
      </w:r>
      <w:r w:rsidR="00FE7056" w:rsidRPr="006122EE">
        <w:rPr>
          <w:lang w:eastAsia="en-US"/>
        </w:rPr>
        <w:t>SE4ALL</w:t>
      </w:r>
      <w:r w:rsidRPr="00866D96">
        <w:rPr>
          <w:rFonts w:eastAsia="Times New Roman" w:cs="Arial"/>
          <w:color w:val="auto"/>
          <w:lang w:eastAsia="en-US"/>
        </w:rPr>
        <w:t xml:space="preserve"> initiative is presented in the table below.</w:t>
      </w:r>
    </w:p>
    <w:p w14:paraId="08B1D5B1" w14:textId="77777777" w:rsidR="00EB3861" w:rsidRPr="006122EE" w:rsidRDefault="00EB3861" w:rsidP="00726AF3">
      <w:pPr>
        <w:pStyle w:val="DPuces2"/>
        <w:sectPr w:rsidR="00EB3861" w:rsidRPr="006122EE" w:rsidSect="00077CF5">
          <w:pgSz w:w="11899" w:h="16838" w:code="9"/>
          <w:pgMar w:top="851" w:right="1134" w:bottom="851" w:left="1134" w:header="680" w:footer="668" w:gutter="227"/>
          <w:cols w:space="708"/>
          <w:docGrid w:linePitch="272"/>
        </w:sectPr>
      </w:pPr>
    </w:p>
    <w:p w14:paraId="295F899F" w14:textId="77777777" w:rsidR="00315EB2" w:rsidRPr="006122EE" w:rsidRDefault="00315EB2" w:rsidP="00315EB2">
      <w:pPr>
        <w:pStyle w:val="Caption"/>
      </w:pPr>
    </w:p>
    <w:p w14:paraId="512F5394" w14:textId="77777777" w:rsidR="00852B61" w:rsidRPr="006122EE" w:rsidRDefault="00852B61" w:rsidP="00852B61">
      <w:pPr>
        <w:pStyle w:val="Caption"/>
      </w:pPr>
      <w:bookmarkStart w:id="432" w:name="_Toc481615019"/>
      <w:r w:rsidRPr="006122EE">
        <w:t xml:space="preserve">Table </w:t>
      </w:r>
      <w:r w:rsidR="00DC7D8C">
        <w:fldChar w:fldCharType="begin"/>
      </w:r>
      <w:r w:rsidR="00DC7D8C">
        <w:instrText xml:space="preserve"> SEQ Table \* ARABIC </w:instrText>
      </w:r>
      <w:r w:rsidR="00DC7D8C">
        <w:fldChar w:fldCharType="separate"/>
      </w:r>
      <w:r w:rsidR="00866D96">
        <w:rPr>
          <w:noProof/>
        </w:rPr>
        <w:t>34</w:t>
      </w:r>
      <w:r w:rsidR="00DC7D8C">
        <w:rPr>
          <w:noProof/>
        </w:rPr>
        <w:fldChar w:fldCharType="end"/>
      </w:r>
      <w:r w:rsidRPr="006122EE">
        <w:t>: Summary of priority actions on Renewable Energy</w:t>
      </w:r>
      <w:bookmarkEnd w:id="432"/>
    </w:p>
    <w:tbl>
      <w:tblPr>
        <w:tblStyle w:val="GridTable4-Accent32"/>
        <w:tblW w:w="5000" w:type="pct"/>
        <w:tblLayout w:type="fixed"/>
        <w:tblLook w:val="04A0" w:firstRow="1" w:lastRow="0" w:firstColumn="1" w:lastColumn="0" w:noHBand="0" w:noVBand="1"/>
      </w:tblPr>
      <w:tblGrid>
        <w:gridCol w:w="2987"/>
        <w:gridCol w:w="3695"/>
        <w:gridCol w:w="2127"/>
        <w:gridCol w:w="1558"/>
        <w:gridCol w:w="2127"/>
        <w:gridCol w:w="2632"/>
      </w:tblGrid>
      <w:tr w:rsidR="00315EB2" w:rsidRPr="006122EE" w14:paraId="3AD873E0" w14:textId="77777777" w:rsidTr="00726AF3">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987" w:type="pct"/>
            <w:noWrap/>
          </w:tcPr>
          <w:p w14:paraId="1FA64529" w14:textId="77777777" w:rsidR="00315EB2" w:rsidRPr="006122EE" w:rsidRDefault="00315EB2" w:rsidP="00726AF3">
            <w:pPr>
              <w:jc w:val="left"/>
              <w:rPr>
                <w:bCs w:val="0"/>
              </w:rPr>
            </w:pPr>
            <w:r w:rsidRPr="006122EE">
              <w:t>Category</w:t>
            </w:r>
          </w:p>
        </w:tc>
        <w:tc>
          <w:tcPr>
            <w:tcW w:w="1221" w:type="pct"/>
            <w:noWrap/>
          </w:tcPr>
          <w:p w14:paraId="48B7FB0E" w14:textId="77777777" w:rsidR="00315EB2" w:rsidRPr="006122EE" w:rsidRDefault="00315EB2" w:rsidP="00726AF3">
            <w:pPr>
              <w:jc w:val="left"/>
              <w:cnfStyle w:val="100000000000" w:firstRow="1" w:lastRow="0" w:firstColumn="0" w:lastColumn="0" w:oddVBand="0" w:evenVBand="0" w:oddHBand="0" w:evenHBand="0" w:firstRowFirstColumn="0" w:firstRowLastColumn="0" w:lastRowFirstColumn="0" w:lastRowLastColumn="0"/>
              <w:rPr>
                <w:bCs w:val="0"/>
              </w:rPr>
            </w:pPr>
            <w:r w:rsidRPr="006122EE">
              <w:t>Action</w:t>
            </w:r>
          </w:p>
        </w:tc>
        <w:tc>
          <w:tcPr>
            <w:tcW w:w="703" w:type="pct"/>
          </w:tcPr>
          <w:p w14:paraId="552714A9" w14:textId="77777777" w:rsidR="00315EB2" w:rsidRPr="006122EE" w:rsidRDefault="00315EB2" w:rsidP="00726AF3">
            <w:pPr>
              <w:jc w:val="left"/>
              <w:cnfStyle w:val="100000000000" w:firstRow="1" w:lastRow="0" w:firstColumn="0" w:lastColumn="0" w:oddVBand="0" w:evenVBand="0" w:oddHBand="0" w:evenHBand="0" w:firstRowFirstColumn="0" w:firstRowLastColumn="0" w:lastRowFirstColumn="0" w:lastRowLastColumn="0"/>
              <w:rPr>
                <w:bCs w:val="0"/>
              </w:rPr>
            </w:pPr>
            <w:r w:rsidRPr="006122EE">
              <w:t>Indicative time frame*</w:t>
            </w:r>
          </w:p>
        </w:tc>
        <w:tc>
          <w:tcPr>
            <w:tcW w:w="515" w:type="pct"/>
          </w:tcPr>
          <w:p w14:paraId="575089A9" w14:textId="77777777" w:rsidR="00315EB2" w:rsidRPr="006122EE" w:rsidRDefault="00315EB2" w:rsidP="00726AF3">
            <w:pPr>
              <w:jc w:val="left"/>
              <w:cnfStyle w:val="100000000000" w:firstRow="1" w:lastRow="0" w:firstColumn="0" w:lastColumn="0" w:oddVBand="0" w:evenVBand="0" w:oddHBand="0" w:evenHBand="0" w:firstRowFirstColumn="0" w:firstRowLastColumn="0" w:lastRowFirstColumn="0" w:lastRowLastColumn="0"/>
              <w:rPr>
                <w:bCs w:val="0"/>
              </w:rPr>
            </w:pPr>
            <w:r w:rsidRPr="006122EE">
              <w:t>Lead agency</w:t>
            </w:r>
          </w:p>
        </w:tc>
        <w:tc>
          <w:tcPr>
            <w:tcW w:w="703" w:type="pct"/>
          </w:tcPr>
          <w:p w14:paraId="47BDF24F" w14:textId="77777777" w:rsidR="00315EB2" w:rsidRPr="006122EE" w:rsidRDefault="00315EB2" w:rsidP="00726AF3">
            <w:pPr>
              <w:jc w:val="left"/>
              <w:cnfStyle w:val="100000000000" w:firstRow="1" w:lastRow="0" w:firstColumn="0" w:lastColumn="0" w:oddVBand="0" w:evenVBand="0" w:oddHBand="0" w:evenHBand="0" w:firstRowFirstColumn="0" w:firstRowLastColumn="0" w:lastRowFirstColumn="0" w:lastRowLastColumn="0"/>
              <w:rPr>
                <w:bCs w:val="0"/>
              </w:rPr>
            </w:pPr>
            <w:r w:rsidRPr="006122EE">
              <w:t>Cooperating stakeholders</w:t>
            </w:r>
          </w:p>
        </w:tc>
        <w:tc>
          <w:tcPr>
            <w:tcW w:w="870" w:type="pct"/>
          </w:tcPr>
          <w:p w14:paraId="5D059957" w14:textId="77777777" w:rsidR="00315EB2" w:rsidRPr="006122EE" w:rsidRDefault="00315EB2" w:rsidP="00726AF3">
            <w:pPr>
              <w:jc w:val="left"/>
              <w:cnfStyle w:val="100000000000" w:firstRow="1" w:lastRow="0" w:firstColumn="0" w:lastColumn="0" w:oddVBand="0" w:evenVBand="0" w:oddHBand="0" w:evenHBand="0" w:firstRowFirstColumn="0" w:firstRowLastColumn="0" w:lastRowFirstColumn="0" w:lastRowLastColumn="0"/>
              <w:rPr>
                <w:bCs w:val="0"/>
              </w:rPr>
            </w:pPr>
            <w:r w:rsidRPr="006122EE">
              <w:t>Estimated costs</w:t>
            </w:r>
            <w:r w:rsidRPr="006122EE">
              <w:rPr>
                <w:vertAlign w:val="superscript"/>
              </w:rPr>
              <w:footnoteReference w:id="81"/>
            </w:r>
          </w:p>
        </w:tc>
      </w:tr>
      <w:tr w:rsidR="00315EB2" w:rsidRPr="006122EE" w14:paraId="7BE692DB"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CE226FA" w14:textId="77777777" w:rsidR="00315EB2" w:rsidRPr="006122EE" w:rsidRDefault="00315EB2" w:rsidP="00B70C84">
            <w:pPr>
              <w:jc w:val="left"/>
              <w:rPr>
                <w:bCs w:val="0"/>
              </w:rPr>
            </w:pPr>
            <w:r w:rsidRPr="006122EE">
              <w:t>Large hydro capacity additions</w:t>
            </w:r>
          </w:p>
        </w:tc>
        <w:tc>
          <w:tcPr>
            <w:tcW w:w="1221" w:type="pct"/>
            <w:noWrap/>
          </w:tcPr>
          <w:p w14:paraId="2AFE0D0E"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350 MW Mpatamanga, 200 MW Kholombidzo, 40 MW Mbongozi, 50 MW Chizuma, 90 MW Songwe 1, 60 MW Songwe 2, and 140 MW Fufu</w:t>
            </w:r>
          </w:p>
        </w:tc>
        <w:tc>
          <w:tcPr>
            <w:tcW w:w="703" w:type="pct"/>
          </w:tcPr>
          <w:p w14:paraId="6F478975"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Short, mid and long-term</w:t>
            </w:r>
          </w:p>
        </w:tc>
        <w:tc>
          <w:tcPr>
            <w:tcW w:w="515" w:type="pct"/>
          </w:tcPr>
          <w:p w14:paraId="26713043" w14:textId="77777777" w:rsidR="00315EB2" w:rsidRPr="006122EE" w:rsidRDefault="00DB4718"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MoNREM</w:t>
            </w:r>
          </w:p>
        </w:tc>
        <w:tc>
          <w:tcPr>
            <w:tcW w:w="703" w:type="pct"/>
          </w:tcPr>
          <w:p w14:paraId="5F553D66" w14:textId="77777777" w:rsidR="00315EB2" w:rsidRPr="006122EE" w:rsidRDefault="00315EB2" w:rsidP="00852B6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 xml:space="preserve"> </w:t>
            </w:r>
            <w:r w:rsidR="00DB4718" w:rsidRPr="006122EE">
              <w:rPr>
                <w:bCs/>
              </w:rPr>
              <w:t xml:space="preserve">MERA, ESCOM, EGENCO, </w:t>
            </w:r>
            <w:r w:rsidRPr="006122EE">
              <w:rPr>
                <w:bCs/>
              </w:rPr>
              <w:t>private sector</w:t>
            </w:r>
          </w:p>
        </w:tc>
        <w:tc>
          <w:tcPr>
            <w:tcW w:w="870" w:type="pct"/>
          </w:tcPr>
          <w:p w14:paraId="642161B2"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Unit cost: $2.9 million/MW</w:t>
            </w:r>
          </w:p>
          <w:p w14:paraId="6FADDC3A"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Total: $2.7 billion</w:t>
            </w:r>
          </w:p>
        </w:tc>
      </w:tr>
      <w:tr w:rsidR="00315EB2" w:rsidRPr="006122EE" w14:paraId="56C0B7B4"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579CCA14" w14:textId="77777777" w:rsidR="00315EB2" w:rsidRPr="006122EE" w:rsidRDefault="00315EB2" w:rsidP="00B70C84">
            <w:pPr>
              <w:jc w:val="left"/>
              <w:rPr>
                <w:bCs w:val="0"/>
              </w:rPr>
            </w:pPr>
            <w:r w:rsidRPr="006122EE">
              <w:t>Small hydro capacity additions</w:t>
            </w:r>
          </w:p>
        </w:tc>
        <w:tc>
          <w:tcPr>
            <w:tcW w:w="1221" w:type="pct"/>
            <w:noWrap/>
          </w:tcPr>
          <w:p w14:paraId="3501381C"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22 MW Tadzani IV, 23 MW Ruo</w:t>
            </w:r>
          </w:p>
        </w:tc>
        <w:tc>
          <w:tcPr>
            <w:tcW w:w="703" w:type="pct"/>
          </w:tcPr>
          <w:p w14:paraId="0AD251A8"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Short &amp; mid term</w:t>
            </w:r>
          </w:p>
        </w:tc>
        <w:tc>
          <w:tcPr>
            <w:tcW w:w="515" w:type="pct"/>
          </w:tcPr>
          <w:p w14:paraId="41935872" w14:textId="77777777" w:rsidR="00315EB2" w:rsidRPr="006122EE" w:rsidRDefault="00DB4718"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MoNREM</w:t>
            </w:r>
          </w:p>
        </w:tc>
        <w:tc>
          <w:tcPr>
            <w:tcW w:w="703" w:type="pct"/>
          </w:tcPr>
          <w:p w14:paraId="4CB4F304" w14:textId="77777777" w:rsidR="00315EB2" w:rsidRPr="006122EE" w:rsidRDefault="00315EB2" w:rsidP="00852B6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 xml:space="preserve"> </w:t>
            </w:r>
            <w:r w:rsidR="00DB4718" w:rsidRPr="006122EE">
              <w:rPr>
                <w:bCs/>
              </w:rPr>
              <w:t xml:space="preserve">MERA, </w:t>
            </w:r>
            <w:r w:rsidRPr="006122EE">
              <w:rPr>
                <w:bCs/>
              </w:rPr>
              <w:t>private sector</w:t>
            </w:r>
          </w:p>
        </w:tc>
        <w:tc>
          <w:tcPr>
            <w:tcW w:w="870" w:type="pct"/>
          </w:tcPr>
          <w:p w14:paraId="54DBC5FB"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Unit cost: $2-4 million/MW</w:t>
            </w:r>
          </w:p>
          <w:p w14:paraId="0E470CBF"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Total: $90-180 million</w:t>
            </w:r>
          </w:p>
        </w:tc>
      </w:tr>
      <w:tr w:rsidR="00315EB2" w:rsidRPr="006122EE" w14:paraId="596A218E"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3A5456B2" w14:textId="77777777" w:rsidR="00315EB2" w:rsidRPr="006122EE" w:rsidRDefault="00315EB2" w:rsidP="00B70C84">
            <w:pPr>
              <w:jc w:val="left"/>
              <w:rPr>
                <w:bCs w:val="0"/>
              </w:rPr>
            </w:pPr>
            <w:r w:rsidRPr="006122EE">
              <w:t>Solar capacity additions</w:t>
            </w:r>
          </w:p>
        </w:tc>
        <w:tc>
          <w:tcPr>
            <w:tcW w:w="1221" w:type="pct"/>
            <w:noWrap/>
          </w:tcPr>
          <w:p w14:paraId="508ED07E"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550 MW of PV projects at various sites</w:t>
            </w:r>
          </w:p>
        </w:tc>
        <w:tc>
          <w:tcPr>
            <w:tcW w:w="703" w:type="pct"/>
          </w:tcPr>
          <w:p w14:paraId="11E145D9"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 xml:space="preserve">Short, mid &amp; </w:t>
            </w:r>
            <w:r w:rsidRPr="006122EE">
              <w:t>long term</w:t>
            </w:r>
          </w:p>
        </w:tc>
        <w:tc>
          <w:tcPr>
            <w:tcW w:w="515" w:type="pct"/>
          </w:tcPr>
          <w:p w14:paraId="0A4141AB"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MERA</w:t>
            </w:r>
          </w:p>
        </w:tc>
        <w:tc>
          <w:tcPr>
            <w:tcW w:w="703" w:type="pct"/>
          </w:tcPr>
          <w:p w14:paraId="0480FA91" w14:textId="77777777" w:rsidR="00315EB2" w:rsidRPr="006122EE" w:rsidRDefault="00315EB2" w:rsidP="00852B6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MoNREM, private sector</w:t>
            </w:r>
          </w:p>
        </w:tc>
        <w:tc>
          <w:tcPr>
            <w:tcW w:w="870" w:type="pct"/>
          </w:tcPr>
          <w:p w14:paraId="63193E0D"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Unit cost: $3.8 million/MW</w:t>
            </w:r>
          </w:p>
          <w:p w14:paraId="5A6E6D76"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Total: $2.1 billion</w:t>
            </w:r>
          </w:p>
        </w:tc>
      </w:tr>
      <w:tr w:rsidR="00315EB2" w:rsidRPr="006122EE" w14:paraId="286DE3D0"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57962EAF" w14:textId="77777777" w:rsidR="00315EB2" w:rsidRPr="006122EE" w:rsidRDefault="00315EB2" w:rsidP="00B70C84">
            <w:pPr>
              <w:jc w:val="left"/>
              <w:rPr>
                <w:bCs w:val="0"/>
              </w:rPr>
            </w:pPr>
            <w:r w:rsidRPr="006122EE">
              <w:t>Bagasse cogeneration capacity additions</w:t>
            </w:r>
          </w:p>
        </w:tc>
        <w:tc>
          <w:tcPr>
            <w:tcW w:w="1221" w:type="pct"/>
            <w:noWrap/>
          </w:tcPr>
          <w:p w14:paraId="3789D135"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 xml:space="preserve">46 MW at two Illovo sites </w:t>
            </w:r>
          </w:p>
        </w:tc>
        <w:tc>
          <w:tcPr>
            <w:tcW w:w="703" w:type="pct"/>
          </w:tcPr>
          <w:p w14:paraId="3D2BABBB"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Mid &amp; long term</w:t>
            </w:r>
          </w:p>
        </w:tc>
        <w:tc>
          <w:tcPr>
            <w:tcW w:w="515" w:type="pct"/>
          </w:tcPr>
          <w:p w14:paraId="4F67F7BB"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MERA</w:t>
            </w:r>
          </w:p>
        </w:tc>
        <w:tc>
          <w:tcPr>
            <w:tcW w:w="703" w:type="pct"/>
          </w:tcPr>
          <w:p w14:paraId="62978FC2" w14:textId="77777777" w:rsidR="00315EB2" w:rsidRPr="006122EE" w:rsidRDefault="00315EB2" w:rsidP="00852B61">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MoNREM, private sector</w:t>
            </w:r>
          </w:p>
        </w:tc>
        <w:tc>
          <w:tcPr>
            <w:tcW w:w="870" w:type="pct"/>
          </w:tcPr>
          <w:p w14:paraId="6B72E29C"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Unit cost: $6.7-7.4 million/MW</w:t>
            </w:r>
          </w:p>
          <w:p w14:paraId="316C7269"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Total: $308 - 340 million</w:t>
            </w:r>
          </w:p>
        </w:tc>
      </w:tr>
      <w:tr w:rsidR="00315EB2" w:rsidRPr="006122EE" w14:paraId="37EEF5FE"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AC968D9" w14:textId="77777777" w:rsidR="00315EB2" w:rsidRPr="006122EE" w:rsidRDefault="00315EB2" w:rsidP="00852B61">
            <w:pPr>
              <w:rPr>
                <w:bCs w:val="0"/>
              </w:rPr>
            </w:pPr>
            <w:r w:rsidRPr="006122EE">
              <w:t>Policy</w:t>
            </w:r>
          </w:p>
        </w:tc>
        <w:tc>
          <w:tcPr>
            <w:tcW w:w="1221" w:type="pct"/>
            <w:noWrap/>
          </w:tcPr>
          <w:p w14:paraId="3BC80ED8"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Adopt RE Policy, financing strategy</w:t>
            </w:r>
          </w:p>
        </w:tc>
        <w:tc>
          <w:tcPr>
            <w:tcW w:w="703" w:type="pct"/>
          </w:tcPr>
          <w:p w14:paraId="04EE4F49"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Short term</w:t>
            </w:r>
          </w:p>
        </w:tc>
        <w:tc>
          <w:tcPr>
            <w:tcW w:w="515" w:type="pct"/>
          </w:tcPr>
          <w:p w14:paraId="45645CB1"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MoNREM</w:t>
            </w:r>
          </w:p>
        </w:tc>
        <w:tc>
          <w:tcPr>
            <w:tcW w:w="703" w:type="pct"/>
          </w:tcPr>
          <w:p w14:paraId="3644BC7B" w14:textId="77777777" w:rsidR="00315EB2" w:rsidRPr="006122EE" w:rsidRDefault="00315EB2" w:rsidP="00852B61">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MERA, private sector, Renewable Energy Association of Malaw, NGOs</w:t>
            </w:r>
          </w:p>
        </w:tc>
        <w:tc>
          <w:tcPr>
            <w:tcW w:w="870" w:type="pct"/>
          </w:tcPr>
          <w:p w14:paraId="05FF8DC8" w14:textId="77777777" w:rsidR="00315EB2" w:rsidRPr="006122EE" w:rsidRDefault="00315EB2" w:rsidP="00105959">
            <w:pPr>
              <w:cnfStyle w:val="000000100000" w:firstRow="0" w:lastRow="0" w:firstColumn="0" w:lastColumn="0" w:oddVBand="0" w:evenVBand="0" w:oddHBand="1" w:evenHBand="0" w:firstRowFirstColumn="0" w:firstRowLastColumn="0" w:lastRowFirstColumn="0" w:lastRowLastColumn="0"/>
              <w:rPr>
                <w:bCs/>
              </w:rPr>
            </w:pPr>
            <w:r w:rsidRPr="006122EE">
              <w:rPr>
                <w:bCs/>
              </w:rPr>
              <w:t>n.a.</w:t>
            </w:r>
          </w:p>
        </w:tc>
      </w:tr>
      <w:tr w:rsidR="00315EB2" w:rsidRPr="006122EE" w14:paraId="5D158751"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655FDDEC" w14:textId="77777777" w:rsidR="00315EB2" w:rsidRPr="006122EE" w:rsidRDefault="00315EB2" w:rsidP="00852B61">
            <w:pPr>
              <w:rPr>
                <w:bCs w:val="0"/>
              </w:rPr>
            </w:pPr>
            <w:r w:rsidRPr="006122EE">
              <w:t>Research</w:t>
            </w:r>
          </w:p>
        </w:tc>
        <w:tc>
          <w:tcPr>
            <w:tcW w:w="1221" w:type="pct"/>
            <w:noWrap/>
          </w:tcPr>
          <w:p w14:paraId="29D19FF8"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Conduct detailed resource assessments for RE, especially wind, geothermal and non-sugarcane biomass resources.</w:t>
            </w:r>
          </w:p>
        </w:tc>
        <w:tc>
          <w:tcPr>
            <w:tcW w:w="703" w:type="pct"/>
          </w:tcPr>
          <w:p w14:paraId="69F2C2E2"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Short-term</w:t>
            </w:r>
          </w:p>
        </w:tc>
        <w:tc>
          <w:tcPr>
            <w:tcW w:w="515" w:type="pct"/>
          </w:tcPr>
          <w:p w14:paraId="212B577B" w14:textId="77777777" w:rsidR="00315EB2" w:rsidRPr="006122EE" w:rsidRDefault="00315EB2" w:rsidP="00105959">
            <w:pPr>
              <w:cnfStyle w:val="000000000000" w:firstRow="0" w:lastRow="0" w:firstColumn="0" w:lastColumn="0" w:oddVBand="0" w:evenVBand="0" w:oddHBand="0" w:evenHBand="0" w:firstRowFirstColumn="0" w:firstRowLastColumn="0" w:lastRowFirstColumn="0" w:lastRowLastColumn="0"/>
              <w:rPr>
                <w:bCs/>
              </w:rPr>
            </w:pPr>
            <w:r w:rsidRPr="006122EE">
              <w:rPr>
                <w:bCs/>
              </w:rPr>
              <w:t>MoNREM</w:t>
            </w:r>
          </w:p>
        </w:tc>
        <w:tc>
          <w:tcPr>
            <w:tcW w:w="703" w:type="pct"/>
          </w:tcPr>
          <w:p w14:paraId="16C7DB6F" w14:textId="77777777" w:rsidR="00315EB2" w:rsidRPr="006122EE" w:rsidRDefault="00315EB2" w:rsidP="00B70C84">
            <w:pPr>
              <w:spacing w:before="0" w:after="0" w:line="276" w:lineRule="auto"/>
              <w:jc w:val="left"/>
              <w:cnfStyle w:val="000000000000" w:firstRow="0" w:lastRow="0" w:firstColumn="0" w:lastColumn="0" w:oddVBand="0" w:evenVBand="0" w:oddHBand="0" w:evenHBand="0" w:firstRowFirstColumn="0" w:firstRowLastColumn="0" w:lastRowFirstColumn="0" w:lastRowLastColumn="0"/>
            </w:pPr>
            <w:r w:rsidRPr="006122EE">
              <w:t>Universities and other research institutions (University of Malawi – Polytechnic, University of Mzuzu – Department of Energy Studies)</w:t>
            </w:r>
          </w:p>
          <w:p w14:paraId="0C39EB52"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National Commission for Science and Technology</w:t>
            </w:r>
          </w:p>
        </w:tc>
        <w:tc>
          <w:tcPr>
            <w:tcW w:w="870" w:type="pct"/>
          </w:tcPr>
          <w:p w14:paraId="250572E5" w14:textId="77777777" w:rsidR="00315EB2" w:rsidRPr="006122EE" w:rsidRDefault="00315EB2" w:rsidP="00B70C84">
            <w:pPr>
              <w:jc w:val="left"/>
              <w:cnfStyle w:val="000000000000" w:firstRow="0" w:lastRow="0" w:firstColumn="0" w:lastColumn="0" w:oddVBand="0" w:evenVBand="0" w:oddHBand="0" w:evenHBand="0" w:firstRowFirstColumn="0" w:firstRowLastColumn="0" w:lastRowFirstColumn="0" w:lastRowLastColumn="0"/>
              <w:rPr>
                <w:bCs/>
              </w:rPr>
            </w:pPr>
            <w:r w:rsidRPr="006122EE">
              <w:rPr>
                <w:bCs/>
              </w:rPr>
              <w:t>n.a</w:t>
            </w:r>
          </w:p>
        </w:tc>
      </w:tr>
      <w:tr w:rsidR="00315EB2" w:rsidRPr="006122EE" w14:paraId="49812214"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1DF51D3F" w14:textId="77777777" w:rsidR="00315EB2" w:rsidRPr="006122EE" w:rsidRDefault="00315EB2" w:rsidP="00852B61">
            <w:pPr>
              <w:rPr>
                <w:bCs w:val="0"/>
              </w:rPr>
            </w:pPr>
            <w:r w:rsidRPr="006122EE">
              <w:t>Capacity building</w:t>
            </w:r>
          </w:p>
        </w:tc>
        <w:tc>
          <w:tcPr>
            <w:tcW w:w="1221" w:type="pct"/>
            <w:noWrap/>
          </w:tcPr>
          <w:p w14:paraId="5F6FC62A" w14:textId="77777777" w:rsidR="00315EB2" w:rsidRPr="006122EE" w:rsidRDefault="00315EB2" w:rsidP="00B70C84">
            <w:pPr>
              <w:jc w:val="left"/>
              <w:cnfStyle w:val="000000100000" w:firstRow="0" w:lastRow="0" w:firstColumn="0" w:lastColumn="0" w:oddVBand="0" w:evenVBand="0" w:oddHBand="1" w:evenHBand="0" w:firstRowFirstColumn="0" w:firstRowLastColumn="0" w:lastRowFirstColumn="0" w:lastRowLastColumn="0"/>
              <w:rPr>
                <w:bCs/>
              </w:rPr>
            </w:pPr>
            <w:r w:rsidRPr="006122EE">
              <w:rPr>
                <w:bCs/>
              </w:rPr>
              <w:t>Training for government and private sector on licensing &amp; permitting process, costs, regulatory policy and procedures, major issues in developing an RE project.</w:t>
            </w:r>
          </w:p>
        </w:tc>
        <w:tc>
          <w:tcPr>
            <w:tcW w:w="703" w:type="pct"/>
          </w:tcPr>
          <w:p w14:paraId="5E120FA6" w14:textId="77777777" w:rsidR="00315EB2" w:rsidRPr="006122EE" w:rsidRDefault="00315EB2" w:rsidP="00852B61">
            <w:pPr>
              <w:cnfStyle w:val="000000100000" w:firstRow="0" w:lastRow="0" w:firstColumn="0" w:lastColumn="0" w:oddVBand="0" w:evenVBand="0" w:oddHBand="1" w:evenHBand="0" w:firstRowFirstColumn="0" w:firstRowLastColumn="0" w:lastRowFirstColumn="0" w:lastRowLastColumn="0"/>
              <w:rPr>
                <w:bCs/>
              </w:rPr>
            </w:pPr>
            <w:r w:rsidRPr="006122EE">
              <w:rPr>
                <w:bCs/>
              </w:rPr>
              <w:t>Short term</w:t>
            </w:r>
          </w:p>
        </w:tc>
        <w:tc>
          <w:tcPr>
            <w:tcW w:w="515" w:type="pct"/>
          </w:tcPr>
          <w:p w14:paraId="75EF3DB3" w14:textId="77777777" w:rsidR="00315EB2" w:rsidRPr="006122EE" w:rsidRDefault="00315EB2" w:rsidP="00852B61">
            <w:pPr>
              <w:cnfStyle w:val="000000100000" w:firstRow="0" w:lastRow="0" w:firstColumn="0" w:lastColumn="0" w:oddVBand="0" w:evenVBand="0" w:oddHBand="1" w:evenHBand="0" w:firstRowFirstColumn="0" w:firstRowLastColumn="0" w:lastRowFirstColumn="0" w:lastRowLastColumn="0"/>
              <w:rPr>
                <w:bCs/>
              </w:rPr>
            </w:pPr>
            <w:r w:rsidRPr="006122EE">
              <w:rPr>
                <w:bCs/>
              </w:rPr>
              <w:t>MoNREM</w:t>
            </w:r>
          </w:p>
        </w:tc>
        <w:tc>
          <w:tcPr>
            <w:tcW w:w="703" w:type="pct"/>
          </w:tcPr>
          <w:p w14:paraId="761EF987" w14:textId="77777777" w:rsidR="00315EB2" w:rsidRPr="006122EE" w:rsidRDefault="00315EB2" w:rsidP="00852B61">
            <w:pPr>
              <w:cnfStyle w:val="000000100000" w:firstRow="0" w:lastRow="0" w:firstColumn="0" w:lastColumn="0" w:oddVBand="0" w:evenVBand="0" w:oddHBand="1" w:evenHBand="0" w:firstRowFirstColumn="0" w:firstRowLastColumn="0" w:lastRowFirstColumn="0" w:lastRowLastColumn="0"/>
              <w:rPr>
                <w:bCs/>
              </w:rPr>
            </w:pPr>
            <w:r w:rsidRPr="006122EE">
              <w:rPr>
                <w:bCs/>
              </w:rPr>
              <w:t>MERA, private sector</w:t>
            </w:r>
          </w:p>
        </w:tc>
        <w:tc>
          <w:tcPr>
            <w:tcW w:w="870" w:type="pct"/>
          </w:tcPr>
          <w:p w14:paraId="1D57B9D7" w14:textId="77777777" w:rsidR="00315EB2" w:rsidRPr="006122EE" w:rsidRDefault="00315EB2" w:rsidP="00852B61">
            <w:pPr>
              <w:cnfStyle w:val="000000100000" w:firstRow="0" w:lastRow="0" w:firstColumn="0" w:lastColumn="0" w:oddVBand="0" w:evenVBand="0" w:oddHBand="1" w:evenHBand="0" w:firstRowFirstColumn="0" w:firstRowLastColumn="0" w:lastRowFirstColumn="0" w:lastRowLastColumn="0"/>
              <w:rPr>
                <w:bCs/>
              </w:rPr>
            </w:pPr>
            <w:r w:rsidRPr="006122EE">
              <w:rPr>
                <w:bCs/>
              </w:rPr>
              <w:t>n.a.</w:t>
            </w:r>
          </w:p>
        </w:tc>
      </w:tr>
    </w:tbl>
    <w:p w14:paraId="7A054336" w14:textId="77777777" w:rsidR="00315EB2" w:rsidRPr="006122EE" w:rsidRDefault="00315EB2" w:rsidP="00315EB2"/>
    <w:p w14:paraId="36F068AD" w14:textId="77777777" w:rsidR="00315EB2" w:rsidRPr="006122EE" w:rsidRDefault="00315EB2" w:rsidP="00315EB2"/>
    <w:p w14:paraId="3FEC8AA4" w14:textId="77777777" w:rsidR="00315EB2" w:rsidRPr="006122EE" w:rsidRDefault="00315EB2" w:rsidP="00315EB2"/>
    <w:p w14:paraId="708F8E97" w14:textId="77777777" w:rsidR="00315EB2" w:rsidRPr="006122EE" w:rsidRDefault="00315EB2" w:rsidP="00315EB2"/>
    <w:p w14:paraId="4E5E2EF7" w14:textId="77777777" w:rsidR="00315EB2" w:rsidRPr="00866D96" w:rsidRDefault="00315EB2">
      <w:pPr>
        <w:pStyle w:val="DBulletlevel1"/>
        <w:numPr>
          <w:ilvl w:val="0"/>
          <w:numId w:val="0"/>
        </w:numPr>
        <w:rPr>
          <w:noProof w:val="0"/>
        </w:rPr>
        <w:sectPr w:rsidR="00315EB2" w:rsidRPr="00866D96" w:rsidSect="00852B61">
          <w:footerReference w:type="even" r:id="rId44"/>
          <w:footerReference w:type="default" r:id="rId45"/>
          <w:pgSz w:w="16838" w:h="11899" w:orient="landscape" w:code="9"/>
          <w:pgMar w:top="1134" w:right="851" w:bottom="1134" w:left="851" w:header="680" w:footer="794" w:gutter="227"/>
          <w:cols w:space="708"/>
          <w:docGrid w:linePitch="272"/>
        </w:sectPr>
      </w:pPr>
    </w:p>
    <w:p w14:paraId="0E3C9A2B" w14:textId="77777777" w:rsidR="006B367F" w:rsidRPr="00866D96" w:rsidRDefault="006B367F" w:rsidP="00726AF3">
      <w:pPr>
        <w:pStyle w:val="DBulletlevel1"/>
        <w:numPr>
          <w:ilvl w:val="0"/>
          <w:numId w:val="0"/>
        </w:numPr>
        <w:rPr>
          <w:noProof w:val="0"/>
        </w:rPr>
      </w:pPr>
    </w:p>
    <w:p w14:paraId="45F30E55" w14:textId="77777777" w:rsidR="00287D2D" w:rsidRPr="00866D96" w:rsidRDefault="00287D2D" w:rsidP="006E363C">
      <w:pPr>
        <w:pStyle w:val="BTitle20"/>
        <w:rPr>
          <w:noProof w:val="0"/>
        </w:rPr>
      </w:pPr>
      <w:bookmarkStart w:id="433" w:name="_Toc441762738"/>
      <w:bookmarkStart w:id="434" w:name="_Toc481614931"/>
      <w:bookmarkStart w:id="435" w:name="_Toc439841236"/>
      <w:bookmarkEnd w:id="433"/>
      <w:r w:rsidRPr="00866D96">
        <w:rPr>
          <w:noProof w:val="0"/>
        </w:rPr>
        <w:t>Energy efficiency</w:t>
      </w:r>
      <w:bookmarkEnd w:id="434"/>
      <w:r w:rsidRPr="00866D96">
        <w:rPr>
          <w:noProof w:val="0"/>
        </w:rPr>
        <w:t xml:space="preserve"> </w:t>
      </w:r>
      <w:bookmarkEnd w:id="435"/>
    </w:p>
    <w:p w14:paraId="18799AE3" w14:textId="77777777" w:rsidR="00287D2D" w:rsidRPr="006122EE" w:rsidRDefault="00287D2D" w:rsidP="00B509DD">
      <w:pPr>
        <w:pStyle w:val="BTitle3"/>
        <w:rPr>
          <w:noProof w:val="0"/>
          <w:lang w:val="en-GB"/>
        </w:rPr>
      </w:pPr>
      <w:r w:rsidRPr="006122EE">
        <w:rPr>
          <w:noProof w:val="0"/>
          <w:lang w:val="en-GB"/>
        </w:rPr>
        <w:tab/>
      </w:r>
      <w:bookmarkStart w:id="436" w:name="_Ref448425649"/>
      <w:bookmarkStart w:id="437" w:name="_Toc481614932"/>
      <w:r w:rsidRPr="006122EE">
        <w:rPr>
          <w:noProof w:val="0"/>
          <w:lang w:val="en-GB"/>
        </w:rPr>
        <w:t>What are the actions and funding levels needed to achieve the overarching objective in the field of energy efficiency?</w:t>
      </w:r>
      <w:bookmarkEnd w:id="436"/>
      <w:bookmarkEnd w:id="437"/>
      <w:r w:rsidRPr="006122EE">
        <w:rPr>
          <w:noProof w:val="0"/>
          <w:lang w:val="en-GB"/>
        </w:rPr>
        <w:t xml:space="preserve">  </w:t>
      </w:r>
    </w:p>
    <w:p w14:paraId="0C37BF4C" w14:textId="77777777" w:rsidR="00287D2D" w:rsidRPr="006122EE" w:rsidRDefault="00287D2D" w:rsidP="00B1153E">
      <w:pPr>
        <w:spacing w:line="276" w:lineRule="auto"/>
        <w:rPr>
          <w:lang w:eastAsia="en-US"/>
        </w:rPr>
      </w:pPr>
      <w:r w:rsidRPr="006122EE">
        <w:rPr>
          <w:lang w:eastAsia="en-US"/>
        </w:rPr>
        <w:t>Priorities identified by the SE4ALL stakeholders. Potential initiatives – indicative implementation timing and budget estimates (where possible).</w:t>
      </w:r>
    </w:p>
    <w:p w14:paraId="51B28F5D" w14:textId="77777777" w:rsidR="00287D2D" w:rsidRPr="00866D96" w:rsidRDefault="00287D2D" w:rsidP="00B1153E">
      <w:pPr>
        <w:pStyle w:val="Style1"/>
        <w:spacing w:line="276" w:lineRule="auto"/>
      </w:pPr>
      <w:r w:rsidRPr="006122EE">
        <w:t xml:space="preserve"> Demand-side measures</w:t>
      </w:r>
    </w:p>
    <w:p w14:paraId="4A32CAEF"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Solar for hot water heating</w:t>
      </w:r>
    </w:p>
    <w:p w14:paraId="19A01F19" w14:textId="77777777" w:rsidR="00287D2D" w:rsidRPr="006122EE" w:rsidRDefault="00287D2D" w:rsidP="00B1153E">
      <w:pPr>
        <w:spacing w:line="276" w:lineRule="auto"/>
        <w:rPr>
          <w:lang w:eastAsia="en-US"/>
        </w:rPr>
      </w:pPr>
      <w:r w:rsidRPr="006122EE">
        <w:rPr>
          <w:lang w:eastAsia="en-US"/>
        </w:rPr>
        <w:t xml:space="preserve">The Malawi Intended Nationally Determined Contribution (INDC) to UNFCCC calls for installation of at least 20 000 solar water heaters by 2030. Provided that hot water geysers running on electricity are the most intense consumers of energy in the household sector, the </w:t>
      </w:r>
      <w:r w:rsidR="00337B1E" w:rsidRPr="006122EE">
        <w:rPr>
          <w:lang w:eastAsia="en-US"/>
        </w:rPr>
        <w:t>g</w:t>
      </w:r>
      <w:r w:rsidRPr="006122EE">
        <w:rPr>
          <w:lang w:eastAsia="en-US"/>
        </w:rPr>
        <w:t>overnment will make it a national priority to promote mass scale uptake of solar geysers provide as the most cost effective method of providing hot water. Future new housing schemes will be required to install solar geysers. A large scale promotion campaign will be carried out through the local banks and the Utility, offering subsidized loans that can be repaid through the electricity bills of the households. Additional tax incentives will encourage local manufacturers to engage in production of solar powered geysers.</w:t>
      </w:r>
    </w:p>
    <w:p w14:paraId="2ED5C79E" w14:textId="77777777" w:rsidR="00287D2D" w:rsidRPr="006122EE" w:rsidRDefault="00287D2D" w:rsidP="00B1153E">
      <w:pPr>
        <w:spacing w:line="276" w:lineRule="auto"/>
        <w:rPr>
          <w:lang w:eastAsia="en-US"/>
        </w:rPr>
      </w:pPr>
      <w:r w:rsidRPr="006122EE">
        <w:rPr>
          <w:lang w:eastAsia="en-US"/>
        </w:rPr>
        <w:t xml:space="preserve">The </w:t>
      </w:r>
      <w:r w:rsidR="00337B1E" w:rsidRPr="006122EE">
        <w:rPr>
          <w:lang w:eastAsia="en-US"/>
        </w:rPr>
        <w:t>g</w:t>
      </w:r>
      <w:r w:rsidRPr="006122EE">
        <w:rPr>
          <w:lang w:eastAsia="en-US"/>
        </w:rPr>
        <w:t>overnment will lead the way by installing solar hot water heating systems in schools, hospitals, social institutions and other public buildings.</w:t>
      </w:r>
    </w:p>
    <w:p w14:paraId="5A57C174"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Domestic lighting</w:t>
      </w:r>
    </w:p>
    <w:p w14:paraId="73A55CCC" w14:textId="77777777" w:rsidR="00287D2D" w:rsidRPr="006122EE" w:rsidRDefault="00287D2D" w:rsidP="00B1153E">
      <w:pPr>
        <w:spacing w:line="276" w:lineRule="auto"/>
        <w:rPr>
          <w:lang w:eastAsia="en-US"/>
        </w:rPr>
      </w:pPr>
      <w:r w:rsidRPr="006122EE">
        <w:rPr>
          <w:lang w:eastAsia="en-US"/>
        </w:rPr>
        <w:t>Improving the energy efficiency of domestic lighting is one of the lowest-cost, quick results delivering and easiest to implement demand side management initiatives. It is also an efficient way to raise awareness and teach the general public of the benefits that improved EE brings along.</w:t>
      </w:r>
      <w:r w:rsidR="00AA3141" w:rsidRPr="006122EE">
        <w:rPr>
          <w:lang w:eastAsia="en-US"/>
        </w:rPr>
        <w:t xml:space="preserve"> </w:t>
      </w:r>
      <w:r w:rsidRPr="006122EE">
        <w:rPr>
          <w:lang w:eastAsia="en-US"/>
        </w:rPr>
        <w:t xml:space="preserve">Based on the success of the recent 2 million energy saving bulbs roll out initiative, the </w:t>
      </w:r>
      <w:r w:rsidR="00337B1E" w:rsidRPr="006122EE">
        <w:rPr>
          <w:lang w:eastAsia="en-US"/>
        </w:rPr>
        <w:t>g</w:t>
      </w:r>
      <w:r w:rsidRPr="006122EE">
        <w:rPr>
          <w:lang w:eastAsia="en-US"/>
        </w:rPr>
        <w:t xml:space="preserve">overnment and the Utility will expand its effort to promote efficient household lighting. Future programs will involve popularization of the most efficient technologies currently present at the market (e.g. LED) and will be combined with extensive awareness raising campaigns. </w:t>
      </w:r>
    </w:p>
    <w:p w14:paraId="29E60043"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 xml:space="preserve">Pre-paid meters  </w:t>
      </w:r>
    </w:p>
    <w:p w14:paraId="77A4D172" w14:textId="77777777" w:rsidR="00287D2D" w:rsidRPr="006122EE" w:rsidRDefault="00287D2D" w:rsidP="00B1153E">
      <w:pPr>
        <w:spacing w:line="276" w:lineRule="auto"/>
        <w:rPr>
          <w:lang w:eastAsia="en-US"/>
        </w:rPr>
      </w:pPr>
      <w:r w:rsidRPr="006122EE">
        <w:rPr>
          <w:lang w:eastAsia="en-US"/>
        </w:rPr>
        <w:t xml:space="preserve">Since 2011 ESCOM started the pre-paid metering program, offering pre-paid schemes to its newly connected customers. </w:t>
      </w:r>
      <w:r w:rsidR="008D11D7" w:rsidRPr="006122EE">
        <w:rPr>
          <w:lang w:eastAsia="en-US"/>
        </w:rPr>
        <w:t>ESCOM</w:t>
      </w:r>
      <w:r w:rsidRPr="006122EE">
        <w:rPr>
          <w:lang w:eastAsia="en-US"/>
        </w:rPr>
        <w:t xml:space="preserve"> will extend it until 100% coverage in the residential sector is reached before 2030. This will not only spark substantial energy savings in the domestic sector, but will also allow ESCOM substantially strengthen its financial position and cash flows by improving the electricity bill collection rate. </w:t>
      </w:r>
    </w:p>
    <w:p w14:paraId="0903EAB8" w14:textId="77777777" w:rsidR="00287D2D" w:rsidRPr="006122EE" w:rsidRDefault="00287D2D" w:rsidP="00B1153E">
      <w:pPr>
        <w:spacing w:line="276" w:lineRule="auto"/>
        <w:rPr>
          <w:lang w:eastAsia="en-US"/>
        </w:rPr>
      </w:pPr>
      <w:r w:rsidRPr="006122EE">
        <w:rPr>
          <w:lang w:eastAsia="en-US"/>
        </w:rPr>
        <w:t xml:space="preserve">Pre-paid metering for public sector entities will also be considered but have to be cautiously approached due to budgetary specifics. Resistance from some </w:t>
      </w:r>
      <w:r w:rsidR="00337B1E" w:rsidRPr="006122EE">
        <w:rPr>
          <w:lang w:eastAsia="en-US"/>
        </w:rPr>
        <w:t>m</w:t>
      </w:r>
      <w:r w:rsidRPr="006122EE">
        <w:rPr>
          <w:lang w:eastAsia="en-US"/>
        </w:rPr>
        <w:t xml:space="preserve">inistries and </w:t>
      </w:r>
      <w:r w:rsidR="00337B1E" w:rsidRPr="006122EE">
        <w:rPr>
          <w:lang w:eastAsia="en-US"/>
        </w:rPr>
        <w:t>g</w:t>
      </w:r>
      <w:r w:rsidRPr="006122EE">
        <w:rPr>
          <w:lang w:eastAsia="en-US"/>
        </w:rPr>
        <w:t xml:space="preserve">overnment departments and agencies may be anticipated because of the requirement to upfront pay for the energy to be used. ESCOM will need to work with the Ministry of finance, economic planning and development and eventually to come up with a system for upfront payments for </w:t>
      </w:r>
      <w:r w:rsidR="00337B1E" w:rsidRPr="006122EE">
        <w:rPr>
          <w:lang w:eastAsia="en-US"/>
        </w:rPr>
        <w:t>g</w:t>
      </w:r>
      <w:r w:rsidRPr="006122EE">
        <w:rPr>
          <w:lang w:eastAsia="en-US"/>
        </w:rPr>
        <w:t xml:space="preserve">overnment departments and agencies. </w:t>
      </w:r>
    </w:p>
    <w:p w14:paraId="76504252"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ab/>
        <w:t>Large industrial and mining customers</w:t>
      </w:r>
    </w:p>
    <w:p w14:paraId="000D4DD0" w14:textId="77777777" w:rsidR="00287D2D" w:rsidRPr="006122EE" w:rsidRDefault="00287D2D" w:rsidP="00B1153E">
      <w:pPr>
        <w:spacing w:line="276" w:lineRule="auto"/>
      </w:pPr>
      <w:r w:rsidRPr="006122EE">
        <w:t>Malawi can achieve substantial energy saving results by supporting and incentivizing various programs for EE promotion in the industrial and mining sectors. Special attention will be paid to the following priority areas:</w:t>
      </w:r>
    </w:p>
    <w:p w14:paraId="196EC828" w14:textId="77777777" w:rsidR="00287D2D" w:rsidRPr="00866D96" w:rsidRDefault="00287D2D" w:rsidP="00B1153E">
      <w:pPr>
        <w:pStyle w:val="DBulletlevel1"/>
        <w:spacing w:line="276" w:lineRule="auto"/>
        <w:rPr>
          <w:noProof w:val="0"/>
        </w:rPr>
      </w:pPr>
      <w:r w:rsidRPr="00866D96">
        <w:rPr>
          <w:noProof w:val="0"/>
        </w:rPr>
        <w:t>Programs for replacement of standard burnt motors, gear boxes and conveyors with energy efficient ones</w:t>
      </w:r>
      <w:r w:rsidR="00EE499B" w:rsidRPr="00866D96">
        <w:rPr>
          <w:noProof w:val="0"/>
        </w:rPr>
        <w:t>.</w:t>
      </w:r>
    </w:p>
    <w:p w14:paraId="4A0164B9" w14:textId="77777777" w:rsidR="00287D2D" w:rsidRPr="00866D96" w:rsidRDefault="00287D2D" w:rsidP="00B1153E">
      <w:pPr>
        <w:pStyle w:val="DBulletlevel1"/>
        <w:spacing w:line="276" w:lineRule="auto"/>
        <w:rPr>
          <w:noProof w:val="0"/>
        </w:rPr>
      </w:pPr>
      <w:r w:rsidRPr="00866D96">
        <w:rPr>
          <w:noProof w:val="0"/>
        </w:rPr>
        <w:t>Installation of variable speed drives on large motors operating under fluctuating loads</w:t>
      </w:r>
      <w:r w:rsidR="00EE499B" w:rsidRPr="00866D96">
        <w:rPr>
          <w:noProof w:val="0"/>
        </w:rPr>
        <w:t>.</w:t>
      </w:r>
    </w:p>
    <w:p w14:paraId="3281EB90" w14:textId="77777777" w:rsidR="00287D2D" w:rsidRPr="00866D96" w:rsidRDefault="00287D2D" w:rsidP="00B1153E">
      <w:pPr>
        <w:pStyle w:val="DBulletlevel1"/>
        <w:spacing w:line="276" w:lineRule="auto"/>
        <w:rPr>
          <w:noProof w:val="0"/>
        </w:rPr>
      </w:pPr>
      <w:r w:rsidRPr="00866D96">
        <w:rPr>
          <w:noProof w:val="0"/>
        </w:rPr>
        <w:t>Mandatory regular examination and maintenance of large motors</w:t>
      </w:r>
      <w:r w:rsidR="00EE499B" w:rsidRPr="00866D96">
        <w:rPr>
          <w:noProof w:val="0"/>
        </w:rPr>
        <w:t>.</w:t>
      </w:r>
    </w:p>
    <w:p w14:paraId="3D36B939" w14:textId="77777777" w:rsidR="00287D2D" w:rsidRPr="00866D96" w:rsidRDefault="00287D2D" w:rsidP="00B1153E">
      <w:pPr>
        <w:pStyle w:val="DBulletlevel1"/>
        <w:spacing w:line="276" w:lineRule="auto"/>
        <w:rPr>
          <w:noProof w:val="0"/>
        </w:rPr>
      </w:pPr>
      <w:r w:rsidRPr="00866D96">
        <w:rPr>
          <w:noProof w:val="0"/>
        </w:rPr>
        <w:t>Automation of steam generating boilers</w:t>
      </w:r>
      <w:r w:rsidR="00EE499B" w:rsidRPr="00866D96">
        <w:rPr>
          <w:noProof w:val="0"/>
        </w:rPr>
        <w:t>.</w:t>
      </w:r>
    </w:p>
    <w:p w14:paraId="776C853D" w14:textId="77777777" w:rsidR="00287D2D" w:rsidRPr="00866D96" w:rsidRDefault="00287D2D" w:rsidP="00B1153E">
      <w:pPr>
        <w:pStyle w:val="DBulletlevel1"/>
        <w:spacing w:line="276" w:lineRule="auto"/>
        <w:rPr>
          <w:noProof w:val="0"/>
        </w:rPr>
      </w:pPr>
      <w:r w:rsidRPr="00866D96">
        <w:rPr>
          <w:noProof w:val="0"/>
        </w:rPr>
        <w:t>Installation of combined heat and power generators where applicable</w:t>
      </w:r>
      <w:r w:rsidR="00EE499B" w:rsidRPr="00866D96">
        <w:rPr>
          <w:noProof w:val="0"/>
        </w:rPr>
        <w:t>.</w:t>
      </w:r>
    </w:p>
    <w:p w14:paraId="19406495" w14:textId="77777777" w:rsidR="00287D2D" w:rsidRPr="00866D96" w:rsidRDefault="00287D2D" w:rsidP="00B1153E">
      <w:pPr>
        <w:pStyle w:val="DBulletlevel1"/>
        <w:spacing w:line="276" w:lineRule="auto"/>
        <w:rPr>
          <w:noProof w:val="0"/>
        </w:rPr>
      </w:pPr>
      <w:r w:rsidRPr="00866D96">
        <w:rPr>
          <w:noProof w:val="0"/>
        </w:rPr>
        <w:t xml:space="preserve">Promotion of sub metering in complex industrial and manufacturing processes. Implementation of sub-metering system will help the company owners and their energy managers to more precisely analyse company`s energy consumption data and identify the least efficient processes or machines and subsequently implement necessary EE measures on the identified items, thus increasing the overall energy performance of the company less expensively. </w:t>
      </w:r>
    </w:p>
    <w:p w14:paraId="565F5F80" w14:textId="77777777" w:rsidR="00287D2D" w:rsidRPr="00866D96" w:rsidRDefault="00287D2D" w:rsidP="00B1153E">
      <w:pPr>
        <w:pStyle w:val="CSubtitle2"/>
        <w:spacing w:line="276" w:lineRule="auto"/>
        <w:rPr>
          <w:noProof w:val="0"/>
          <w:lang w:val="en-GB"/>
        </w:rPr>
      </w:pPr>
      <w:r w:rsidRPr="00866D96">
        <w:rPr>
          <w:noProof w:val="0"/>
          <w:lang w:val="en-GB"/>
        </w:rPr>
        <w:tab/>
        <w:t xml:space="preserve">Agricultural </w:t>
      </w:r>
    </w:p>
    <w:p w14:paraId="23DF9442" w14:textId="77777777" w:rsidR="00287D2D" w:rsidRPr="006122EE" w:rsidRDefault="00287D2D" w:rsidP="00B1153E">
      <w:pPr>
        <w:spacing w:line="276" w:lineRule="auto"/>
      </w:pPr>
      <w:r w:rsidRPr="006122EE">
        <w:t xml:space="preserve">The focus will be on the most energy consuming agricultural processes: tobacco curing, tea drying and irrigation water pumping being the top priority. About </w:t>
      </w:r>
      <w:r w:rsidR="00A000FA" w:rsidRPr="006122EE">
        <w:t>5</w:t>
      </w:r>
      <w:r w:rsidRPr="006122EE">
        <w:t>,000 efficient barns will be installed (constructed) by 2030. The GoM will channel carbon funds and donor money to subsidize the construction of efficient barns and to motivate farmers to shift from electric or diesel irrigation pumps to solar powered ones.</w:t>
      </w:r>
    </w:p>
    <w:p w14:paraId="53476AE3" w14:textId="77777777" w:rsidR="00287D2D" w:rsidRPr="006122EE" w:rsidRDefault="00287D2D" w:rsidP="00B1153E">
      <w:pPr>
        <w:spacing w:line="276" w:lineRule="auto"/>
      </w:pPr>
      <w:r w:rsidRPr="006122EE">
        <w:t>Other priority areas will be: i) installation of biogas digesters at dairy and pig farms; ii) utilization of solar powered pumps for irrigation; iii) replacement of old and obsolete equipment and mechanization (tractors, seeders, harvesters).</w:t>
      </w:r>
    </w:p>
    <w:p w14:paraId="75DC682B" w14:textId="77777777" w:rsidR="00287D2D" w:rsidRPr="00866D96" w:rsidRDefault="00287D2D" w:rsidP="00B1153E">
      <w:pPr>
        <w:pStyle w:val="CSubtitle2"/>
        <w:spacing w:line="276" w:lineRule="auto"/>
        <w:rPr>
          <w:noProof w:val="0"/>
          <w:lang w:val="en-GB"/>
        </w:rPr>
      </w:pPr>
      <w:r w:rsidRPr="00866D96">
        <w:rPr>
          <w:noProof w:val="0"/>
          <w:lang w:val="en-GB"/>
        </w:rPr>
        <w:t xml:space="preserve">Capacity building </w:t>
      </w:r>
    </w:p>
    <w:p w14:paraId="2395346E" w14:textId="77777777" w:rsidR="00287D2D" w:rsidRPr="006122EE" w:rsidRDefault="00287D2D" w:rsidP="00B1153E">
      <w:pPr>
        <w:spacing w:line="276" w:lineRule="auto"/>
        <w:rPr>
          <w:lang w:eastAsia="en-US"/>
        </w:rPr>
      </w:pPr>
      <w:r w:rsidRPr="006122EE">
        <w:rPr>
          <w:lang w:eastAsia="en-US"/>
        </w:rPr>
        <w:t xml:space="preserve">The Government (through the Department of Energy) in cooperation with MERA and ESCOM will start implementing an </w:t>
      </w:r>
      <w:r w:rsidRPr="006122EE">
        <w:t>energy</w:t>
      </w:r>
      <w:r w:rsidRPr="006122EE">
        <w:rPr>
          <w:lang w:eastAsia="en-US"/>
        </w:rPr>
        <w:t xml:space="preserve"> management training and certification program to create sufficient internal EE technical capacity. International expertise and trainers will be required during the initial phase, but the country will by 2020 aim at establishing a National Energy Management Training Centre within one of Malawi`s technical universities. The role of this National Energy Management Training Centre will be through adopting the international best practices to create steady technical capacity force countrywide. </w:t>
      </w:r>
    </w:p>
    <w:p w14:paraId="2E092EB6" w14:textId="77777777" w:rsidR="00287D2D" w:rsidRPr="006122EE" w:rsidRDefault="00287D2D" w:rsidP="00B1153E">
      <w:pPr>
        <w:spacing w:line="276" w:lineRule="auto"/>
        <w:rPr>
          <w:lang w:eastAsia="en-US"/>
        </w:rPr>
      </w:pPr>
      <w:r w:rsidRPr="006122EE">
        <w:rPr>
          <w:lang w:eastAsia="en-US"/>
        </w:rPr>
        <w:t xml:space="preserve">The Energy Authority will start offering technical support and financing therefore to large energy consumers, which intend to implement EE measures in their business processes. </w:t>
      </w:r>
      <w:r w:rsidR="008C70BF" w:rsidRPr="006122EE">
        <w:rPr>
          <w:lang w:eastAsia="en-US"/>
        </w:rPr>
        <w:t>Funds for TA and Capacity building activities will also be raised through cooperation with various international agencies and respective grant schemes (such as UNIDO`s Industrial EE programme, etc.).</w:t>
      </w:r>
    </w:p>
    <w:p w14:paraId="3151D249" w14:textId="77777777" w:rsidR="00287D2D" w:rsidRPr="006122EE" w:rsidRDefault="00287D2D" w:rsidP="00B1153E">
      <w:pPr>
        <w:spacing w:line="276" w:lineRule="auto"/>
        <w:rPr>
          <w:lang w:eastAsia="en-US"/>
        </w:rPr>
      </w:pPr>
      <w:r w:rsidRPr="006122EE">
        <w:rPr>
          <w:lang w:eastAsia="en-US"/>
        </w:rPr>
        <w:t>All internationally funded EE/RE financing programs</w:t>
      </w:r>
      <w:r w:rsidR="008C70BF" w:rsidRPr="006122EE">
        <w:rPr>
          <w:lang w:eastAsia="en-US"/>
        </w:rPr>
        <w:t xml:space="preserve"> and credit lines</w:t>
      </w:r>
      <w:r w:rsidRPr="006122EE">
        <w:rPr>
          <w:lang w:eastAsia="en-US"/>
        </w:rPr>
        <w:t xml:space="preserve"> to be implemented in Malawi will be required to provide free of charge technical assistance to end users. </w:t>
      </w:r>
    </w:p>
    <w:p w14:paraId="2AFD1004"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 xml:space="preserve">Awareness raising campaigns </w:t>
      </w:r>
    </w:p>
    <w:p w14:paraId="495C2698" w14:textId="77777777" w:rsidR="00287D2D" w:rsidRPr="006122EE" w:rsidRDefault="00287D2D" w:rsidP="00B1153E">
      <w:pPr>
        <w:spacing w:line="276" w:lineRule="auto"/>
        <w:rPr>
          <w:lang w:eastAsia="en-US"/>
        </w:rPr>
      </w:pPr>
      <w:r w:rsidRPr="006122EE">
        <w:t xml:space="preserve">What was done on sensitizing the citizens of Malawi about efficient ways of energy use is not enough. The </w:t>
      </w:r>
      <w:r w:rsidR="00337B1E" w:rsidRPr="006122EE">
        <w:t>g</w:t>
      </w:r>
      <w:r w:rsidRPr="006122EE">
        <w:t>overnment</w:t>
      </w:r>
      <w:r w:rsidR="00337B1E" w:rsidRPr="006122EE">
        <w:t>,</w:t>
      </w:r>
      <w:r w:rsidRPr="006122EE">
        <w:t xml:space="preserve"> in cooperation with MERA, ESCOM and local NGOs and community groups will put extra effort to raise awareness among the population and subsequently translate it into action. Sustainable and continuous communication strategies will be developed to raise public awareness on efficient energy use and induce change in people`s attitude. These include use of posters and pamphlets written in simple language that the public can understand and relate to. Use of drama on both radio and local newspapers as well as in road shows will be encouraged. Prominent public figures will hopefully be attracted to support the awareness raising strategy. The cook stoves road map initiative will provide good opportunities to not only roll out efficient stoves but to inform and convince the general public of the benefits that EE offers to the people and local economy.</w:t>
      </w:r>
    </w:p>
    <w:p w14:paraId="6F417772"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Supply side</w:t>
      </w:r>
    </w:p>
    <w:p w14:paraId="3D9055A3" w14:textId="77777777" w:rsidR="00287D2D" w:rsidRPr="006122EE" w:rsidRDefault="00287D2D" w:rsidP="00B1153E">
      <w:pPr>
        <w:spacing w:line="276" w:lineRule="auto"/>
        <w:rPr>
          <w:lang w:eastAsia="en-US"/>
        </w:rPr>
      </w:pPr>
      <w:r w:rsidRPr="006122EE">
        <w:rPr>
          <w:lang w:eastAsia="en-US"/>
        </w:rPr>
        <w:t>Acknowledging that vast EE potential lies in the distribution and transmission sector, Malawi will take full advantage of the WB sponsored Energy Sector Support project and the Millennium Challenge Corporation compact to further focus on:</w:t>
      </w:r>
    </w:p>
    <w:p w14:paraId="6532268E" w14:textId="77777777" w:rsidR="00287D2D" w:rsidRPr="00866D96" w:rsidRDefault="00287D2D" w:rsidP="00B1153E">
      <w:pPr>
        <w:pStyle w:val="DBulletlevel1"/>
        <w:spacing w:line="276" w:lineRule="auto"/>
        <w:rPr>
          <w:noProof w:val="0"/>
        </w:rPr>
      </w:pPr>
      <w:r w:rsidRPr="00866D96">
        <w:rPr>
          <w:noProof w:val="0"/>
        </w:rPr>
        <w:t>Revitalization and upgrade of the existing transmission network</w:t>
      </w:r>
      <w:r w:rsidR="00EE499B" w:rsidRPr="00866D96">
        <w:rPr>
          <w:noProof w:val="0"/>
        </w:rPr>
        <w:t>.</w:t>
      </w:r>
    </w:p>
    <w:p w14:paraId="4FFDF558" w14:textId="77777777" w:rsidR="00287D2D" w:rsidRPr="00866D96" w:rsidRDefault="00287D2D" w:rsidP="00B1153E">
      <w:pPr>
        <w:pStyle w:val="DBulletlevel1"/>
        <w:spacing w:line="276" w:lineRule="auto"/>
        <w:rPr>
          <w:noProof w:val="0"/>
        </w:rPr>
      </w:pPr>
      <w:r w:rsidRPr="00866D96">
        <w:rPr>
          <w:noProof w:val="0"/>
        </w:rPr>
        <w:t>Reinforcement of the existing electricity distribution network through upgrades of substations and installation of modern communication equipment</w:t>
      </w:r>
      <w:r w:rsidR="00EE499B" w:rsidRPr="00866D96">
        <w:rPr>
          <w:noProof w:val="0"/>
        </w:rPr>
        <w:t>.</w:t>
      </w:r>
    </w:p>
    <w:p w14:paraId="5CBA100D" w14:textId="77777777" w:rsidR="00287D2D" w:rsidRPr="00866D96" w:rsidRDefault="00287D2D" w:rsidP="00B1153E">
      <w:pPr>
        <w:pStyle w:val="DBulletlevel1"/>
        <w:spacing w:line="276" w:lineRule="auto"/>
        <w:rPr>
          <w:noProof w:val="0"/>
        </w:rPr>
      </w:pPr>
      <w:r w:rsidRPr="00866D96">
        <w:rPr>
          <w:noProof w:val="0"/>
        </w:rPr>
        <w:t>Rehabilitation of the existing power plants</w:t>
      </w:r>
      <w:r w:rsidR="00EE499B" w:rsidRPr="00866D96">
        <w:rPr>
          <w:noProof w:val="0"/>
        </w:rPr>
        <w:t>.</w:t>
      </w:r>
    </w:p>
    <w:p w14:paraId="6906AFD1" w14:textId="77777777" w:rsidR="00287D2D" w:rsidRPr="006122EE" w:rsidRDefault="00287D2D" w:rsidP="00B1153E">
      <w:pPr>
        <w:keepNext/>
        <w:spacing w:before="240" w:line="276" w:lineRule="auto"/>
        <w:ind w:left="340"/>
        <w:outlineLvl w:val="4"/>
        <w:rPr>
          <w:b/>
          <w:color w:val="3C8A2E" w:themeColor="accent4"/>
          <w:lang w:eastAsia="fr-FR"/>
        </w:rPr>
      </w:pPr>
      <w:r w:rsidRPr="006122EE">
        <w:rPr>
          <w:b/>
          <w:color w:val="3C8A2E" w:themeColor="accent4"/>
          <w:lang w:eastAsia="fr-FR"/>
        </w:rPr>
        <w:tab/>
        <w:t>Institutional approach</w:t>
      </w:r>
    </w:p>
    <w:p w14:paraId="4093D0BF" w14:textId="77777777" w:rsidR="00287D2D" w:rsidRPr="006122EE" w:rsidRDefault="00287D2D" w:rsidP="00B1153E">
      <w:pPr>
        <w:spacing w:line="276" w:lineRule="auto"/>
        <w:rPr>
          <w:b/>
          <w:lang w:eastAsia="en-US"/>
        </w:rPr>
      </w:pPr>
      <w:r w:rsidRPr="006122EE">
        <w:rPr>
          <w:b/>
          <w:lang w:eastAsia="en-US"/>
        </w:rPr>
        <w:t xml:space="preserve">National EE </w:t>
      </w:r>
      <w:r w:rsidR="002D13D4" w:rsidRPr="006122EE">
        <w:rPr>
          <w:b/>
          <w:lang w:eastAsia="en-US"/>
        </w:rPr>
        <w:t>Committee</w:t>
      </w:r>
    </w:p>
    <w:p w14:paraId="01BC17D7" w14:textId="77777777" w:rsidR="00287D2D" w:rsidRPr="006122EE" w:rsidRDefault="00287D2D" w:rsidP="00B1153E">
      <w:pPr>
        <w:spacing w:line="276" w:lineRule="auto"/>
        <w:rPr>
          <w:lang w:eastAsia="en-US"/>
        </w:rPr>
      </w:pPr>
      <w:r w:rsidRPr="006122EE">
        <w:rPr>
          <w:lang w:eastAsia="en-US"/>
        </w:rPr>
        <w:t xml:space="preserve">Establishing a specialized body to supervise and administer all EE related activities in Malawi will undoubtedly underpin country`s aspirations towards achieving more balanced and sound energy system. This </w:t>
      </w:r>
      <w:r w:rsidR="002D13D4" w:rsidRPr="006122EE">
        <w:rPr>
          <w:lang w:eastAsia="en-US"/>
        </w:rPr>
        <w:t>will be a</w:t>
      </w:r>
      <w:r w:rsidRPr="006122EE">
        <w:rPr>
          <w:lang w:eastAsia="en-US"/>
        </w:rPr>
        <w:t xml:space="preserve"> dedicated unit within the Ministry of Natural resources, Energy and Mining. </w:t>
      </w:r>
      <w:r w:rsidR="007F0BC7" w:rsidRPr="006122EE">
        <w:rPr>
          <w:lang w:eastAsia="en-US"/>
        </w:rPr>
        <w:t xml:space="preserve">The </w:t>
      </w:r>
      <w:r w:rsidR="002D13D4" w:rsidRPr="006122EE">
        <w:rPr>
          <w:lang w:eastAsia="en-US"/>
        </w:rPr>
        <w:t xml:space="preserve">committee </w:t>
      </w:r>
      <w:r w:rsidR="007F0BC7" w:rsidRPr="006122EE">
        <w:rPr>
          <w:lang w:eastAsia="en-US"/>
        </w:rPr>
        <w:t>will be established as a body with strong technical skills, dedicated to implementing the national energy efficiency policy</w:t>
      </w:r>
      <w:r w:rsidR="007F0BC7" w:rsidRPr="006122EE">
        <w:rPr>
          <w:rStyle w:val="FootnoteReference"/>
          <w:lang w:eastAsia="en-US"/>
        </w:rPr>
        <w:footnoteReference w:id="82"/>
      </w:r>
      <w:r w:rsidR="007F0BC7" w:rsidRPr="006122EE">
        <w:rPr>
          <w:lang w:eastAsia="en-US"/>
        </w:rPr>
        <w:t xml:space="preserve"> and</w:t>
      </w:r>
      <w:r w:rsidRPr="006122EE">
        <w:rPr>
          <w:lang w:eastAsia="en-US"/>
        </w:rPr>
        <w:t xml:space="preserve"> will have the following powers and responsibilities to:</w:t>
      </w:r>
    </w:p>
    <w:p w14:paraId="27EB4E87" w14:textId="77777777" w:rsidR="00287D2D" w:rsidRPr="00866D96" w:rsidRDefault="00287D2D" w:rsidP="00B1153E">
      <w:pPr>
        <w:pStyle w:val="DBulletlevel1"/>
        <w:spacing w:line="276" w:lineRule="auto"/>
        <w:rPr>
          <w:noProof w:val="0"/>
        </w:rPr>
      </w:pPr>
      <w:r w:rsidRPr="00866D96">
        <w:rPr>
          <w:noProof w:val="0"/>
        </w:rPr>
        <w:t>Supervise and follow the achievement of the nationally determined annual targets for energy savings and RE potential utilization</w:t>
      </w:r>
      <w:r w:rsidR="00EE499B" w:rsidRPr="00866D96">
        <w:rPr>
          <w:noProof w:val="0"/>
        </w:rPr>
        <w:t>.</w:t>
      </w:r>
    </w:p>
    <w:p w14:paraId="09304619" w14:textId="77777777" w:rsidR="00287D2D" w:rsidRPr="00866D96" w:rsidRDefault="00287D2D" w:rsidP="00B1153E">
      <w:pPr>
        <w:pStyle w:val="DBulletlevel1"/>
        <w:spacing w:line="276" w:lineRule="auto"/>
        <w:rPr>
          <w:noProof w:val="0"/>
        </w:rPr>
      </w:pPr>
      <w:r w:rsidRPr="00866D96">
        <w:rPr>
          <w:noProof w:val="0"/>
        </w:rPr>
        <w:t>Actively participate in the development of drafts for EE and RE related national legislation and bylaws</w:t>
      </w:r>
      <w:r w:rsidR="00EE499B" w:rsidRPr="00866D96">
        <w:rPr>
          <w:noProof w:val="0"/>
        </w:rPr>
        <w:t>.</w:t>
      </w:r>
    </w:p>
    <w:p w14:paraId="1BFDE847" w14:textId="77777777" w:rsidR="00287D2D" w:rsidRPr="00866D96" w:rsidRDefault="00287D2D" w:rsidP="00B1153E">
      <w:pPr>
        <w:pStyle w:val="DBulletlevel1"/>
        <w:spacing w:line="276" w:lineRule="auto"/>
        <w:rPr>
          <w:noProof w:val="0"/>
        </w:rPr>
      </w:pPr>
      <w:r w:rsidRPr="00866D96">
        <w:rPr>
          <w:noProof w:val="0"/>
        </w:rPr>
        <w:t>Develop national energy savings measurement methodologies (based on internationally accepted protocols)</w:t>
      </w:r>
      <w:r w:rsidR="00EE499B" w:rsidRPr="00866D96">
        <w:rPr>
          <w:noProof w:val="0"/>
        </w:rPr>
        <w:t>.</w:t>
      </w:r>
    </w:p>
    <w:p w14:paraId="76C4B24C" w14:textId="77777777" w:rsidR="00287D2D" w:rsidRPr="00866D96" w:rsidRDefault="00287D2D" w:rsidP="00B1153E">
      <w:pPr>
        <w:pStyle w:val="DBulletlevel1"/>
        <w:spacing w:line="276" w:lineRule="auto"/>
        <w:rPr>
          <w:noProof w:val="0"/>
        </w:rPr>
      </w:pPr>
      <w:r w:rsidRPr="00866D96">
        <w:rPr>
          <w:noProof w:val="0"/>
        </w:rPr>
        <w:t>Issue national energy auditing guidelines for buildings and industrial processes</w:t>
      </w:r>
      <w:r w:rsidR="00EE499B" w:rsidRPr="00866D96">
        <w:rPr>
          <w:noProof w:val="0"/>
        </w:rPr>
        <w:t>.</w:t>
      </w:r>
    </w:p>
    <w:p w14:paraId="72F90AE3" w14:textId="77777777" w:rsidR="00287D2D" w:rsidRPr="00866D96" w:rsidRDefault="00287D2D" w:rsidP="00B1153E">
      <w:pPr>
        <w:pStyle w:val="DBulletlevel1"/>
        <w:spacing w:line="276" w:lineRule="auto"/>
        <w:rPr>
          <w:noProof w:val="0"/>
        </w:rPr>
      </w:pPr>
      <w:r w:rsidRPr="00866D96">
        <w:rPr>
          <w:noProof w:val="0"/>
        </w:rPr>
        <w:t>Together with the MoNREM determine specific EE targets for large energy consumers</w:t>
      </w:r>
      <w:r w:rsidR="00EE499B" w:rsidRPr="00866D96">
        <w:rPr>
          <w:noProof w:val="0"/>
        </w:rPr>
        <w:t>.</w:t>
      </w:r>
    </w:p>
    <w:p w14:paraId="57239B47" w14:textId="77777777" w:rsidR="00287D2D" w:rsidRPr="00866D96" w:rsidRDefault="00287D2D" w:rsidP="00B1153E">
      <w:pPr>
        <w:pStyle w:val="DBulletlevel1"/>
        <w:spacing w:line="276" w:lineRule="auto"/>
        <w:rPr>
          <w:noProof w:val="0"/>
        </w:rPr>
      </w:pPr>
      <w:r w:rsidRPr="00866D96">
        <w:rPr>
          <w:noProof w:val="0"/>
        </w:rPr>
        <w:t>Collect and record energy savings related data and follow for compliance with the specific EE targets set for large energy consumers</w:t>
      </w:r>
      <w:r w:rsidR="00EE499B" w:rsidRPr="00866D96">
        <w:rPr>
          <w:noProof w:val="0"/>
        </w:rPr>
        <w:t>.</w:t>
      </w:r>
    </w:p>
    <w:p w14:paraId="0C08D387" w14:textId="77777777" w:rsidR="00287D2D" w:rsidRPr="00866D96" w:rsidRDefault="00287D2D" w:rsidP="00B1153E">
      <w:pPr>
        <w:pStyle w:val="DBulletlevel1"/>
        <w:spacing w:line="276" w:lineRule="auto"/>
        <w:rPr>
          <w:noProof w:val="0"/>
        </w:rPr>
      </w:pPr>
      <w:r w:rsidRPr="00866D96">
        <w:rPr>
          <w:noProof w:val="0"/>
        </w:rPr>
        <w:t>Issue certificates for energy auditors and maintain a list of certified auditors and auditing firms</w:t>
      </w:r>
      <w:r w:rsidR="00EE499B" w:rsidRPr="00866D96">
        <w:rPr>
          <w:noProof w:val="0"/>
        </w:rPr>
        <w:t>.</w:t>
      </w:r>
    </w:p>
    <w:p w14:paraId="49A7A8A0" w14:textId="77777777" w:rsidR="00287D2D" w:rsidRPr="00866D96" w:rsidRDefault="00287D2D" w:rsidP="00B1153E">
      <w:pPr>
        <w:pStyle w:val="DBulletlevel1"/>
        <w:spacing w:line="276" w:lineRule="auto"/>
        <w:rPr>
          <w:noProof w:val="0"/>
        </w:rPr>
      </w:pPr>
      <w:r w:rsidRPr="00866D96">
        <w:rPr>
          <w:noProof w:val="0"/>
        </w:rPr>
        <w:t>Organize energy management and energy audit training events</w:t>
      </w:r>
      <w:r w:rsidR="00EE499B" w:rsidRPr="00866D96">
        <w:rPr>
          <w:noProof w:val="0"/>
        </w:rPr>
        <w:t>.</w:t>
      </w:r>
    </w:p>
    <w:p w14:paraId="3FFCE003" w14:textId="77777777" w:rsidR="00494239" w:rsidRPr="00866D96" w:rsidRDefault="00494239" w:rsidP="00B1153E">
      <w:pPr>
        <w:pStyle w:val="DBulletlevel1"/>
        <w:numPr>
          <w:ilvl w:val="0"/>
          <w:numId w:val="0"/>
        </w:numPr>
        <w:spacing w:line="276" w:lineRule="auto"/>
        <w:rPr>
          <w:noProof w:val="0"/>
        </w:rPr>
      </w:pPr>
      <w:r w:rsidRPr="00866D96">
        <w:rPr>
          <w:noProof w:val="0"/>
        </w:rPr>
        <w:t xml:space="preserve">Acknowledging the fact that the experience of industrialized countries across Europe and Asia shows the need of a National Energy Efficiency </w:t>
      </w:r>
      <w:r w:rsidR="002D13D4" w:rsidRPr="00866D96">
        <w:rPr>
          <w:noProof w:val="0"/>
        </w:rPr>
        <w:t xml:space="preserve">Committee </w:t>
      </w:r>
      <w:r w:rsidRPr="00866D96">
        <w:rPr>
          <w:noProof w:val="0"/>
        </w:rPr>
        <w:t>to coordinate, promote and monitor EE related activities at country level, the SE4ALL Working Group members reached a consensus that setting up such a</w:t>
      </w:r>
      <w:r w:rsidR="002D13D4" w:rsidRPr="00866D96">
        <w:rPr>
          <w:noProof w:val="0"/>
        </w:rPr>
        <w:t xml:space="preserve"> committee</w:t>
      </w:r>
      <w:r w:rsidRPr="00866D96">
        <w:rPr>
          <w:noProof w:val="0"/>
        </w:rPr>
        <w:t xml:space="preserve"> in </w:t>
      </w:r>
      <w:r w:rsidR="00A000FA" w:rsidRPr="00866D96">
        <w:rPr>
          <w:noProof w:val="0"/>
        </w:rPr>
        <w:t>Malawi</w:t>
      </w:r>
      <w:r w:rsidRPr="00866D96">
        <w:rPr>
          <w:noProof w:val="0"/>
        </w:rPr>
        <w:t xml:space="preserve"> is not considered a priority in the short term.</w:t>
      </w:r>
      <w:r w:rsidR="00AF48CC">
        <w:rPr>
          <w:noProof w:val="0"/>
        </w:rPr>
        <w:t xml:space="preserve"> </w:t>
      </w:r>
      <w:r w:rsidRPr="00866D96">
        <w:rPr>
          <w:noProof w:val="0"/>
        </w:rPr>
        <w:t xml:space="preserve">The National EE </w:t>
      </w:r>
      <w:r w:rsidR="002D13D4" w:rsidRPr="00866D96">
        <w:rPr>
          <w:noProof w:val="0"/>
        </w:rPr>
        <w:t>committee</w:t>
      </w:r>
      <w:r w:rsidRPr="00866D96">
        <w:rPr>
          <w:noProof w:val="0"/>
        </w:rPr>
        <w:t xml:space="preserve"> will be established</w:t>
      </w:r>
      <w:r w:rsidR="00A000FA" w:rsidRPr="00866D96">
        <w:rPr>
          <w:noProof w:val="0"/>
        </w:rPr>
        <w:t xml:space="preserve"> after a national survey of the EE situation in Malawi and rigorous analysis of the impact that such an inst</w:t>
      </w:r>
      <w:r w:rsidR="00AF48CC">
        <w:rPr>
          <w:noProof w:val="0"/>
        </w:rPr>
        <w:t>i</w:t>
      </w:r>
      <w:r w:rsidR="00A000FA" w:rsidRPr="00866D96">
        <w:rPr>
          <w:noProof w:val="0"/>
        </w:rPr>
        <w:t xml:space="preserve">tution may have on the EE market in the country. The </w:t>
      </w:r>
      <w:r w:rsidR="002D13D4" w:rsidRPr="00866D96">
        <w:rPr>
          <w:noProof w:val="0"/>
        </w:rPr>
        <w:t xml:space="preserve">committee </w:t>
      </w:r>
      <w:r w:rsidR="00A000FA" w:rsidRPr="00866D96">
        <w:rPr>
          <w:noProof w:val="0"/>
        </w:rPr>
        <w:t>will therefore not</w:t>
      </w:r>
      <w:r w:rsidRPr="00866D96">
        <w:rPr>
          <w:noProof w:val="0"/>
        </w:rPr>
        <w:t xml:space="preserve"> become operational </w:t>
      </w:r>
      <w:r w:rsidR="00A000FA" w:rsidRPr="00866D96">
        <w:rPr>
          <w:noProof w:val="0"/>
        </w:rPr>
        <w:t>earlier than</w:t>
      </w:r>
      <w:r w:rsidRPr="00866D96">
        <w:rPr>
          <w:noProof w:val="0"/>
        </w:rPr>
        <w:t xml:space="preserve"> 202</w:t>
      </w:r>
      <w:r w:rsidR="00A000FA" w:rsidRPr="00866D96">
        <w:rPr>
          <w:noProof w:val="0"/>
        </w:rPr>
        <w:t>3</w:t>
      </w:r>
      <w:r w:rsidRPr="00866D96">
        <w:rPr>
          <w:noProof w:val="0"/>
        </w:rPr>
        <w:t>.</w:t>
      </w:r>
    </w:p>
    <w:p w14:paraId="632A9D6B" w14:textId="77777777" w:rsidR="00287D2D" w:rsidRPr="006122EE" w:rsidRDefault="00287D2D" w:rsidP="00B1153E">
      <w:pPr>
        <w:spacing w:line="276" w:lineRule="auto"/>
        <w:rPr>
          <w:b/>
          <w:lang w:eastAsia="en-US"/>
        </w:rPr>
      </w:pPr>
      <w:r w:rsidRPr="006122EE">
        <w:rPr>
          <w:b/>
          <w:lang w:eastAsia="en-US"/>
        </w:rPr>
        <w:t>EE and RE technical excellence centre</w:t>
      </w:r>
    </w:p>
    <w:p w14:paraId="74E5F2E6" w14:textId="77777777" w:rsidR="00287D2D" w:rsidRPr="006122EE" w:rsidRDefault="00287D2D" w:rsidP="00B1153E">
      <w:pPr>
        <w:spacing w:line="276" w:lineRule="auto"/>
        <w:rPr>
          <w:lang w:eastAsia="en-US"/>
        </w:rPr>
      </w:pPr>
      <w:r w:rsidRPr="006122EE">
        <w:rPr>
          <w:lang w:eastAsia="en-US"/>
        </w:rPr>
        <w:t xml:space="preserve">To efficiently apply MEPS and promote energy performance labelling programs, Malawi will set up technical excellence centre to carry out activities such as: i) testing the energy performance of imported or locally produced equipment and appliances; ii) defining national energy performance standard thresholds, etc. This </w:t>
      </w:r>
      <w:r w:rsidR="002E6948" w:rsidRPr="006122EE">
        <w:rPr>
          <w:lang w:eastAsia="en-US"/>
        </w:rPr>
        <w:t xml:space="preserve">will </w:t>
      </w:r>
      <w:r w:rsidRPr="006122EE">
        <w:rPr>
          <w:lang w:eastAsia="en-US"/>
        </w:rPr>
        <w:t>be vested as a unit in the Malawi Bureau of Standards or established as an independent entity. NEP acknowledges that a robust energy policy and planning process should necessarily involve development of a high quality data collection, recording, storage and analysis system. The technical excellence centre will play a key role in responding to NEP`s call. The data collected and analysed will create enabling environment for a highly efficient policy making and target setting process. Implementation of a sound set of monitoring and verification (M&amp;V) methodologies and procedures will be of utmost importance to</w:t>
      </w:r>
      <w:r w:rsidR="00FE7056" w:rsidRPr="006122EE">
        <w:rPr>
          <w:lang w:eastAsia="en-US"/>
        </w:rPr>
        <w:t xml:space="preserve"> SE4ALL</w:t>
      </w:r>
      <w:r w:rsidR="00FE7056" w:rsidRPr="006122EE" w:rsidDel="00FE7056">
        <w:rPr>
          <w:lang w:eastAsia="en-US"/>
        </w:rPr>
        <w:t xml:space="preserve"> </w:t>
      </w:r>
      <w:r w:rsidRPr="006122EE">
        <w:rPr>
          <w:lang w:eastAsia="en-US"/>
        </w:rPr>
        <w:t xml:space="preserve">coordination and follow up process and will allow the </w:t>
      </w:r>
      <w:r w:rsidR="00337B1E" w:rsidRPr="006122EE">
        <w:rPr>
          <w:lang w:eastAsia="en-US"/>
        </w:rPr>
        <w:t>g</w:t>
      </w:r>
      <w:r w:rsidRPr="006122EE">
        <w:rPr>
          <w:lang w:eastAsia="en-US"/>
        </w:rPr>
        <w:t xml:space="preserve">overnment and the </w:t>
      </w:r>
      <w:r w:rsidR="00FE7056" w:rsidRPr="006122EE">
        <w:rPr>
          <w:lang w:eastAsia="en-US"/>
        </w:rPr>
        <w:t>SE4ALL</w:t>
      </w:r>
      <w:r w:rsidRPr="006122EE">
        <w:rPr>
          <w:lang w:eastAsia="en-US"/>
        </w:rPr>
        <w:t xml:space="preserve"> regional hub to precisely assess the progress of the initiative and to timely intervene by policy adjustments when needed. Energy Valuation Organization's (EVO) International Performance Measurement and Verification Protocol (IPMVP) provides an overview of current best practice techniques available for verifying results of energy efficiency, water efficiency, and renewable energy projects in commercial and industrial facilities and may also be used by facility operators to assess and improve facility performance. IPMVP presents common principles and terms that are widely accepted as basic to any good M&amp;V process and can be easily adopted in Malawi. The Technical excellence unit will gather record and process the feedback data derived through M&amp;V activities and will make this information available for all </w:t>
      </w:r>
      <w:r w:rsidR="00FE7056" w:rsidRPr="006122EE">
        <w:rPr>
          <w:lang w:eastAsia="en-US"/>
        </w:rPr>
        <w:t>SE4ALL</w:t>
      </w:r>
      <w:r w:rsidR="00FE7056" w:rsidRPr="006122EE" w:rsidDel="00FE7056">
        <w:rPr>
          <w:lang w:eastAsia="en-US"/>
        </w:rPr>
        <w:t xml:space="preserve"> </w:t>
      </w:r>
      <w:r w:rsidR="007B1401" w:rsidRPr="006122EE">
        <w:rPr>
          <w:lang w:eastAsia="en-US"/>
        </w:rPr>
        <w:t>l</w:t>
      </w:r>
      <w:r w:rsidRPr="006122EE">
        <w:rPr>
          <w:lang w:eastAsia="en-US"/>
        </w:rPr>
        <w:t xml:space="preserve"> stakeholders and other interested parties. The set-up and operation of this unit will be partly funded by the </w:t>
      </w:r>
      <w:r w:rsidR="00337B1E" w:rsidRPr="006122EE">
        <w:rPr>
          <w:lang w:eastAsia="en-US"/>
        </w:rPr>
        <w:t>g</w:t>
      </w:r>
      <w:r w:rsidRPr="006122EE">
        <w:rPr>
          <w:lang w:eastAsia="en-US"/>
        </w:rPr>
        <w:t>overnment (</w:t>
      </w:r>
      <w:r w:rsidR="00337B1E" w:rsidRPr="006122EE">
        <w:rPr>
          <w:lang w:eastAsia="en-US"/>
        </w:rPr>
        <w:t xml:space="preserve">through </w:t>
      </w:r>
      <w:r w:rsidRPr="006122EE">
        <w:rPr>
          <w:lang w:eastAsia="en-US"/>
        </w:rPr>
        <w:t xml:space="preserve">MoNREM), while equipment testing fees (payable by local producers and importers) data access subscription charges (payable by various EE/RE stakeholders for access to the centre`s database) will complement the budget revenue. The technical excellence centre will operate in close collaboration with the National energy management training centre, sharing expertise and joining efforts to promote the most current EE trends and technologies in Malawi.  </w:t>
      </w:r>
    </w:p>
    <w:p w14:paraId="34A46A60" w14:textId="77777777" w:rsidR="00287D2D" w:rsidRPr="00866D96" w:rsidRDefault="00287D2D" w:rsidP="00B1153E">
      <w:pPr>
        <w:pStyle w:val="CSubtitle2"/>
        <w:spacing w:line="276" w:lineRule="auto"/>
        <w:rPr>
          <w:noProof w:val="0"/>
          <w:lang w:val="en-GB"/>
        </w:rPr>
      </w:pPr>
      <w:r w:rsidRPr="00866D96">
        <w:rPr>
          <w:noProof w:val="0"/>
          <w:lang w:val="en-GB"/>
        </w:rPr>
        <w:t>Possible Financing solutions</w:t>
      </w:r>
    </w:p>
    <w:p w14:paraId="2291B26E" w14:textId="77777777" w:rsidR="00287D2D" w:rsidRPr="006122EE" w:rsidRDefault="00287D2D" w:rsidP="00B1153E">
      <w:pPr>
        <w:spacing w:line="276" w:lineRule="auto"/>
        <w:rPr>
          <w:b/>
          <w:lang w:eastAsia="en-US"/>
        </w:rPr>
      </w:pPr>
      <w:r w:rsidRPr="006122EE">
        <w:rPr>
          <w:b/>
          <w:lang w:eastAsia="en-US"/>
        </w:rPr>
        <w:t>Utility</w:t>
      </w:r>
      <w:r w:rsidR="002E6948" w:rsidRPr="006122EE">
        <w:rPr>
          <w:b/>
          <w:lang w:eastAsia="en-US"/>
        </w:rPr>
        <w:t xml:space="preserve"> – On-the-bill financing mechanisms</w:t>
      </w:r>
    </w:p>
    <w:p w14:paraId="4A76D95D" w14:textId="77777777" w:rsidR="00287D2D" w:rsidRPr="006122EE" w:rsidRDefault="00287D2D" w:rsidP="00B1153E">
      <w:pPr>
        <w:spacing w:line="276" w:lineRule="auto"/>
        <w:rPr>
          <w:lang w:eastAsia="en-US"/>
        </w:rPr>
      </w:pPr>
      <w:r w:rsidRPr="006122EE">
        <w:rPr>
          <w:lang w:eastAsia="en-US"/>
        </w:rPr>
        <w:t xml:space="preserve">The Utility may play a key role for amplifying the penetration of DSM technologies in both the domestic and the industrial sector. ESCOM, together with vendors of efficient domestic appliances or industrial equipment as well as local banks will set up financing campaigns. The end-user can obtain a loan (from a bank) or deferred payment scheme (from </w:t>
      </w:r>
      <w:r w:rsidRPr="00866D96">
        <w:rPr>
          <w:lang w:eastAsia="en-US"/>
        </w:rPr>
        <w:t>a</w:t>
      </w:r>
      <w:r w:rsidRPr="006122EE">
        <w:rPr>
          <w:lang w:eastAsia="en-US"/>
        </w:rPr>
        <w:t xml:space="preserve"> vendor) to finance acquisition of an energy efficient appliance or machinery while the repayment is made in instalments through the electricity bill (or the pre-paid voucher). This financing channel may be used for mass scale promotion of efficient solar water heaters, efficient lighting fixtures and bulbs, cook stoves and other electric energy performance certified appliances and equipment.</w:t>
      </w:r>
      <w:r w:rsidR="002E6948" w:rsidRPr="006122EE">
        <w:t xml:space="preserve"> </w:t>
      </w:r>
      <w:r w:rsidR="002E6948" w:rsidRPr="006122EE">
        <w:rPr>
          <w:lang w:eastAsia="en-US"/>
        </w:rPr>
        <w:t>To ensure early stage success and pave the way to scaling up similar financing schemes, the ESCOM should launch an on-the bill financing program for efficient lightbulbs by the end of 2017.</w:t>
      </w:r>
    </w:p>
    <w:p w14:paraId="4C7D8F7D" w14:textId="77777777" w:rsidR="00287D2D" w:rsidRPr="006122EE" w:rsidRDefault="00287D2D" w:rsidP="00B1153E">
      <w:pPr>
        <w:spacing w:line="276" w:lineRule="auto"/>
        <w:rPr>
          <w:b/>
          <w:lang w:eastAsia="en-US"/>
        </w:rPr>
      </w:pPr>
      <w:r w:rsidRPr="006122EE">
        <w:rPr>
          <w:b/>
          <w:lang w:eastAsia="en-US"/>
        </w:rPr>
        <w:t xml:space="preserve">Private banks – specialized EE credit lines </w:t>
      </w:r>
    </w:p>
    <w:p w14:paraId="07F68BED" w14:textId="77777777" w:rsidR="00287D2D" w:rsidRPr="006122EE" w:rsidRDefault="00287D2D" w:rsidP="00B1153E">
      <w:pPr>
        <w:spacing w:line="276" w:lineRule="auto"/>
        <w:rPr>
          <w:lang w:eastAsia="en-US"/>
        </w:rPr>
      </w:pPr>
      <w:r w:rsidRPr="006122EE">
        <w:rPr>
          <w:lang w:eastAsia="en-US"/>
        </w:rPr>
        <w:t>Local commercial banks</w:t>
      </w:r>
      <w:r w:rsidR="009C6ECE" w:rsidRPr="006122EE">
        <w:rPr>
          <w:lang w:eastAsia="en-US"/>
        </w:rPr>
        <w:t>, despite their high interest rates, can</w:t>
      </w:r>
      <w:r w:rsidRPr="006122EE">
        <w:rPr>
          <w:lang w:eastAsia="en-US"/>
        </w:rPr>
        <w:t xml:space="preserve"> play </w:t>
      </w:r>
      <w:r w:rsidR="009C6ECE" w:rsidRPr="006122EE">
        <w:rPr>
          <w:lang w:eastAsia="en-US"/>
        </w:rPr>
        <w:t xml:space="preserve">a </w:t>
      </w:r>
      <w:r w:rsidRPr="006122EE">
        <w:rPr>
          <w:lang w:eastAsia="en-US"/>
        </w:rPr>
        <w:t xml:space="preserve">key role in the development of </w:t>
      </w:r>
      <w:r w:rsidR="009C6ECE" w:rsidRPr="006122EE">
        <w:rPr>
          <w:lang w:eastAsia="en-US"/>
        </w:rPr>
        <w:t>an</w:t>
      </w:r>
      <w:r w:rsidRPr="006122EE">
        <w:rPr>
          <w:lang w:eastAsia="en-US"/>
        </w:rPr>
        <w:t xml:space="preserve"> EE and RE financial products market and will serve as major channel for passing international money to the local households and business. With their extensive branch networks, excellent understanding of the market and sound loan approval rules and processes, the LFIs will greatly help streaml</w:t>
      </w:r>
      <w:r w:rsidR="009C6ECE" w:rsidRPr="006122EE">
        <w:rPr>
          <w:lang w:eastAsia="en-US"/>
        </w:rPr>
        <w:t>ine the EE/RE financing</w:t>
      </w:r>
      <w:r w:rsidRPr="006122EE">
        <w:rPr>
          <w:lang w:eastAsia="en-US"/>
        </w:rPr>
        <w:t>. To motivate the local banks to engage in EE/RE financing</w:t>
      </w:r>
      <w:r w:rsidR="009C6ECE" w:rsidRPr="006122EE">
        <w:rPr>
          <w:lang w:eastAsia="en-US"/>
        </w:rPr>
        <w:t>, the g</w:t>
      </w:r>
      <w:r w:rsidRPr="006122EE">
        <w:rPr>
          <w:lang w:eastAsia="en-US"/>
        </w:rPr>
        <w:t xml:space="preserve">overnment (through the MoNREM, MERA or other units) will offer free technical assistance and capacity building to those banks willing to participate in dedicated financing programs. Special attention will be paid to developing special financing products for local producers of fuel efficient cook stoves. This industry niche, predominantly occupied by women, will need specialized financing solutions in order to build capacity to meet the growing demand over the next years. </w:t>
      </w:r>
    </w:p>
    <w:p w14:paraId="1862AA96" w14:textId="77777777" w:rsidR="00287D2D" w:rsidRPr="006122EE" w:rsidRDefault="00287D2D" w:rsidP="00B1153E">
      <w:pPr>
        <w:spacing w:line="276" w:lineRule="auto"/>
        <w:rPr>
          <w:b/>
          <w:lang w:eastAsia="en-US"/>
        </w:rPr>
      </w:pPr>
      <w:r w:rsidRPr="006122EE">
        <w:rPr>
          <w:b/>
          <w:lang w:eastAsia="en-US"/>
        </w:rPr>
        <w:t>International and Bilateral Financial Institutions and Partners</w:t>
      </w:r>
    </w:p>
    <w:p w14:paraId="1C370BC5" w14:textId="77777777" w:rsidR="0065472F" w:rsidRPr="006122EE" w:rsidRDefault="00287D2D" w:rsidP="00B1153E">
      <w:pPr>
        <w:spacing w:line="276" w:lineRule="auto"/>
        <w:rPr>
          <w:lang w:eastAsia="en-US"/>
        </w:rPr>
      </w:pPr>
      <w:r w:rsidRPr="006122EE">
        <w:rPr>
          <w:lang w:eastAsia="en-US"/>
        </w:rPr>
        <w:t xml:space="preserve">Malawi is attracting </w:t>
      </w:r>
      <w:r w:rsidR="009C6ECE" w:rsidRPr="006122EE">
        <w:rPr>
          <w:lang w:eastAsia="en-US"/>
        </w:rPr>
        <w:t>increasing amounts of</w:t>
      </w:r>
      <w:r w:rsidRPr="006122EE">
        <w:rPr>
          <w:lang w:eastAsia="en-US"/>
        </w:rPr>
        <w:t xml:space="preserve"> international capital for climate change projects and is building expertise which will further enhance improved access to EE dedicated international funds. As a result, the country will be able to access grant financing and credit lines at competitive rates. The injection of fresh capital will unlock growth opportunities across all sectors which will undoubtedly underpin the sustainable growth of the Malawian economy, rendering it more competitive at the regional and international markets. The Government of Malawi has already made its first steps to accessing international EE funds by designating the Environmental Affairs Department as the Designated National Authority (DNA) of the UNFCCC and a national focal point </w:t>
      </w:r>
      <w:r w:rsidR="0065472F" w:rsidRPr="006122EE">
        <w:rPr>
          <w:lang w:eastAsia="en-US"/>
        </w:rPr>
        <w:t>to the Green Climate Fund (GCF). It has also designated NCST as the National Designated Entity (NDE) for the adaptation fund under the Kyoto Protocol of the United Nations Framework Convention on Climate Change.</w:t>
      </w:r>
      <w:r w:rsidRPr="006122EE">
        <w:rPr>
          <w:lang w:eastAsia="en-US"/>
        </w:rPr>
        <w:t xml:space="preserve"> </w:t>
      </w:r>
    </w:p>
    <w:p w14:paraId="06CB3ECA" w14:textId="77777777" w:rsidR="00287D2D" w:rsidRPr="006122EE" w:rsidRDefault="00287D2D" w:rsidP="00B1153E">
      <w:pPr>
        <w:spacing w:line="276" w:lineRule="auto"/>
        <w:rPr>
          <w:lang w:eastAsia="en-US"/>
        </w:rPr>
      </w:pPr>
      <w:r w:rsidRPr="006122EE">
        <w:rPr>
          <w:lang w:eastAsia="en-US"/>
        </w:rPr>
        <w:t>Other potential sources of concessional EE and RE financing are: the World Bank’s carbon funds, the Global Environment Facility (GEF), the African Development Bank (AfDB), African Sustainable Forestry Fund, the UNFCCC’s Adaptation Fund, The Global Climate Partnership Fund and many more international and bilateral financing institutions. To fully benefit from all available international EE financing opportunities Malawi is bound to create a “one-stop-shop” National Financial institution to meet all International lender`s transparency, environmental and social requirements and to serve as entry point to all potential investors. A Climate Change Fund as provided for in the National Climate Change Investment Plan may be accredited with the major financing sources, raise funds and pass them to the local final beneficiaries through all possible channels (local banks and leasing companies, government agencies, NGOs).</w:t>
      </w:r>
    </w:p>
    <w:p w14:paraId="3E348407" w14:textId="77777777" w:rsidR="00287D2D" w:rsidRPr="006122EE" w:rsidRDefault="00287D2D" w:rsidP="00B1153E">
      <w:pPr>
        <w:spacing w:line="276" w:lineRule="auto"/>
        <w:rPr>
          <w:b/>
          <w:lang w:eastAsia="en-US"/>
        </w:rPr>
      </w:pPr>
      <w:r w:rsidRPr="006122EE">
        <w:rPr>
          <w:b/>
          <w:lang w:eastAsia="en-US"/>
        </w:rPr>
        <w:t>Dedicated Climate Change Fund</w:t>
      </w:r>
    </w:p>
    <w:p w14:paraId="7FB9E6AB" w14:textId="77777777" w:rsidR="00287D2D" w:rsidRPr="006122EE" w:rsidRDefault="00287D2D" w:rsidP="00B1153E">
      <w:pPr>
        <w:spacing w:line="276" w:lineRule="auto"/>
        <w:rPr>
          <w:lang w:eastAsia="en-US"/>
        </w:rPr>
      </w:pPr>
      <w:r w:rsidRPr="006122EE">
        <w:rPr>
          <w:lang w:eastAsia="en-US"/>
        </w:rPr>
        <w:t>The lack of sufficient financing is often cited as being the major impediment for mainstreaming EE in developing countries. Usually the financial inflow is restrained due to high perceived level of risk associated with EE and RE projects among the local financial institutions as well as due to incoherent approach to the possible sources of financing at the national level. The Malawi National Climate Change Investment Plan provides for establishment of a Climate Change Fund (CCF) to raise money from development partners and provide technical and financial support to climate change related projects as well as to develop and invest in such projects in collaboration with international and local players. The new Fund will help Malawi to unlocking a massive inflow of IFI and bilateral financial institutions provided and private capital into the EE/RE financing market. The Fund will offer concessional financing (soft loans), credit guarantees and technical counsel to its clients. To overcome the high level of EE/RE risk perception of the local financial institutions and private investors, the Fund will invest sufficient resources in capacity building and awareness raising activities and will co-finance EE/RE projects together with the local banks.</w:t>
      </w:r>
    </w:p>
    <w:p w14:paraId="19D31E11" w14:textId="77777777" w:rsidR="004B25AA" w:rsidRPr="006122EE" w:rsidRDefault="00287D2D" w:rsidP="00B1153E">
      <w:pPr>
        <w:spacing w:line="276" w:lineRule="auto"/>
        <w:rPr>
          <w:lang w:eastAsia="en-US"/>
        </w:rPr>
      </w:pPr>
      <w:r w:rsidRPr="006122EE">
        <w:rPr>
          <w:lang w:eastAsia="en-US"/>
        </w:rPr>
        <w:t>Support from international and bilateral donors/lenders will be attained through meeting the</w:t>
      </w:r>
      <w:r w:rsidR="004B25AA" w:rsidRPr="006122EE">
        <w:rPr>
          <w:lang w:eastAsia="en-US"/>
        </w:rPr>
        <w:t xml:space="preserve"> following prudential criteria:</w:t>
      </w:r>
    </w:p>
    <w:p w14:paraId="53353409" w14:textId="77777777" w:rsidR="00287D2D" w:rsidRPr="006122EE" w:rsidRDefault="00287D2D" w:rsidP="00B1153E">
      <w:pPr>
        <w:pStyle w:val="ListParagraph"/>
        <w:numPr>
          <w:ilvl w:val="0"/>
          <w:numId w:val="133"/>
        </w:numPr>
        <w:spacing w:line="276" w:lineRule="auto"/>
        <w:rPr>
          <w:lang w:eastAsia="en-US"/>
        </w:rPr>
      </w:pPr>
      <w:r w:rsidRPr="006122EE">
        <w:rPr>
          <w:lang w:eastAsia="en-US"/>
        </w:rPr>
        <w:t>Transparent ownership and management structure: Notwithstanding that according to the NCCIP the CCF will be vested in the Ministry of Environment and Climate Change Management, appointing an independent and professional fund manager will give the Fund more credit before the International money providers. The Fund manager will be mandated through competitive and transparent procurement procedure.</w:t>
      </w:r>
    </w:p>
    <w:p w14:paraId="3B1A3083" w14:textId="77777777" w:rsidR="00287D2D" w:rsidRPr="006122EE" w:rsidRDefault="00287D2D" w:rsidP="00B1153E">
      <w:pPr>
        <w:pStyle w:val="ListParagraph"/>
        <w:numPr>
          <w:ilvl w:val="0"/>
          <w:numId w:val="133"/>
        </w:numPr>
        <w:spacing w:line="276" w:lineRule="auto"/>
        <w:rPr>
          <w:lang w:eastAsia="en-US"/>
        </w:rPr>
      </w:pPr>
      <w:r w:rsidRPr="006122EE">
        <w:rPr>
          <w:lang w:eastAsia="en-US"/>
        </w:rPr>
        <w:t>Social and Environmental responsibility: The Fund will adopt and comply with a set internationally accepted Environmental and Social safeguards</w:t>
      </w:r>
    </w:p>
    <w:p w14:paraId="76C3D300" w14:textId="77777777" w:rsidR="00287D2D" w:rsidRPr="006122EE" w:rsidRDefault="00287D2D" w:rsidP="00B1153E">
      <w:pPr>
        <w:pStyle w:val="ListParagraph"/>
        <w:numPr>
          <w:ilvl w:val="0"/>
          <w:numId w:val="133"/>
        </w:numPr>
        <w:spacing w:line="276" w:lineRule="auto"/>
        <w:rPr>
          <w:lang w:eastAsia="en-US"/>
        </w:rPr>
      </w:pPr>
      <w:r w:rsidRPr="006122EE">
        <w:rPr>
          <w:lang w:eastAsia="en-US"/>
        </w:rPr>
        <w:t xml:space="preserve">Publicity and reliability: The Fund will employ high fiduciary standards for accurate and regular recording of transaction and balances. It will frequently report its financial and technical performance to the Management Board, the </w:t>
      </w:r>
      <w:r w:rsidR="00337B1E" w:rsidRPr="006122EE">
        <w:rPr>
          <w:lang w:eastAsia="en-US"/>
        </w:rPr>
        <w:t>g</w:t>
      </w:r>
      <w:r w:rsidRPr="006122EE">
        <w:rPr>
          <w:lang w:eastAsia="en-US"/>
        </w:rPr>
        <w:t xml:space="preserve">overnment and all international donors, all reports to be made available to the general public as well. </w:t>
      </w:r>
    </w:p>
    <w:p w14:paraId="518296CB" w14:textId="77777777" w:rsidR="00287D2D" w:rsidRPr="006122EE" w:rsidRDefault="00287D2D" w:rsidP="00B1153E">
      <w:pPr>
        <w:pStyle w:val="ListParagraph"/>
        <w:numPr>
          <w:ilvl w:val="0"/>
          <w:numId w:val="133"/>
        </w:numPr>
        <w:spacing w:line="276" w:lineRule="auto"/>
        <w:rPr>
          <w:lang w:eastAsia="en-US"/>
        </w:rPr>
      </w:pPr>
      <w:r w:rsidRPr="006122EE">
        <w:rPr>
          <w:lang w:eastAsia="en-US"/>
        </w:rPr>
        <w:t xml:space="preserve">Equal treatment of all applicants: the Fund will provide financing to projects derived from the Public, Private and the NGO sectors, ensuring that all applicants will receive equal attention and all applications processed with equal diligence.  </w:t>
      </w:r>
    </w:p>
    <w:p w14:paraId="19DFC3E3" w14:textId="77777777" w:rsidR="00287D2D" w:rsidRPr="006122EE" w:rsidRDefault="00287D2D" w:rsidP="0089762C">
      <w:pPr>
        <w:keepNext/>
      </w:pPr>
      <w:r w:rsidRPr="00866D96">
        <w:rPr>
          <w:rFonts w:ascii="Times New Roman" w:hAnsi="Times New Roman"/>
          <w:noProof/>
          <w:color w:val="000000"/>
          <w:sz w:val="24"/>
          <w:lang w:val="en-US" w:eastAsia="en-US"/>
        </w:rPr>
        <mc:AlternateContent>
          <mc:Choice Requires="wpc">
            <w:drawing>
              <wp:inline distT="0" distB="0" distL="0" distR="0" wp14:anchorId="4FD65F9F" wp14:editId="6E1F48E0">
                <wp:extent cx="5730240" cy="4015740"/>
                <wp:effectExtent l="0" t="0" r="461010" b="2286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lgn="ctr">
                          <a:solidFill>
                            <a:srgbClr val="C0C0C0"/>
                          </a:solidFill>
                          <a:prstDash val="solid"/>
                          <a:miter lim="800000"/>
                          <a:headEnd type="none" w="med" len="med"/>
                          <a:tailEnd type="none" w="med" len="med"/>
                        </a:ln>
                      </wpc:whole>
                      <wps:wsp>
                        <wps:cNvPr id="28" name="Line 5"/>
                        <wps:cNvCnPr/>
                        <wps:spPr bwMode="auto">
                          <a:xfrm>
                            <a:off x="3359642" y="1202690"/>
                            <a:ext cx="635"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
                        <wps:cNvSpPr>
                          <a:spLocks noChangeArrowheads="1"/>
                        </wps:cNvSpPr>
                        <wps:spPr bwMode="auto">
                          <a:xfrm>
                            <a:off x="723757" y="207034"/>
                            <a:ext cx="1898015" cy="707365"/>
                          </a:xfrm>
                          <a:prstGeom prst="flowChartProcess">
                            <a:avLst/>
                          </a:prstGeom>
                          <a:solidFill>
                            <a:srgbClr val="99CCFF"/>
                          </a:solidFill>
                          <a:ln w="9525">
                            <a:solidFill>
                              <a:srgbClr val="000000"/>
                            </a:solidFill>
                            <a:miter lim="800000"/>
                            <a:headEnd/>
                            <a:tailEnd/>
                          </a:ln>
                          <a:effectLst>
                            <a:outerShdw sy="50000" kx="-2453608" rotWithShape="0">
                              <a:srgbClr val="808080">
                                <a:alpha val="50000"/>
                              </a:srgbClr>
                            </a:outerShdw>
                          </a:effectLst>
                        </wps:spPr>
                        <wps:txbx>
                          <w:txbxContent>
                            <w:p w14:paraId="0D7CEE14" w14:textId="77777777" w:rsidR="00B7022D" w:rsidRPr="00B16B5D" w:rsidRDefault="00B7022D" w:rsidP="00B509DD">
                              <w:pPr>
                                <w:spacing w:after="0"/>
                                <w:jc w:val="center"/>
                                <w:rPr>
                                  <w:rFonts w:eastAsia="Arial" w:cs="Arial"/>
                                  <w:b/>
                                  <w:color w:val="000000"/>
                                </w:rPr>
                              </w:pPr>
                              <w:r w:rsidRPr="00B16B5D">
                                <w:rPr>
                                  <w:rFonts w:eastAsia="Arial" w:cs="Arial"/>
                                  <w:b/>
                                  <w:color w:val="000000"/>
                                </w:rPr>
                                <w:t xml:space="preserve">Equity funding </w:t>
                              </w:r>
                            </w:p>
                            <w:p w14:paraId="0CC63F86" w14:textId="77777777" w:rsidR="00B7022D" w:rsidRPr="00B16B5D" w:rsidRDefault="00B7022D" w:rsidP="00B509DD">
                              <w:pPr>
                                <w:spacing w:after="0"/>
                                <w:jc w:val="center"/>
                              </w:pPr>
                              <w:r w:rsidRPr="00B16B5D">
                                <w:rPr>
                                  <w:rFonts w:eastAsia="Arial" w:cs="Arial"/>
                                  <w:color w:val="000000"/>
                                </w:rPr>
                                <w:t xml:space="preserve">Government of </w:t>
                              </w:r>
                              <w:r>
                                <w:rPr>
                                  <w:rFonts w:eastAsia="Arial" w:cs="Arial"/>
                                  <w:color w:val="000000"/>
                                </w:rPr>
                                <w:t>Malawi</w:t>
                              </w:r>
                              <w:r w:rsidRPr="00B16B5D">
                                <w:rPr>
                                  <w:rFonts w:eastAsia="Arial" w:cs="Arial"/>
                                  <w:color w:val="000000"/>
                                </w:rPr>
                                <w:t xml:space="preserve"> / Donor Agencies and IFIs</w:t>
                              </w:r>
                            </w:p>
                            <w:p w14:paraId="2C7FAB62" w14:textId="77777777" w:rsidR="00B7022D" w:rsidRPr="00874AC5" w:rsidRDefault="00B7022D" w:rsidP="00B509DD">
                              <w:pPr>
                                <w:jc w:val="center"/>
                                <w:rPr>
                                  <w:b/>
                                </w:rPr>
                              </w:pPr>
                            </w:p>
                          </w:txbxContent>
                        </wps:txbx>
                        <wps:bodyPr rot="0" vert="horz" wrap="square" lIns="91440" tIns="45720" rIns="91440" bIns="45720" anchor="t" anchorCtr="0" upright="1">
                          <a:noAutofit/>
                        </wps:bodyPr>
                      </wps:wsp>
                      <wps:wsp>
                        <wps:cNvPr id="30" name="AutoShape 9"/>
                        <wps:cNvCnPr>
                          <a:cxnSpLocks noChangeShapeType="1"/>
                        </wps:cNvCnPr>
                        <wps:spPr bwMode="auto">
                          <a:xfrm flipV="1">
                            <a:off x="1465612" y="1888785"/>
                            <a:ext cx="281795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
                        <wps:cNvCnPr/>
                        <wps:spPr bwMode="auto">
                          <a:xfrm>
                            <a:off x="3359007" y="935015"/>
                            <a:ext cx="635"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
                        <wps:cNvCnPr>
                          <a:cxnSpLocks noChangeShapeType="1"/>
                        </wps:cNvCnPr>
                        <wps:spPr bwMode="auto">
                          <a:xfrm rot="5400000" flipH="1">
                            <a:off x="3845417" y="1336676"/>
                            <a:ext cx="935990" cy="944880"/>
                          </a:xfrm>
                          <a:prstGeom prst="curvedConnector2">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3"/>
                        <wps:cNvCnPr>
                          <a:cxnSpLocks noChangeShapeType="1"/>
                        </wps:cNvCnPr>
                        <wps:spPr bwMode="auto">
                          <a:xfrm flipV="1">
                            <a:off x="1143491" y="1341121"/>
                            <a:ext cx="906781" cy="897890"/>
                          </a:xfrm>
                          <a:prstGeom prst="curvedConnector3">
                            <a:avLst>
                              <a:gd name="adj1" fmla="val -1260"/>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4"/>
                        <wps:cNvSpPr>
                          <a:spLocks noChangeArrowheads="1"/>
                        </wps:cNvSpPr>
                        <wps:spPr bwMode="auto">
                          <a:xfrm>
                            <a:off x="434340" y="2144349"/>
                            <a:ext cx="1473692" cy="736873"/>
                          </a:xfrm>
                          <a:prstGeom prst="flowChartProcess">
                            <a:avLst/>
                          </a:prstGeom>
                          <a:solidFill>
                            <a:srgbClr val="CCECFF"/>
                          </a:solidFill>
                          <a:ln w="9525">
                            <a:solidFill>
                              <a:srgbClr val="000000"/>
                            </a:solidFill>
                            <a:miter lim="800000"/>
                            <a:headEnd/>
                            <a:tailEnd/>
                          </a:ln>
                          <a:effectLst>
                            <a:outerShdw sy="50000" kx="-2453608" rotWithShape="0">
                              <a:srgbClr val="808080">
                                <a:alpha val="50000"/>
                              </a:srgbClr>
                            </a:outerShdw>
                          </a:effectLst>
                        </wps:spPr>
                        <wps:txbx>
                          <w:txbxContent>
                            <w:p w14:paraId="4D19B4F4" w14:textId="77777777" w:rsidR="00B7022D" w:rsidRDefault="00B7022D" w:rsidP="00B509DD">
                              <w:pPr>
                                <w:spacing w:after="0"/>
                                <w:jc w:val="center"/>
                                <w:rPr>
                                  <w:rFonts w:eastAsia="Arial" w:cs="Arial"/>
                                  <w:b/>
                                  <w:color w:val="000000"/>
                                </w:rPr>
                              </w:pPr>
                              <w:r w:rsidRPr="00041213">
                                <w:rPr>
                                  <w:rFonts w:eastAsia="Arial" w:cs="Arial"/>
                                  <w:b/>
                                  <w:color w:val="000000"/>
                                </w:rPr>
                                <w:t>Public sector entities</w:t>
                              </w:r>
                            </w:p>
                            <w:p w14:paraId="6E3FC3FD" w14:textId="77777777" w:rsidR="00B7022D" w:rsidRPr="00041213" w:rsidRDefault="00B7022D" w:rsidP="00B509DD">
                              <w:pPr>
                                <w:spacing w:after="0"/>
                                <w:jc w:val="center"/>
                                <w:rPr>
                                  <w:rFonts w:eastAsia="Arial" w:cs="Arial"/>
                                  <w:color w:val="000000"/>
                                </w:rPr>
                              </w:pPr>
                              <w:r>
                                <w:rPr>
                                  <w:rFonts w:eastAsia="Arial" w:cs="Arial"/>
                                  <w:color w:val="000000"/>
                                </w:rPr>
                                <w:t xml:space="preserve">Municipalities/Schools/Hospitals etc. </w:t>
                              </w:r>
                            </w:p>
                          </w:txbxContent>
                        </wps:txbx>
                        <wps:bodyPr rot="0" vert="horz" wrap="square" lIns="91440" tIns="45720" rIns="91440" bIns="45720" anchor="t" anchorCtr="0" upright="1">
                          <a:noAutofit/>
                        </wps:bodyPr>
                      </wps:wsp>
                      <wps:wsp>
                        <wps:cNvPr id="35" name="Line 15"/>
                        <wps:cNvCnPr/>
                        <wps:spPr bwMode="auto">
                          <a:xfrm flipH="1">
                            <a:off x="4283567" y="1888785"/>
                            <a:ext cx="1"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7"/>
                        <wps:cNvCnPr/>
                        <wps:spPr bwMode="auto">
                          <a:xfrm>
                            <a:off x="1464977" y="192180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18"/>
                        <wps:cNvSpPr txBox="1">
                          <a:spLocks noChangeArrowheads="1"/>
                        </wps:cNvSpPr>
                        <wps:spPr bwMode="auto">
                          <a:xfrm>
                            <a:off x="4365482" y="1405210"/>
                            <a:ext cx="91757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191E8" w14:textId="77777777" w:rsidR="00B7022D" w:rsidRPr="00127EA0" w:rsidRDefault="00B7022D" w:rsidP="00B509DD">
                              <w:pPr>
                                <w:rPr>
                                  <w:i/>
                                </w:rPr>
                              </w:pPr>
                              <w:r w:rsidRPr="00127EA0">
                                <w:rPr>
                                  <w:i/>
                                </w:rPr>
                                <w:t>Loan repayment</w:t>
                              </w:r>
                            </w:p>
                          </w:txbxContent>
                        </wps:txbx>
                        <wps:bodyPr rot="0" vert="horz" wrap="square" lIns="91440" tIns="45720" rIns="91440" bIns="45720" anchor="t" anchorCtr="0" upright="1">
                          <a:noAutofit/>
                        </wps:bodyPr>
                      </wps:wsp>
                      <wps:wsp>
                        <wps:cNvPr id="38" name="AutoShape 7"/>
                        <wps:cNvSpPr>
                          <a:spLocks noChangeArrowheads="1"/>
                        </wps:cNvSpPr>
                        <wps:spPr bwMode="auto">
                          <a:xfrm>
                            <a:off x="2050272" y="1202690"/>
                            <a:ext cx="1790700" cy="437856"/>
                          </a:xfrm>
                          <a:prstGeom prst="flowChartProcess">
                            <a:avLst/>
                          </a:prstGeom>
                          <a:solidFill>
                            <a:srgbClr val="99CCFF"/>
                          </a:solidFill>
                          <a:ln w="9525">
                            <a:solidFill>
                              <a:srgbClr val="000000"/>
                            </a:solidFill>
                            <a:miter lim="800000"/>
                            <a:headEnd/>
                            <a:tailEnd/>
                          </a:ln>
                          <a:effectLst>
                            <a:outerShdw sy="50000" kx="-2453608" rotWithShape="0">
                              <a:srgbClr val="808080">
                                <a:alpha val="50000"/>
                              </a:srgbClr>
                            </a:outerShdw>
                          </a:effectLst>
                        </wps:spPr>
                        <wps:txbx>
                          <w:txbxContent>
                            <w:p w14:paraId="1FF66A3D" w14:textId="77777777" w:rsidR="00B7022D" w:rsidRPr="00EC26BD" w:rsidRDefault="00B7022D" w:rsidP="00B509DD">
                              <w:pPr>
                                <w:pStyle w:val="NormalWeb"/>
                                <w:jc w:val="center"/>
                                <w:rPr>
                                  <w:rFonts w:ascii="Arial" w:hAnsi="Arial" w:cs="Arial"/>
                                  <w:b/>
                                  <w:sz w:val="22"/>
                                  <w:szCs w:val="22"/>
                                </w:rPr>
                              </w:pPr>
                              <w:r>
                                <w:rPr>
                                  <w:rFonts w:ascii="Arial" w:eastAsia="Times New Roman" w:hAnsi="Arial" w:cs="Arial"/>
                                  <w:b/>
                                  <w:bCs/>
                                  <w:sz w:val="22"/>
                                  <w:szCs w:val="22"/>
                                </w:rPr>
                                <w:t>Malawi EE/RE Fund</w:t>
                              </w:r>
                            </w:p>
                          </w:txbxContent>
                        </wps:txbx>
                        <wps:bodyPr rot="0" vert="horz" wrap="square" lIns="91440" tIns="45720" rIns="91440" bIns="45720" anchor="t" anchorCtr="0" upright="1">
                          <a:noAutofit/>
                        </wps:bodyPr>
                      </wps:wsp>
                      <wps:wsp>
                        <wps:cNvPr id="39" name="AutoShape 14"/>
                        <wps:cNvSpPr>
                          <a:spLocks noChangeArrowheads="1"/>
                        </wps:cNvSpPr>
                        <wps:spPr bwMode="auto">
                          <a:xfrm>
                            <a:off x="2262514" y="2144349"/>
                            <a:ext cx="1318886" cy="650609"/>
                          </a:xfrm>
                          <a:prstGeom prst="flowChartProcess">
                            <a:avLst/>
                          </a:prstGeom>
                          <a:solidFill>
                            <a:srgbClr val="CCECFF"/>
                          </a:solidFill>
                          <a:ln w="9525">
                            <a:solidFill>
                              <a:srgbClr val="000000"/>
                            </a:solidFill>
                            <a:miter lim="800000"/>
                            <a:headEnd/>
                            <a:tailEnd/>
                          </a:ln>
                          <a:effectLst>
                            <a:outerShdw sy="50000" kx="-2453608" rotWithShape="0">
                              <a:srgbClr val="808080">
                                <a:alpha val="50000"/>
                              </a:srgbClr>
                            </a:outerShdw>
                          </a:effectLst>
                        </wps:spPr>
                        <wps:txbx>
                          <w:txbxContent>
                            <w:p w14:paraId="4FA49B3E" w14:textId="77777777" w:rsidR="00B7022D" w:rsidRPr="00041213" w:rsidRDefault="00B7022D" w:rsidP="00B509DD">
                              <w:pPr>
                                <w:spacing w:after="0"/>
                                <w:jc w:val="center"/>
                                <w:rPr>
                                  <w:rFonts w:eastAsia="Arial" w:cs="Arial"/>
                                  <w:b/>
                                  <w:color w:val="000000"/>
                                </w:rPr>
                              </w:pPr>
                              <w:r>
                                <w:rPr>
                                  <w:rFonts w:eastAsia="Arial" w:cs="Arial"/>
                                  <w:b/>
                                  <w:color w:val="000000"/>
                                </w:rPr>
                                <w:t>NGOs/Local community groups</w:t>
                              </w:r>
                            </w:p>
                          </w:txbxContent>
                        </wps:txbx>
                        <wps:bodyPr rot="0" vert="horz" wrap="square" lIns="91440" tIns="45720" rIns="91440" bIns="45720" anchor="t" anchorCtr="0" upright="1">
                          <a:noAutofit/>
                        </wps:bodyPr>
                      </wps:wsp>
                      <wps:wsp>
                        <wps:cNvPr id="40" name="Line 17"/>
                        <wps:cNvCnPr/>
                        <wps:spPr bwMode="auto">
                          <a:xfrm>
                            <a:off x="2888472" y="19157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7"/>
                        <wps:cNvCnPr/>
                        <wps:spPr bwMode="auto">
                          <a:xfrm>
                            <a:off x="2369337" y="914399"/>
                            <a:ext cx="0" cy="294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Straight Arrow Connector 42"/>
                        <wps:cNvCnPr/>
                        <wps:spPr>
                          <a:xfrm flipV="1">
                            <a:off x="3650472" y="914399"/>
                            <a:ext cx="0" cy="289562"/>
                          </a:xfrm>
                          <a:prstGeom prst="straightConnector1">
                            <a:avLst/>
                          </a:prstGeom>
                          <a:noFill/>
                          <a:ln w="9525" cap="flat" cmpd="sng" algn="ctr">
                            <a:solidFill>
                              <a:srgbClr val="C00000"/>
                            </a:solidFill>
                            <a:prstDash val="solid"/>
                            <a:tailEnd type="triangle"/>
                          </a:ln>
                          <a:effectLst/>
                        </wps:spPr>
                        <wps:bodyPr/>
                      </wps:wsp>
                      <wps:wsp>
                        <wps:cNvPr id="43" name="AutoShape 6"/>
                        <wps:cNvSpPr>
                          <a:spLocks noChangeArrowheads="1"/>
                        </wps:cNvSpPr>
                        <wps:spPr bwMode="auto">
                          <a:xfrm>
                            <a:off x="3113700" y="207034"/>
                            <a:ext cx="1930740" cy="707365"/>
                          </a:xfrm>
                          <a:prstGeom prst="flowChartProcess">
                            <a:avLst/>
                          </a:prstGeom>
                          <a:solidFill>
                            <a:srgbClr val="99CCFF"/>
                          </a:solidFill>
                          <a:ln w="9525">
                            <a:solidFill>
                              <a:srgbClr val="000000"/>
                            </a:solidFill>
                            <a:miter lim="800000"/>
                            <a:headEnd/>
                            <a:tailEnd/>
                          </a:ln>
                          <a:effectLst>
                            <a:outerShdw sy="50000" kx="-2453608" rotWithShape="0">
                              <a:srgbClr val="808080">
                                <a:alpha val="50000"/>
                              </a:srgbClr>
                            </a:outerShdw>
                          </a:effectLst>
                        </wps:spPr>
                        <wps:txbx>
                          <w:txbxContent>
                            <w:p w14:paraId="6ECE8C98" w14:textId="77777777" w:rsidR="00B7022D" w:rsidRPr="00B16B5D" w:rsidRDefault="00B7022D" w:rsidP="00B509DD">
                              <w:pPr>
                                <w:spacing w:after="0"/>
                                <w:jc w:val="center"/>
                                <w:rPr>
                                  <w:rFonts w:eastAsia="Arial" w:cs="Arial"/>
                                  <w:b/>
                                  <w:color w:val="000000"/>
                                </w:rPr>
                              </w:pPr>
                              <w:r w:rsidRPr="00B16B5D">
                                <w:rPr>
                                  <w:rFonts w:eastAsia="Arial" w:cs="Arial"/>
                                  <w:b/>
                                  <w:color w:val="000000"/>
                                </w:rPr>
                                <w:t>Debt funding</w:t>
                              </w:r>
                            </w:p>
                            <w:p w14:paraId="04F48D8C" w14:textId="77777777" w:rsidR="00B7022D" w:rsidRPr="00B16B5D" w:rsidRDefault="00B7022D" w:rsidP="00B509DD">
                              <w:pPr>
                                <w:spacing w:after="0"/>
                                <w:jc w:val="center"/>
                                <w:rPr>
                                  <w:rFonts w:eastAsia="Arial" w:cs="Arial"/>
                                  <w:color w:val="000000"/>
                                </w:rPr>
                              </w:pPr>
                              <w:r>
                                <w:rPr>
                                  <w:rFonts w:eastAsia="Arial" w:cs="Arial"/>
                                  <w:color w:val="000000"/>
                                </w:rPr>
                                <w:t>International and Bi-lateral financing institutions</w:t>
                              </w:r>
                            </w:p>
                          </w:txbxContent>
                        </wps:txbx>
                        <wps:bodyPr rot="0" vert="horz" wrap="square" lIns="91440" tIns="45720" rIns="91440" bIns="45720" anchor="t" anchorCtr="0" upright="1">
                          <a:noAutofit/>
                        </wps:bodyPr>
                      </wps:wsp>
                      <wps:wsp>
                        <wps:cNvPr id="44" name="AutoShape 9"/>
                        <wps:cNvCnPr>
                          <a:cxnSpLocks noChangeShapeType="1"/>
                        </wps:cNvCnPr>
                        <wps:spPr bwMode="auto">
                          <a:xfrm>
                            <a:off x="1341469" y="3200676"/>
                            <a:ext cx="36420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4"/>
                        <wps:cNvSpPr>
                          <a:spLocks noChangeArrowheads="1"/>
                        </wps:cNvSpPr>
                        <wps:spPr bwMode="auto">
                          <a:xfrm>
                            <a:off x="944254" y="3371786"/>
                            <a:ext cx="1318260" cy="598805"/>
                          </a:xfrm>
                          <a:prstGeom prst="flowChartProcess">
                            <a:avLst/>
                          </a:prstGeom>
                          <a:solidFill>
                            <a:srgbClr val="FFFFFF">
                              <a:lumMod val="90000"/>
                            </a:srgbClr>
                          </a:solidFill>
                          <a:ln w="9525">
                            <a:solidFill>
                              <a:srgbClr val="000000"/>
                            </a:solidFill>
                            <a:miter lim="800000"/>
                            <a:headEnd/>
                            <a:tailEnd/>
                          </a:ln>
                          <a:effectLst>
                            <a:outerShdw sy="50000" kx="-2453608" rotWithShape="0">
                              <a:srgbClr val="808080">
                                <a:alpha val="50000"/>
                              </a:srgbClr>
                            </a:outerShdw>
                          </a:effectLst>
                        </wps:spPr>
                        <wps:txbx>
                          <w:txbxContent>
                            <w:p w14:paraId="17D5B078" w14:textId="77777777" w:rsidR="00B7022D" w:rsidRDefault="00B7022D" w:rsidP="00B509DD">
                              <w:pPr>
                                <w:pStyle w:val="NormalWeb"/>
                                <w:jc w:val="center"/>
                              </w:pPr>
                              <w:r>
                                <w:rPr>
                                  <w:rFonts w:ascii="Arial" w:eastAsia="Arial" w:hAnsi="Arial"/>
                                  <w:b/>
                                  <w:bCs/>
                                  <w:color w:val="000000"/>
                                  <w:sz w:val="20"/>
                                  <w:szCs w:val="20"/>
                                </w:rPr>
                                <w:t>Small and Medium companies</w:t>
                              </w:r>
                            </w:p>
                          </w:txbxContent>
                        </wps:txbx>
                        <wps:bodyPr rot="0" vert="horz" wrap="square" lIns="91440" tIns="45720" rIns="91440" bIns="45720" anchor="t" anchorCtr="0" upright="1">
                          <a:noAutofit/>
                        </wps:bodyPr>
                      </wps:wsp>
                      <wps:wsp>
                        <wps:cNvPr id="46" name="AutoShape 14"/>
                        <wps:cNvSpPr>
                          <a:spLocks noChangeArrowheads="1"/>
                        </wps:cNvSpPr>
                        <wps:spPr bwMode="auto">
                          <a:xfrm>
                            <a:off x="2637012" y="3369201"/>
                            <a:ext cx="1318260" cy="598805"/>
                          </a:xfrm>
                          <a:prstGeom prst="flowChartProcess">
                            <a:avLst/>
                          </a:prstGeom>
                          <a:solidFill>
                            <a:srgbClr val="FFFFFF">
                              <a:lumMod val="90000"/>
                            </a:srgbClr>
                          </a:solidFill>
                          <a:ln w="9525">
                            <a:solidFill>
                              <a:srgbClr val="000000"/>
                            </a:solidFill>
                            <a:miter lim="800000"/>
                            <a:headEnd/>
                            <a:tailEnd/>
                          </a:ln>
                          <a:effectLst>
                            <a:outerShdw sy="50000" kx="-2453608" rotWithShape="0">
                              <a:srgbClr val="808080">
                                <a:alpha val="50000"/>
                              </a:srgbClr>
                            </a:outerShdw>
                          </a:effectLst>
                        </wps:spPr>
                        <wps:txbx>
                          <w:txbxContent>
                            <w:p w14:paraId="5124D653" w14:textId="77777777" w:rsidR="00B7022D" w:rsidRDefault="00B7022D" w:rsidP="00B509DD">
                              <w:pPr>
                                <w:pStyle w:val="NormalWeb"/>
                                <w:jc w:val="center"/>
                              </w:pPr>
                              <w:r>
                                <w:rPr>
                                  <w:rFonts w:ascii="Arial" w:eastAsia="Arial" w:hAnsi="Arial"/>
                                  <w:b/>
                                  <w:bCs/>
                                  <w:color w:val="000000"/>
                                  <w:sz w:val="20"/>
                                  <w:szCs w:val="20"/>
                                </w:rPr>
                                <w:t>Large corporate businesses</w:t>
                              </w:r>
                            </w:p>
                          </w:txbxContent>
                        </wps:txbx>
                        <wps:bodyPr rot="0" vert="horz" wrap="square" lIns="91440" tIns="45720" rIns="91440" bIns="45720" anchor="t" anchorCtr="0" upright="1">
                          <a:noAutofit/>
                        </wps:bodyPr>
                      </wps:wsp>
                      <wps:wsp>
                        <wps:cNvPr id="47" name="AutoShape 14"/>
                        <wps:cNvSpPr>
                          <a:spLocks noChangeArrowheads="1"/>
                        </wps:cNvSpPr>
                        <wps:spPr bwMode="auto">
                          <a:xfrm>
                            <a:off x="4250118" y="3369201"/>
                            <a:ext cx="1318260" cy="598805"/>
                          </a:xfrm>
                          <a:prstGeom prst="flowChartProcess">
                            <a:avLst/>
                          </a:prstGeom>
                          <a:solidFill>
                            <a:srgbClr val="FFFFFF">
                              <a:lumMod val="90000"/>
                            </a:srgbClr>
                          </a:solidFill>
                          <a:ln w="9525">
                            <a:solidFill>
                              <a:srgbClr val="000000"/>
                            </a:solidFill>
                            <a:miter lim="800000"/>
                            <a:headEnd/>
                            <a:tailEnd/>
                          </a:ln>
                          <a:effectLst>
                            <a:outerShdw sy="50000" kx="-2453608" rotWithShape="0">
                              <a:srgbClr val="808080">
                                <a:alpha val="50000"/>
                              </a:srgbClr>
                            </a:outerShdw>
                          </a:effectLst>
                        </wps:spPr>
                        <wps:txbx>
                          <w:txbxContent>
                            <w:p w14:paraId="4855D399" w14:textId="77777777" w:rsidR="00B7022D" w:rsidRDefault="00B7022D" w:rsidP="00B509DD">
                              <w:pPr>
                                <w:pStyle w:val="NormalWeb"/>
                                <w:jc w:val="center"/>
                              </w:pPr>
                              <w:r>
                                <w:rPr>
                                  <w:rFonts w:ascii="Arial" w:eastAsia="Arial" w:hAnsi="Arial"/>
                                  <w:b/>
                                  <w:bCs/>
                                  <w:color w:val="000000"/>
                                  <w:sz w:val="20"/>
                                  <w:szCs w:val="20"/>
                                </w:rPr>
                                <w:t>Private individuals / Households</w:t>
                              </w:r>
                            </w:p>
                          </w:txbxContent>
                        </wps:txbx>
                        <wps:bodyPr rot="0" vert="horz" wrap="square" lIns="91440" tIns="45720" rIns="91440" bIns="45720" anchor="t" anchorCtr="0" upright="1">
                          <a:noAutofit/>
                        </wps:bodyPr>
                      </wps:wsp>
                      <wps:wsp>
                        <wps:cNvPr id="48" name="Line 17"/>
                        <wps:cNvCnPr/>
                        <wps:spPr bwMode="auto">
                          <a:xfrm>
                            <a:off x="3266100" y="3200676"/>
                            <a:ext cx="0" cy="17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7"/>
                        <wps:cNvCnPr/>
                        <wps:spPr bwMode="auto">
                          <a:xfrm>
                            <a:off x="4983480" y="3200676"/>
                            <a:ext cx="0" cy="168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7"/>
                        <wps:cNvCnPr/>
                        <wps:spPr bwMode="auto">
                          <a:xfrm>
                            <a:off x="1341469" y="3200676"/>
                            <a:ext cx="0" cy="17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9"/>
                        <wps:cNvCnPr>
                          <a:cxnSpLocks noChangeShapeType="1"/>
                        </wps:cNvCnPr>
                        <wps:spPr bwMode="auto">
                          <a:xfrm>
                            <a:off x="3266100" y="3008316"/>
                            <a:ext cx="10993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7"/>
                        <wps:cNvCnPr/>
                        <wps:spPr bwMode="auto">
                          <a:xfrm>
                            <a:off x="3265573" y="3008316"/>
                            <a:ext cx="527" cy="192360"/>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53" name="Straight Arrow Connector 53"/>
                        <wps:cNvCnPr/>
                        <wps:spPr>
                          <a:xfrm flipV="1">
                            <a:off x="1508760" y="3200676"/>
                            <a:ext cx="0" cy="168526"/>
                          </a:xfrm>
                          <a:prstGeom prst="straightConnector1">
                            <a:avLst/>
                          </a:prstGeom>
                          <a:noFill/>
                          <a:ln w="9525" cap="flat" cmpd="sng" algn="ctr">
                            <a:solidFill>
                              <a:srgbClr val="C00000"/>
                            </a:solidFill>
                            <a:prstDash val="solid"/>
                            <a:tailEnd type="triangle"/>
                          </a:ln>
                          <a:effectLst/>
                        </wps:spPr>
                        <wps:bodyPr/>
                      </wps:wsp>
                      <wps:wsp>
                        <wps:cNvPr id="54" name="Straight Arrow Connector 54"/>
                        <wps:cNvCnPr/>
                        <wps:spPr>
                          <a:xfrm flipV="1">
                            <a:off x="2752188" y="3200677"/>
                            <a:ext cx="0" cy="171109"/>
                          </a:xfrm>
                          <a:prstGeom prst="straightConnector1">
                            <a:avLst/>
                          </a:prstGeom>
                          <a:noFill/>
                          <a:ln w="9525" cap="flat" cmpd="sng" algn="ctr">
                            <a:solidFill>
                              <a:srgbClr val="C00000"/>
                            </a:solidFill>
                            <a:prstDash val="solid"/>
                            <a:tailEnd type="triangle"/>
                          </a:ln>
                          <a:effectLst/>
                        </wps:spPr>
                        <wps:bodyPr/>
                      </wps:wsp>
                      <wps:wsp>
                        <wps:cNvPr id="55" name="Straight Arrow Connector 55"/>
                        <wps:cNvCnPr/>
                        <wps:spPr>
                          <a:xfrm flipV="1">
                            <a:off x="4500540" y="3200676"/>
                            <a:ext cx="0" cy="168525"/>
                          </a:xfrm>
                          <a:prstGeom prst="straightConnector1">
                            <a:avLst/>
                          </a:prstGeom>
                          <a:noFill/>
                          <a:ln w="9525" cap="flat" cmpd="sng" algn="ctr">
                            <a:solidFill>
                              <a:srgbClr val="C00000"/>
                            </a:solidFill>
                            <a:prstDash val="solid"/>
                            <a:tailEnd type="triangle"/>
                          </a:ln>
                          <a:effectLst/>
                        </wps:spPr>
                        <wps:bodyPr/>
                      </wps:wsp>
                      <wps:wsp>
                        <wps:cNvPr id="56" name="Line 17"/>
                        <wps:cNvCnPr/>
                        <wps:spPr bwMode="auto">
                          <a:xfrm>
                            <a:off x="2888472" y="1640546"/>
                            <a:ext cx="0" cy="275204"/>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57" name="AutoShape 16"/>
                        <wps:cNvSpPr>
                          <a:spLocks noChangeArrowheads="1"/>
                        </wps:cNvSpPr>
                        <wps:spPr bwMode="auto">
                          <a:xfrm>
                            <a:off x="3955272" y="2162809"/>
                            <a:ext cx="1462548" cy="847809"/>
                          </a:xfrm>
                          <a:prstGeom prst="flowChartProcess">
                            <a:avLst/>
                          </a:prstGeom>
                          <a:solidFill>
                            <a:srgbClr val="CCECFF"/>
                          </a:solidFill>
                          <a:ln w="9525">
                            <a:solidFill>
                              <a:srgbClr val="000000"/>
                            </a:solidFill>
                            <a:miter lim="800000"/>
                            <a:headEnd/>
                            <a:tailEnd/>
                          </a:ln>
                          <a:effectLst>
                            <a:outerShdw sy="50000" kx="-2453608" rotWithShape="0">
                              <a:srgbClr val="808080">
                                <a:alpha val="50000"/>
                              </a:srgbClr>
                            </a:outerShdw>
                          </a:effectLst>
                        </wps:spPr>
                        <wps:txbx>
                          <w:txbxContent>
                            <w:p w14:paraId="5B6E3B4D" w14:textId="77777777" w:rsidR="00B7022D" w:rsidRDefault="00B7022D" w:rsidP="00B509DD">
                              <w:pPr>
                                <w:spacing w:after="0"/>
                                <w:jc w:val="center"/>
                                <w:rPr>
                                  <w:rFonts w:eastAsia="Arial" w:cs="Arial"/>
                                  <w:b/>
                                  <w:color w:val="000000"/>
                                </w:rPr>
                              </w:pPr>
                              <w:r>
                                <w:rPr>
                                  <w:rFonts w:eastAsia="Arial" w:cs="Arial"/>
                                  <w:b/>
                                  <w:color w:val="000000"/>
                                </w:rPr>
                                <w:t>Financial intermediaries</w:t>
                              </w:r>
                            </w:p>
                            <w:p w14:paraId="2EE5EB64" w14:textId="77777777" w:rsidR="00B7022D" w:rsidRPr="00041213" w:rsidRDefault="00B7022D" w:rsidP="00B509DD">
                              <w:pPr>
                                <w:spacing w:after="0"/>
                                <w:jc w:val="center"/>
                                <w:rPr>
                                  <w:rFonts w:eastAsia="Arial" w:cs="Arial"/>
                                  <w:color w:val="000000"/>
                                </w:rPr>
                              </w:pPr>
                              <w:r>
                                <w:rPr>
                                  <w:rFonts w:eastAsia="Arial" w:cs="Arial"/>
                                  <w:color w:val="000000"/>
                                </w:rPr>
                                <w:t>Banks/Leasing companies</w:t>
                              </w:r>
                            </w:p>
                          </w:txbxContent>
                        </wps:txbx>
                        <wps:bodyPr rot="0" vert="horz" wrap="square" lIns="91440" tIns="45720" rIns="91440" bIns="45720" anchor="t" anchorCtr="0" upright="1">
                          <a:noAutofit/>
                        </wps:bodyPr>
                      </wps:wsp>
                    </wpc:wpc>
                  </a:graphicData>
                </a:graphic>
              </wp:inline>
            </w:drawing>
          </mc:Choice>
          <mc:Fallback>
            <w:pict>
              <v:group w14:anchorId="4FD65F9F" id="Canvas 58" o:spid="_x0000_s1027" editas="canvas" style="width:451.2pt;height:316.2pt;mso-position-horizontal-relative:char;mso-position-vertical-relative:line" coordsize="57302,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">
                <v:shape id="_x0000_s1028" type="#_x0000_t75" style="position:absolute;width:57302;height:40157;visibility:visible;mso-wrap-style:square" stroked="t" strokecolor="silver" strokeweight="1.5pt">
                  <v:fill o:detectmouseclick="t"/>
                  <v:path o:connecttype="none"/>
                </v:shape>
                <v:line id="Line 5" o:spid="_x0000_s1029" style="position:absolute;visibility:visible;mso-wrap-style:square" from="33596,12026" to="33602,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type id="_x0000_t109" coordsize="21600,21600" o:spt="109" path="m,l,21600r21600,l21600,xe">
                  <v:stroke joinstyle="miter"/>
                  <v:path gradientshapeok="t" o:connecttype="rect"/>
                </v:shapetype>
                <v:shape id="AutoShape 6" o:spid="_x0000_s1030" type="#_x0000_t109" style="position:absolute;left:7237;top:2070;width:18980;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" fillcolor="#9cf">
                  <v:shadow on="t" type="perspective" opacity=".5" origin=",.5" offset="0,0" matrix=",-56756f,,.5"/>
                  <v:textbox>
                    <w:txbxContent>
                      <w:p w14:paraId="0D7CEE14" w14:textId="77777777" w:rsidR="00B7022D" w:rsidRPr="00B16B5D" w:rsidRDefault="00B7022D" w:rsidP="00B509DD">
                        <w:pPr>
                          <w:spacing w:after="0"/>
                          <w:jc w:val="center"/>
                          <w:rPr>
                            <w:rFonts w:eastAsia="Arial" w:cs="Arial"/>
                            <w:b/>
                            <w:color w:val="000000"/>
                          </w:rPr>
                        </w:pPr>
                        <w:r w:rsidRPr="00B16B5D">
                          <w:rPr>
                            <w:rFonts w:eastAsia="Arial" w:cs="Arial"/>
                            <w:b/>
                            <w:color w:val="000000"/>
                          </w:rPr>
                          <w:t xml:space="preserve">Equity funding </w:t>
                        </w:r>
                      </w:p>
                      <w:p w14:paraId="0CC63F86" w14:textId="77777777" w:rsidR="00B7022D" w:rsidRPr="00B16B5D" w:rsidRDefault="00B7022D" w:rsidP="00B509DD">
                        <w:pPr>
                          <w:spacing w:after="0"/>
                          <w:jc w:val="center"/>
                        </w:pPr>
                        <w:r w:rsidRPr="00B16B5D">
                          <w:rPr>
                            <w:rFonts w:eastAsia="Arial" w:cs="Arial"/>
                            <w:color w:val="000000"/>
                          </w:rPr>
                          <w:t xml:space="preserve">Government of </w:t>
                        </w:r>
                        <w:r>
                          <w:rPr>
                            <w:rFonts w:eastAsia="Arial" w:cs="Arial"/>
                            <w:color w:val="000000"/>
                          </w:rPr>
                          <w:t>Malawi</w:t>
                        </w:r>
                        <w:r w:rsidRPr="00B16B5D">
                          <w:rPr>
                            <w:rFonts w:eastAsia="Arial" w:cs="Arial"/>
                            <w:color w:val="000000"/>
                          </w:rPr>
                          <w:t xml:space="preserve"> / Donor Agencies and IFIs</w:t>
                        </w:r>
                      </w:p>
                      <w:p w14:paraId="2C7FAB62" w14:textId="77777777" w:rsidR="00B7022D" w:rsidRPr="00874AC5" w:rsidRDefault="00B7022D" w:rsidP="00B509DD">
                        <w:pPr>
                          <w:jc w:val="center"/>
                          <w:rPr>
                            <w:b/>
                          </w:rPr>
                        </w:pPr>
                      </w:p>
                    </w:txbxContent>
                  </v:textbox>
                </v:shape>
                <v:shapetype id="_x0000_t32" coordsize="21600,21600" o:spt="32" o:oned="t" path="m,l21600,21600e" filled="f">
                  <v:path arrowok="t" fillok="f" o:connecttype="none"/>
                  <o:lock v:ext="edit" shapetype="t"/>
                </v:shapetype>
                <v:shape id="AutoShape 9" o:spid="_x0000_s1031" type="#_x0000_t32" style="position:absolute;left:14656;top:18887;width:28179;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line id="Line 10" o:spid="_x0000_s1032" style="position:absolute;visibility:visible;mso-wrap-style:square" from="33590,9350" to="33596,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type id="_x0000_t37" coordsize="21600,21600" o:spt="37" o:oned="t" path="m,c10800,,21600,10800,21600,21600e" filled="f">
                  <v:path arrowok="t" fillok="f" o:connecttype="none"/>
                  <o:lock v:ext="edit" shapetype="t"/>
                </v:shapetype>
                <v:shape id="AutoShape 12" o:spid="_x0000_s1033" type="#_x0000_t37" style="position:absolute;left:38454;top:13366;width:9360;height:944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" strokecolor="#c0000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3" o:spid="_x0000_s1034" type="#_x0000_t38" style="position:absolute;left:11434;top:13411;width:9068;height:897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" adj="-272" strokecolor="#c00000">
                  <v:stroke endarrow="block"/>
                </v:shape>
                <v:shape id="AutoShape 14" o:spid="_x0000_s1035" type="#_x0000_t109" style="position:absolute;left:4343;top:21443;width:14737;height:7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" fillcolor="#ccecff">
                  <v:shadow on="t" type="perspective" opacity=".5" origin=",.5" offset="0,0" matrix=",-56756f,,.5"/>
                  <v:textbox>
                    <w:txbxContent>
                      <w:p w14:paraId="4D19B4F4" w14:textId="77777777" w:rsidR="00B7022D" w:rsidRDefault="00B7022D" w:rsidP="00B509DD">
                        <w:pPr>
                          <w:spacing w:after="0"/>
                          <w:jc w:val="center"/>
                          <w:rPr>
                            <w:rFonts w:eastAsia="Arial" w:cs="Arial"/>
                            <w:b/>
                            <w:color w:val="000000"/>
                          </w:rPr>
                        </w:pPr>
                        <w:r w:rsidRPr="00041213">
                          <w:rPr>
                            <w:rFonts w:eastAsia="Arial" w:cs="Arial"/>
                            <w:b/>
                            <w:color w:val="000000"/>
                          </w:rPr>
                          <w:t>Public sector entities</w:t>
                        </w:r>
                      </w:p>
                      <w:p w14:paraId="6E3FC3FD" w14:textId="77777777" w:rsidR="00B7022D" w:rsidRPr="00041213" w:rsidRDefault="00B7022D" w:rsidP="00B509DD">
                        <w:pPr>
                          <w:spacing w:after="0"/>
                          <w:jc w:val="center"/>
                          <w:rPr>
                            <w:rFonts w:eastAsia="Arial" w:cs="Arial"/>
                            <w:color w:val="000000"/>
                          </w:rPr>
                        </w:pPr>
                        <w:r>
                          <w:rPr>
                            <w:rFonts w:eastAsia="Arial" w:cs="Arial"/>
                            <w:color w:val="000000"/>
                          </w:rPr>
                          <w:t xml:space="preserve">Municipalities/Schools/Hospitals etc. </w:t>
                        </w:r>
                      </w:p>
                    </w:txbxContent>
                  </v:textbox>
                </v:shape>
                <v:line id="Line 15" o:spid="_x0000_s1036" style="position:absolute;flip:x;visibility:visible;mso-wrap-style:square" from="42835,18887" to="42835,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7" o:spid="_x0000_s1037" style="position:absolute;visibility:visible;mso-wrap-style:square" from="14649,19218" to="14656,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shape id="Text Box 18" o:spid="_x0000_s1038" type="#_x0000_t202" style="position:absolute;left:43654;top:14052;width:917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7A191E8" w14:textId="77777777" w:rsidR="00B7022D" w:rsidRPr="00127EA0" w:rsidRDefault="00B7022D" w:rsidP="00B509DD">
                        <w:pPr>
                          <w:rPr>
                            <w:i/>
                          </w:rPr>
                        </w:pPr>
                        <w:r w:rsidRPr="00127EA0">
                          <w:rPr>
                            <w:i/>
                          </w:rPr>
                          <w:t>Loan repayment</w:t>
                        </w:r>
                      </w:p>
                    </w:txbxContent>
                  </v:textbox>
                </v:shape>
                <v:shape id="AutoShape 7" o:spid="_x0000_s1039" type="#_x0000_t109" style="position:absolute;left:20502;top:12026;width:17907;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" fillcolor="#9cf">
                  <v:shadow on="t" type="perspective" opacity=".5" origin=",.5" offset="0,0" matrix=",-56756f,,.5"/>
                  <v:textbox>
                    <w:txbxContent>
                      <w:p w14:paraId="1FF66A3D" w14:textId="77777777" w:rsidR="00B7022D" w:rsidRPr="00EC26BD" w:rsidRDefault="00B7022D" w:rsidP="00B509DD">
                        <w:pPr>
                          <w:pStyle w:val="NormalWeb"/>
                          <w:jc w:val="center"/>
                          <w:rPr>
                            <w:rFonts w:ascii="Arial" w:hAnsi="Arial" w:cs="Arial"/>
                            <w:b/>
                            <w:sz w:val="22"/>
                            <w:szCs w:val="22"/>
                          </w:rPr>
                        </w:pPr>
                        <w:r>
                          <w:rPr>
                            <w:rFonts w:ascii="Arial" w:eastAsia="Times New Roman" w:hAnsi="Arial" w:cs="Arial"/>
                            <w:b/>
                            <w:bCs/>
                            <w:sz w:val="22"/>
                            <w:szCs w:val="22"/>
                          </w:rPr>
                          <w:t>Malawi EE/RE Fund</w:t>
                        </w:r>
                      </w:p>
                    </w:txbxContent>
                  </v:textbox>
                </v:shape>
                <v:shape id="AutoShape 14" o:spid="_x0000_s1040" type="#_x0000_t109" style="position:absolute;left:22625;top:21443;width:13189;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" fillcolor="#ccecff">
                  <v:shadow on="t" type="perspective" opacity=".5" origin=",.5" offset="0,0" matrix=",-56756f,,.5"/>
                  <v:textbox>
                    <w:txbxContent>
                      <w:p w14:paraId="4FA49B3E" w14:textId="77777777" w:rsidR="00B7022D" w:rsidRPr="00041213" w:rsidRDefault="00B7022D" w:rsidP="00B509DD">
                        <w:pPr>
                          <w:spacing w:after="0"/>
                          <w:jc w:val="center"/>
                          <w:rPr>
                            <w:rFonts w:eastAsia="Arial" w:cs="Arial"/>
                            <w:b/>
                            <w:color w:val="000000"/>
                          </w:rPr>
                        </w:pPr>
                        <w:r>
                          <w:rPr>
                            <w:rFonts w:eastAsia="Arial" w:cs="Arial"/>
                            <w:b/>
                            <w:color w:val="000000"/>
                          </w:rPr>
                          <w:t>NGOs/Local community groups</w:t>
                        </w:r>
                      </w:p>
                    </w:txbxContent>
                  </v:textbox>
                </v:shape>
                <v:line id="Line 17" o:spid="_x0000_s1041" style="position:absolute;visibility:visible;mso-wrap-style:square" from="28884,19157" to="28884,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7" o:spid="_x0000_s1042" style="position:absolute;visibility:visible;mso-wrap-style:square" from="23693,9143" to="23693,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Straight Arrow Connector 42" o:spid="_x0000_s1043" type="#_x0000_t32" style="position:absolute;left:36504;top:9143;width:0;height:28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" strokecolor="#c00000">
                  <v:stroke endarrow="block"/>
                </v:shape>
                <v:shape id="AutoShape 6" o:spid="_x0000_s1044" type="#_x0000_t109" style="position:absolute;left:31137;top:2070;width:19307;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" fillcolor="#9cf">
                  <v:shadow on="t" type="perspective" opacity=".5" origin=",.5" offset="0,0" matrix=",-56756f,,.5"/>
                  <v:textbox>
                    <w:txbxContent>
                      <w:p w14:paraId="6ECE8C98" w14:textId="77777777" w:rsidR="00B7022D" w:rsidRPr="00B16B5D" w:rsidRDefault="00B7022D" w:rsidP="00B509DD">
                        <w:pPr>
                          <w:spacing w:after="0"/>
                          <w:jc w:val="center"/>
                          <w:rPr>
                            <w:rFonts w:eastAsia="Arial" w:cs="Arial"/>
                            <w:b/>
                            <w:color w:val="000000"/>
                          </w:rPr>
                        </w:pPr>
                        <w:r w:rsidRPr="00B16B5D">
                          <w:rPr>
                            <w:rFonts w:eastAsia="Arial" w:cs="Arial"/>
                            <w:b/>
                            <w:color w:val="000000"/>
                          </w:rPr>
                          <w:t>Debt funding</w:t>
                        </w:r>
                      </w:p>
                      <w:p w14:paraId="04F48D8C" w14:textId="77777777" w:rsidR="00B7022D" w:rsidRPr="00B16B5D" w:rsidRDefault="00B7022D" w:rsidP="00B509DD">
                        <w:pPr>
                          <w:spacing w:after="0"/>
                          <w:jc w:val="center"/>
                          <w:rPr>
                            <w:rFonts w:eastAsia="Arial" w:cs="Arial"/>
                            <w:color w:val="000000"/>
                          </w:rPr>
                        </w:pPr>
                        <w:r>
                          <w:rPr>
                            <w:rFonts w:eastAsia="Arial" w:cs="Arial"/>
                            <w:color w:val="000000"/>
                          </w:rPr>
                          <w:t>International and Bi-lateral financing institutions</w:t>
                        </w:r>
                      </w:p>
                    </w:txbxContent>
                  </v:textbox>
                </v:shape>
                <v:shape id="AutoShape 9" o:spid="_x0000_s1045" type="#_x0000_t32" style="position:absolute;left:13414;top:32006;width:36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14" o:spid="_x0000_s1046" type="#_x0000_t109" style="position:absolute;left:9442;top:33717;width:1318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" fillcolor="#e5e5e5">
                  <v:shadow on="t" type="perspective" opacity=".5" origin=",.5" offset="0,0" matrix=",-56756f,,.5"/>
                  <v:textbox>
                    <w:txbxContent>
                      <w:p w14:paraId="17D5B078" w14:textId="77777777" w:rsidR="00B7022D" w:rsidRDefault="00B7022D" w:rsidP="00B509DD">
                        <w:pPr>
                          <w:pStyle w:val="NormalWeb"/>
                          <w:jc w:val="center"/>
                        </w:pPr>
                        <w:r>
                          <w:rPr>
                            <w:rFonts w:ascii="Arial" w:eastAsia="Arial" w:hAnsi="Arial"/>
                            <w:b/>
                            <w:bCs/>
                            <w:color w:val="000000"/>
                            <w:sz w:val="20"/>
                            <w:szCs w:val="20"/>
                          </w:rPr>
                          <w:t>Small and Medium companies</w:t>
                        </w:r>
                      </w:p>
                    </w:txbxContent>
                  </v:textbox>
                </v:shape>
                <v:shape id="AutoShape 14" o:spid="_x0000_s1047" type="#_x0000_t109" style="position:absolute;left:26370;top:33692;width:13182;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" fillcolor="#e5e5e5">
                  <v:shadow on="t" type="perspective" opacity=".5" origin=",.5" offset="0,0" matrix=",-56756f,,.5"/>
                  <v:textbox>
                    <w:txbxContent>
                      <w:p w14:paraId="5124D653" w14:textId="77777777" w:rsidR="00B7022D" w:rsidRDefault="00B7022D" w:rsidP="00B509DD">
                        <w:pPr>
                          <w:pStyle w:val="NormalWeb"/>
                          <w:jc w:val="center"/>
                        </w:pPr>
                        <w:r>
                          <w:rPr>
                            <w:rFonts w:ascii="Arial" w:eastAsia="Arial" w:hAnsi="Arial"/>
                            <w:b/>
                            <w:bCs/>
                            <w:color w:val="000000"/>
                            <w:sz w:val="20"/>
                            <w:szCs w:val="20"/>
                          </w:rPr>
                          <w:t>Large corporate businesses</w:t>
                        </w:r>
                      </w:p>
                    </w:txbxContent>
                  </v:textbox>
                </v:shape>
                <v:shape id="AutoShape 14" o:spid="_x0000_s1048" type="#_x0000_t109" style="position:absolute;left:42501;top:33692;width:13182;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" fillcolor="#e5e5e5">
                  <v:shadow on="t" type="perspective" opacity=".5" origin=",.5" offset="0,0" matrix=",-56756f,,.5"/>
                  <v:textbox>
                    <w:txbxContent>
                      <w:p w14:paraId="4855D399" w14:textId="77777777" w:rsidR="00B7022D" w:rsidRDefault="00B7022D" w:rsidP="00B509DD">
                        <w:pPr>
                          <w:pStyle w:val="NormalWeb"/>
                          <w:jc w:val="center"/>
                        </w:pPr>
                        <w:r>
                          <w:rPr>
                            <w:rFonts w:ascii="Arial" w:eastAsia="Arial" w:hAnsi="Arial"/>
                            <w:b/>
                            <w:bCs/>
                            <w:color w:val="000000"/>
                            <w:sz w:val="20"/>
                            <w:szCs w:val="20"/>
                          </w:rPr>
                          <w:t>Private individuals / Households</w:t>
                        </w:r>
                      </w:p>
                    </w:txbxContent>
                  </v:textbox>
                </v:shape>
                <v:line id="Line 17" o:spid="_x0000_s1049" style="position:absolute;visibility:visible;mso-wrap-style:square" from="32661,32006" to="32661,3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17" o:spid="_x0000_s1050" style="position:absolute;visibility:visible;mso-wrap-style:square" from="49834,32006" to="49834,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17" o:spid="_x0000_s1051" style="position:absolute;visibility:visible;mso-wrap-style:square" from="13414,32006" to="13414,3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AutoShape 9" o:spid="_x0000_s1052" type="#_x0000_t32" style="position:absolute;left:32661;top:30083;width:10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line id="Line 17" o:spid="_x0000_s1053" style="position:absolute;visibility:visible;mso-wrap-style:square" from="32655,30083" to="32661,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Straight Arrow Connector 53" o:spid="_x0000_s1054" type="#_x0000_t32" style="position:absolute;left:15087;top:32006;width:0;height:1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" strokecolor="#c00000">
                  <v:stroke endarrow="block"/>
                </v:shape>
                <v:shape id="Straight Arrow Connector 54" o:spid="_x0000_s1055" type="#_x0000_t32" style="position:absolute;left:27521;top:32006;width:0;height:1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" strokecolor="#c00000">
                  <v:stroke endarrow="block"/>
                </v:shape>
                <v:shape id="Straight Arrow Connector 55" o:spid="_x0000_s1056" type="#_x0000_t32" style="position:absolute;left:45005;top:32006;width:0;height:1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" strokecolor="#c00000">
                  <v:stroke endarrow="block"/>
                </v:shape>
                <v:line id="Line 17" o:spid="_x0000_s1057" style="position:absolute;visibility:visible;mso-wrap-style:square" from="28884,16405" to="28884,1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AutoShape 16" o:spid="_x0000_s1058" type="#_x0000_t109" style="position:absolute;left:39552;top:21628;width:14626;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" fillcolor="#ccecff">
                  <v:shadow on="t" type="perspective" opacity=".5" origin=",.5" offset="0,0" matrix=",-56756f,,.5"/>
                  <v:textbox>
                    <w:txbxContent>
                      <w:p w14:paraId="5B6E3B4D" w14:textId="77777777" w:rsidR="00B7022D" w:rsidRDefault="00B7022D" w:rsidP="00B509DD">
                        <w:pPr>
                          <w:spacing w:after="0"/>
                          <w:jc w:val="center"/>
                          <w:rPr>
                            <w:rFonts w:eastAsia="Arial" w:cs="Arial"/>
                            <w:b/>
                            <w:color w:val="000000"/>
                          </w:rPr>
                        </w:pPr>
                        <w:r>
                          <w:rPr>
                            <w:rFonts w:eastAsia="Arial" w:cs="Arial"/>
                            <w:b/>
                            <w:color w:val="000000"/>
                          </w:rPr>
                          <w:t>Financial intermediaries</w:t>
                        </w:r>
                      </w:p>
                      <w:p w14:paraId="2EE5EB64" w14:textId="77777777" w:rsidR="00B7022D" w:rsidRPr="00041213" w:rsidRDefault="00B7022D" w:rsidP="00B509DD">
                        <w:pPr>
                          <w:spacing w:after="0"/>
                          <w:jc w:val="center"/>
                          <w:rPr>
                            <w:rFonts w:eastAsia="Arial" w:cs="Arial"/>
                            <w:color w:val="000000"/>
                          </w:rPr>
                        </w:pPr>
                        <w:r>
                          <w:rPr>
                            <w:rFonts w:eastAsia="Arial" w:cs="Arial"/>
                            <w:color w:val="000000"/>
                          </w:rPr>
                          <w:t>Banks/Leasing companies</w:t>
                        </w:r>
                      </w:p>
                    </w:txbxContent>
                  </v:textbox>
                </v:shape>
                <w10:anchorlock/>
              </v:group>
            </w:pict>
          </mc:Fallback>
        </mc:AlternateContent>
      </w:r>
    </w:p>
    <w:p w14:paraId="386AA2A6" w14:textId="77777777" w:rsidR="00287D2D" w:rsidRPr="006122EE" w:rsidRDefault="00287D2D" w:rsidP="006E363C">
      <w:pPr>
        <w:pStyle w:val="Caption"/>
      </w:pPr>
      <w:bookmarkStart w:id="438" w:name="_Toc481614983"/>
      <w:r w:rsidRPr="006122EE">
        <w:t xml:space="preserve">Figure </w:t>
      </w:r>
      <w:r w:rsidR="00DC7D8C">
        <w:fldChar w:fldCharType="begin"/>
      </w:r>
      <w:r w:rsidR="00DC7D8C">
        <w:instrText xml:space="preserve"> SEQ Figure \* ARABIC </w:instrText>
      </w:r>
      <w:r w:rsidR="00DC7D8C">
        <w:fldChar w:fldCharType="separate"/>
      </w:r>
      <w:r w:rsidR="00866D96">
        <w:rPr>
          <w:noProof/>
        </w:rPr>
        <w:t>19</w:t>
      </w:r>
      <w:r w:rsidR="00DC7D8C">
        <w:rPr>
          <w:noProof/>
        </w:rPr>
        <w:fldChar w:fldCharType="end"/>
      </w:r>
      <w:r w:rsidR="007C41F5" w:rsidRPr="00866D96">
        <w:t>:</w:t>
      </w:r>
      <w:r w:rsidRPr="006122EE">
        <w:t xml:space="preserve"> Malawi EE Fund – proposed structure and business cycle</w:t>
      </w:r>
      <w:bookmarkEnd w:id="438"/>
    </w:p>
    <w:p w14:paraId="6DEE8335" w14:textId="77777777" w:rsidR="00287D2D" w:rsidRPr="00866D96" w:rsidRDefault="00287D2D" w:rsidP="00726AF3">
      <w:pPr>
        <w:pStyle w:val="CSubtitle2"/>
        <w:rPr>
          <w:noProof w:val="0"/>
          <w:lang w:val="en-GB"/>
        </w:rPr>
      </w:pPr>
      <w:r w:rsidRPr="00866D96">
        <w:rPr>
          <w:noProof w:val="0"/>
          <w:lang w:val="en-GB"/>
        </w:rPr>
        <w:t xml:space="preserve">Proposed new legislation, policy, regulations (info from previous sections) </w:t>
      </w:r>
    </w:p>
    <w:p w14:paraId="722C7E57" w14:textId="77777777" w:rsidR="00287D2D" w:rsidRPr="006122EE" w:rsidRDefault="00287D2D" w:rsidP="00B1153E">
      <w:pPr>
        <w:spacing w:line="276" w:lineRule="auto"/>
        <w:rPr>
          <w:b/>
          <w:lang w:eastAsia="en-US"/>
        </w:rPr>
      </w:pPr>
      <w:r w:rsidRPr="006122EE">
        <w:rPr>
          <w:b/>
          <w:lang w:eastAsia="en-US"/>
        </w:rPr>
        <w:t>Energy Efficiency / Management Regulations</w:t>
      </w:r>
    </w:p>
    <w:p w14:paraId="2FF7B3A3" w14:textId="77777777" w:rsidR="00287D2D" w:rsidRPr="006122EE" w:rsidRDefault="00287D2D" w:rsidP="00B1153E">
      <w:pPr>
        <w:spacing w:line="276" w:lineRule="auto"/>
        <w:rPr>
          <w:lang w:eastAsia="en-US"/>
        </w:rPr>
      </w:pPr>
      <w:r w:rsidRPr="006122EE">
        <w:rPr>
          <w:lang w:eastAsia="en-US"/>
        </w:rPr>
        <w:t xml:space="preserve">Malawi currently lacks national energy management regulations (NEMR) to cover a number of issues such as: i) mandatory energy audits for intensive energy users (users with annual energy consumption above the predetermined threshold will be obliged to carry out frequent energy audits and comply with the auditor`s findings and recommendations); ii) mandatory reporting on energy use and EE data, which will enable the </w:t>
      </w:r>
      <w:r w:rsidR="00337B1E" w:rsidRPr="006122EE">
        <w:rPr>
          <w:lang w:eastAsia="en-US"/>
        </w:rPr>
        <w:t>g</w:t>
      </w:r>
      <w:r w:rsidRPr="006122EE">
        <w:rPr>
          <w:lang w:eastAsia="en-US"/>
        </w:rPr>
        <w:t>overnment for further adjustment and fine tuning of the existing energy policies and strategies; iii) energy auditors and auditing firms licensing – the NEMR will outline the certification process and the training local auditors need to go through before being licensed, etc.</w:t>
      </w:r>
    </w:p>
    <w:p w14:paraId="4CB33A92" w14:textId="77777777" w:rsidR="00287D2D" w:rsidRPr="006122EE" w:rsidRDefault="00287D2D" w:rsidP="00B1153E">
      <w:pPr>
        <w:spacing w:line="276" w:lineRule="auto"/>
        <w:rPr>
          <w:b/>
          <w:lang w:eastAsia="en-US"/>
        </w:rPr>
      </w:pPr>
      <w:r w:rsidRPr="006122EE">
        <w:rPr>
          <w:b/>
          <w:lang w:eastAsia="en-US"/>
        </w:rPr>
        <w:t xml:space="preserve">Minimum Energy Performance Standards and Labelling </w:t>
      </w:r>
    </w:p>
    <w:p w14:paraId="12DAE263" w14:textId="77777777" w:rsidR="00287D2D" w:rsidRPr="006122EE" w:rsidRDefault="00287D2D" w:rsidP="00B1153E">
      <w:pPr>
        <w:spacing w:line="276" w:lineRule="auto"/>
        <w:rPr>
          <w:lang w:eastAsia="en-US"/>
        </w:rPr>
      </w:pPr>
      <w:r w:rsidRPr="006122EE">
        <w:rPr>
          <w:lang w:eastAsia="en-US"/>
        </w:rPr>
        <w:tab/>
        <w:t>To accelerate the penetration of energy efficient lighting and household appliances, Malawi will embark on development of a set of regulations that seek to ban the use of inefficient products through application of minimum energy performance standards (MEPS). Once promulgated and enforced, the regulations will prohibit the importation, production and sale of products that do not meet the requirements of the MEPS. To ensure smooth transition to use of highly efficient products, the minimum performance standards shall first be tested on lighting bulbs only and then be extended to cover other household electrical products/appliances and at a later stage eventually include other energy intense equipment such as industrial motors, pumps and refrigerators. Adjustments to the import duty tariff and some tax reliefs (e.g. 0% VAT rate) for products that meet the MEPS will greatly underpin the success of such policy.</w:t>
      </w:r>
    </w:p>
    <w:p w14:paraId="722BA04A" w14:textId="77777777" w:rsidR="00287D2D" w:rsidRPr="006122EE" w:rsidRDefault="00287D2D" w:rsidP="00B1153E">
      <w:pPr>
        <w:spacing w:line="276" w:lineRule="auto"/>
        <w:rPr>
          <w:b/>
          <w:lang w:eastAsia="en-US"/>
        </w:rPr>
      </w:pPr>
      <w:r w:rsidRPr="006122EE">
        <w:rPr>
          <w:b/>
          <w:lang w:eastAsia="en-US"/>
        </w:rPr>
        <w:t>National EE audit and National EE action plan</w:t>
      </w:r>
    </w:p>
    <w:p w14:paraId="0EB13D28" w14:textId="77777777" w:rsidR="00287D2D" w:rsidRPr="006122EE" w:rsidRDefault="00287D2D" w:rsidP="00B1153E">
      <w:pPr>
        <w:spacing w:line="276" w:lineRule="auto"/>
        <w:rPr>
          <w:lang w:eastAsia="en-US"/>
        </w:rPr>
      </w:pPr>
      <w:r w:rsidRPr="006122EE">
        <w:rPr>
          <w:lang w:eastAsia="en-US"/>
        </w:rPr>
        <w:t xml:space="preserve">To facilitate the overall EE improvement process as well as to streamline target setting on the national and industrial level, the Government of Malawi will conduct a comprehensive National Energy Efficiency Audit to set out a national energy consumption base line across different sectors (industrial, mining, agriculture, domestic, public) and identify the underlying energy saving potential and recommend measures. An EE action plan will define the roles and responsibilities of the various stakeholders, set national EE goals, prescribe priority actions and implementation timeframe. </w:t>
      </w:r>
    </w:p>
    <w:p w14:paraId="4083EE30" w14:textId="77777777" w:rsidR="00287D2D" w:rsidRPr="006122EE" w:rsidRDefault="00287D2D" w:rsidP="00B1153E">
      <w:pPr>
        <w:spacing w:line="276" w:lineRule="auto"/>
        <w:rPr>
          <w:b/>
          <w:lang w:eastAsia="en-US"/>
        </w:rPr>
      </w:pPr>
      <w:r w:rsidRPr="006122EE">
        <w:rPr>
          <w:b/>
          <w:lang w:eastAsia="en-US"/>
        </w:rPr>
        <w:t>Promotion of green building code</w:t>
      </w:r>
    </w:p>
    <w:p w14:paraId="20558C4B" w14:textId="77777777" w:rsidR="00287D2D" w:rsidRPr="006122EE" w:rsidRDefault="00287D2D" w:rsidP="00B1153E">
      <w:pPr>
        <w:spacing w:line="276" w:lineRule="auto"/>
      </w:pPr>
      <w:r w:rsidRPr="006122EE">
        <w:t>Malawi will consider adopting a green building code or implementing minimum energy performance standards for buildings in the existing building regulations. The country may decide to follow the lead of Republic of South Africa which introduced the Green star tool and adopted mandatory energy saving measures for newly built edifices. These include: i) obligatory use of renewable energy for space or water heating; ii) minimum insulation requirements for walls, floors and ceilings; iii) installation of energy efficient ventilation and air-conditioning systems, etc.</w:t>
      </w:r>
    </w:p>
    <w:p w14:paraId="0CF3DF75" w14:textId="77777777" w:rsidR="00287D2D" w:rsidRPr="006122EE" w:rsidRDefault="00287D2D" w:rsidP="00B1153E">
      <w:pPr>
        <w:spacing w:line="276" w:lineRule="auto"/>
      </w:pPr>
      <w:r w:rsidRPr="006122EE">
        <w:t xml:space="preserve">At the regional level, the local governments and city councils may consider issuing Green building guidelines for those who are interested in sustainable construction. </w:t>
      </w:r>
    </w:p>
    <w:p w14:paraId="02D0468D" w14:textId="77777777" w:rsidR="00494239" w:rsidRPr="006122EE" w:rsidRDefault="00494239" w:rsidP="00B1153E">
      <w:pPr>
        <w:spacing w:line="276" w:lineRule="auto"/>
      </w:pPr>
      <w:r w:rsidRPr="006122EE">
        <w:t xml:space="preserve">Establishment of a Malawi Green Building Council will greatly enhance the promotion and adoption of green building codes at both national and regional level. The </w:t>
      </w:r>
      <w:r w:rsidR="00337B1E" w:rsidRPr="006122EE">
        <w:t>g</w:t>
      </w:r>
      <w:r w:rsidRPr="006122EE">
        <w:t>overnment will partner with key industry leaders, engineering and architecture firms and associations to set up a national Green building council and foster nationwide adoption of green building standards through public – private partnerships.</w:t>
      </w:r>
    </w:p>
    <w:p w14:paraId="0B2F47CC" w14:textId="77777777" w:rsidR="00287D2D" w:rsidRPr="006122EE" w:rsidRDefault="00287D2D" w:rsidP="00B1153E">
      <w:pPr>
        <w:pStyle w:val="BTitle3"/>
        <w:spacing w:line="276" w:lineRule="auto"/>
        <w:rPr>
          <w:noProof w:val="0"/>
          <w:lang w:val="en-GB"/>
        </w:rPr>
      </w:pPr>
      <w:bookmarkStart w:id="439" w:name="_Toc448426495"/>
      <w:bookmarkEnd w:id="439"/>
      <w:r w:rsidRPr="006122EE">
        <w:rPr>
          <w:noProof w:val="0"/>
          <w:lang w:val="en-GB"/>
        </w:rPr>
        <w:tab/>
      </w:r>
      <w:bookmarkStart w:id="440" w:name="_Toc481614933"/>
      <w:r w:rsidRPr="006122EE">
        <w:rPr>
          <w:noProof w:val="0"/>
          <w:lang w:val="en-GB"/>
        </w:rPr>
        <w:t>Which (global) High-Impact Opportunities are relevant?</w:t>
      </w:r>
      <w:bookmarkEnd w:id="440"/>
    </w:p>
    <w:p w14:paraId="2FE215E9" w14:textId="77777777" w:rsidR="00287D2D" w:rsidRPr="006122EE" w:rsidRDefault="00287D2D" w:rsidP="00B1153E">
      <w:pPr>
        <w:spacing w:line="276" w:lineRule="auto"/>
        <w:rPr>
          <w:lang w:eastAsia="en-US"/>
        </w:rPr>
      </w:pPr>
      <w:r w:rsidRPr="006122EE">
        <w:rPr>
          <w:b/>
          <w:lang w:eastAsia="en-US"/>
        </w:rPr>
        <w:t>Efficient cook-stoves / Solar water heaters programs and Women`s and Children`s Health</w:t>
      </w:r>
      <w:r w:rsidRPr="006122EE">
        <w:rPr>
          <w:lang w:eastAsia="en-US"/>
        </w:rPr>
        <w:t xml:space="preserve"> – Kerosene, paraffin and candles produce dirty and harmful fumes when burnt. The fumes can cause respiratory diseases, eye infections and lead to longer-term problems with eyesight. The use of the traditional open flames three stones stove pose risk of burns (particularly for children) and fires. Promotion of efficient cook-stoves and solar water heaters (as a replacement of wood fuelled heaters) will cast beneficial impact on the overall health status of society`s most vulnerable groups (women and children in rural regions) by producing cleaner and safer environment in kitchens and reducing the time spent on wood collection. In addition, these initiatives will create micro business opportunities for rural women (efficient stoves production and sale), which will improve their social standing. </w:t>
      </w:r>
    </w:p>
    <w:p w14:paraId="0F6F49FB" w14:textId="77777777" w:rsidR="00287D2D" w:rsidRPr="006122EE" w:rsidRDefault="00287D2D" w:rsidP="00B1153E">
      <w:pPr>
        <w:spacing w:line="276" w:lineRule="auto"/>
        <w:rPr>
          <w:lang w:eastAsia="en-US"/>
        </w:rPr>
      </w:pPr>
      <w:r w:rsidRPr="006122EE">
        <w:rPr>
          <w:b/>
          <w:lang w:eastAsia="en-US"/>
        </w:rPr>
        <w:t xml:space="preserve">Financing – development of EE financing mechanisms </w:t>
      </w:r>
      <w:r w:rsidRPr="006122EE">
        <w:rPr>
          <w:lang w:eastAsia="en-US"/>
        </w:rPr>
        <w:t>(dedicated EE Fund, specialized bank credit lines, on-the-bill financing models) will encourage various stakeholders from the private (local financial institutions, business and NGOs) and the public sector (ESCOM, MoNREE, MERA, the Treasury) to join efforts and improve the overall financial market environment in Malawi. The combined efforts of all stakeholders will not only enhance access to capital for the local business but will render Malawian economy more competitive at the regional and international level.</w:t>
      </w:r>
    </w:p>
    <w:p w14:paraId="3B75CB35" w14:textId="77777777" w:rsidR="00C33A28" w:rsidRPr="00866D96" w:rsidRDefault="00C33A28" w:rsidP="00726AF3">
      <w:pPr>
        <w:pStyle w:val="BTitle3"/>
        <w:rPr>
          <w:noProof w:val="0"/>
          <w:lang w:val="en-GB"/>
        </w:rPr>
      </w:pPr>
      <w:bookmarkStart w:id="441" w:name="_Toc481614934"/>
      <w:r w:rsidRPr="00866D96">
        <w:rPr>
          <w:noProof w:val="0"/>
          <w:lang w:val="en-GB"/>
        </w:rPr>
        <w:t>Priority actions synthesis</w:t>
      </w:r>
      <w:bookmarkEnd w:id="441"/>
    </w:p>
    <w:p w14:paraId="3101881C" w14:textId="77777777" w:rsidR="00C33A28" w:rsidRPr="00866D96" w:rsidRDefault="00C33A28" w:rsidP="00C33A28">
      <w:pPr>
        <w:rPr>
          <w:rFonts w:eastAsia="Times New Roman" w:cs="Arial"/>
          <w:color w:val="auto"/>
          <w:lang w:eastAsia="en-US"/>
        </w:rPr>
      </w:pPr>
      <w:r w:rsidRPr="00866D96">
        <w:rPr>
          <w:rFonts w:eastAsia="Times New Roman" w:cs="Arial"/>
          <w:color w:val="auto"/>
          <w:lang w:eastAsia="en-US"/>
        </w:rPr>
        <w:t xml:space="preserve">A summary of the priority actions proposed in the </w:t>
      </w:r>
      <w:r w:rsidR="00FE7056" w:rsidRPr="006122EE">
        <w:rPr>
          <w:lang w:eastAsia="en-US"/>
        </w:rPr>
        <w:t>SE4ALL</w:t>
      </w:r>
      <w:r w:rsidRPr="00866D96">
        <w:rPr>
          <w:rFonts w:eastAsia="Times New Roman" w:cs="Arial"/>
          <w:color w:val="auto"/>
          <w:lang w:eastAsia="en-US"/>
        </w:rPr>
        <w:t xml:space="preserve"> initiative is presented in the table below.</w:t>
      </w:r>
    </w:p>
    <w:p w14:paraId="22CF5FDB" w14:textId="77777777" w:rsidR="00C33A28" w:rsidRPr="00866D96" w:rsidRDefault="00C33A28" w:rsidP="00B509DD">
      <w:pPr>
        <w:rPr>
          <w:b/>
          <w:lang w:eastAsia="en-US"/>
        </w:rPr>
        <w:sectPr w:rsidR="00C33A28" w:rsidRPr="00866D96" w:rsidSect="00312C85">
          <w:footerReference w:type="even" r:id="rId46"/>
          <w:footerReference w:type="default" r:id="rId47"/>
          <w:pgSz w:w="11899" w:h="16838" w:code="9"/>
          <w:pgMar w:top="851" w:right="1134" w:bottom="851" w:left="1134" w:header="680" w:footer="794" w:gutter="227"/>
          <w:cols w:space="708"/>
          <w:docGrid w:linePitch="272"/>
        </w:sectPr>
      </w:pPr>
    </w:p>
    <w:p w14:paraId="089D2B8E" w14:textId="77777777" w:rsidR="00315EB2" w:rsidRPr="006122EE" w:rsidRDefault="00315EB2" w:rsidP="00315EB2">
      <w:pPr>
        <w:pStyle w:val="Caption"/>
      </w:pPr>
    </w:p>
    <w:p w14:paraId="109C95A5" w14:textId="77777777" w:rsidR="00852B61" w:rsidRPr="006122EE" w:rsidRDefault="00852B61" w:rsidP="00DF6714">
      <w:pPr>
        <w:pStyle w:val="Caption"/>
      </w:pPr>
      <w:bookmarkStart w:id="442" w:name="_Toc481615020"/>
      <w:r w:rsidRPr="006122EE">
        <w:t xml:space="preserve">Table </w:t>
      </w:r>
      <w:r w:rsidR="00DC7D8C">
        <w:fldChar w:fldCharType="begin"/>
      </w:r>
      <w:r w:rsidR="00DC7D8C">
        <w:instrText xml:space="preserve"> SEQ Table \* ARABIC </w:instrText>
      </w:r>
      <w:r w:rsidR="00DC7D8C">
        <w:fldChar w:fldCharType="separate"/>
      </w:r>
      <w:r w:rsidR="00866D96">
        <w:rPr>
          <w:noProof/>
        </w:rPr>
        <w:t>35</w:t>
      </w:r>
      <w:r w:rsidR="00DC7D8C">
        <w:rPr>
          <w:noProof/>
        </w:rPr>
        <w:fldChar w:fldCharType="end"/>
      </w:r>
      <w:r w:rsidRPr="006122EE">
        <w:t>:</w:t>
      </w:r>
      <w:r w:rsidR="00DF6714" w:rsidRPr="006122EE">
        <w:t xml:space="preserve"> </w:t>
      </w:r>
      <w:r w:rsidRPr="006122EE">
        <w:t>Summary of priority actions on Energy Efficiency</w:t>
      </w:r>
      <w:bookmarkEnd w:id="442"/>
    </w:p>
    <w:tbl>
      <w:tblPr>
        <w:tblStyle w:val="GridTable4-Accent32"/>
        <w:tblW w:w="5000" w:type="pct"/>
        <w:tblLayout w:type="fixed"/>
        <w:tblLook w:val="04A0" w:firstRow="1" w:lastRow="0" w:firstColumn="1" w:lastColumn="0" w:noHBand="0" w:noVBand="1"/>
      </w:tblPr>
      <w:tblGrid>
        <w:gridCol w:w="2987"/>
        <w:gridCol w:w="3695"/>
        <w:gridCol w:w="2127"/>
        <w:gridCol w:w="1558"/>
        <w:gridCol w:w="2127"/>
        <w:gridCol w:w="2632"/>
      </w:tblGrid>
      <w:tr w:rsidR="00315EB2" w:rsidRPr="006122EE" w14:paraId="55B9C620" w14:textId="77777777" w:rsidTr="00726AF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6225911D" w14:textId="77777777" w:rsidR="00315EB2" w:rsidRPr="006122EE" w:rsidRDefault="00315EB2" w:rsidP="00852B61">
            <w:pPr>
              <w:spacing w:before="0" w:after="0" w:line="240" w:lineRule="auto"/>
              <w:jc w:val="left"/>
              <w:rPr>
                <w:rFonts w:eastAsia="Times New Roman" w:cs="Arial"/>
                <w:bCs w:val="0"/>
                <w:color w:val="FFFFFF"/>
                <w:szCs w:val="20"/>
                <w:lang w:eastAsia="fr-FR"/>
              </w:rPr>
            </w:pPr>
            <w:r w:rsidRPr="006122EE">
              <w:rPr>
                <w:rFonts w:eastAsia="Times New Roman" w:cs="Arial"/>
                <w:color w:val="FFFFFF"/>
                <w:szCs w:val="20"/>
                <w:lang w:eastAsia="fr-FR"/>
              </w:rPr>
              <w:t>Category</w:t>
            </w:r>
          </w:p>
        </w:tc>
        <w:tc>
          <w:tcPr>
            <w:tcW w:w="1221" w:type="pct"/>
            <w:noWrap/>
          </w:tcPr>
          <w:p w14:paraId="563CEBE3" w14:textId="77777777" w:rsidR="00315EB2" w:rsidRPr="006122EE" w:rsidRDefault="00315EB2"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Action</w:t>
            </w:r>
          </w:p>
        </w:tc>
        <w:tc>
          <w:tcPr>
            <w:tcW w:w="703" w:type="pct"/>
          </w:tcPr>
          <w:p w14:paraId="7A3241F2" w14:textId="77777777" w:rsidR="00315EB2" w:rsidRPr="006122EE" w:rsidRDefault="00315EB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Indicative time frame</w:t>
            </w:r>
          </w:p>
        </w:tc>
        <w:tc>
          <w:tcPr>
            <w:tcW w:w="515" w:type="pct"/>
          </w:tcPr>
          <w:p w14:paraId="7518E2FD" w14:textId="77777777" w:rsidR="00315EB2" w:rsidRPr="006122EE" w:rsidRDefault="00315EB2"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Lead agency</w:t>
            </w:r>
          </w:p>
        </w:tc>
        <w:tc>
          <w:tcPr>
            <w:tcW w:w="703" w:type="pct"/>
          </w:tcPr>
          <w:p w14:paraId="56C8EA56" w14:textId="77777777" w:rsidR="00315EB2" w:rsidRPr="006122EE" w:rsidRDefault="00315EB2"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Cooperating stakeholders</w:t>
            </w:r>
          </w:p>
        </w:tc>
        <w:tc>
          <w:tcPr>
            <w:tcW w:w="870" w:type="pct"/>
          </w:tcPr>
          <w:p w14:paraId="74D2CAC4" w14:textId="77777777" w:rsidR="00315EB2" w:rsidRPr="006122EE" w:rsidRDefault="00315EB2"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Estimated costs</w:t>
            </w:r>
          </w:p>
        </w:tc>
      </w:tr>
      <w:tr w:rsidR="00315EB2" w:rsidRPr="006122EE" w14:paraId="7FE13166"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vMerge w:val="restart"/>
            <w:noWrap/>
          </w:tcPr>
          <w:p w14:paraId="52F29C74" w14:textId="77777777" w:rsidR="00315EB2" w:rsidRPr="006122EE" w:rsidRDefault="00315EB2"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Institutions</w:t>
            </w:r>
          </w:p>
        </w:tc>
        <w:tc>
          <w:tcPr>
            <w:tcW w:w="1221" w:type="pct"/>
            <w:noWrap/>
          </w:tcPr>
          <w:p w14:paraId="4068FE62" w14:textId="77777777" w:rsidR="00315EB2" w:rsidRPr="006122EE" w:rsidRDefault="00315EB2" w:rsidP="00DA658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Establish National Energy Efficiency </w:t>
            </w:r>
            <w:r w:rsidR="00DA6589" w:rsidRPr="006122EE">
              <w:rPr>
                <w:rFonts w:eastAsia="Times New Roman" w:cs="Arial"/>
                <w:color w:val="000000"/>
                <w:szCs w:val="20"/>
                <w:lang w:eastAsia="fr-FR"/>
              </w:rPr>
              <w:t>Committee</w:t>
            </w:r>
          </w:p>
        </w:tc>
        <w:tc>
          <w:tcPr>
            <w:tcW w:w="703" w:type="pct"/>
          </w:tcPr>
          <w:p w14:paraId="16F3D331"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22F9AD42"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w:t>
            </w:r>
          </w:p>
        </w:tc>
        <w:tc>
          <w:tcPr>
            <w:tcW w:w="703" w:type="pct"/>
          </w:tcPr>
          <w:p w14:paraId="5F788821"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w:t>
            </w:r>
          </w:p>
        </w:tc>
        <w:tc>
          <w:tcPr>
            <w:tcW w:w="870" w:type="pct"/>
          </w:tcPr>
          <w:p w14:paraId="2E0B3AF2"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315EB2" w:rsidRPr="006122EE" w14:paraId="752C2EB2"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7D310DF0" w14:textId="77777777" w:rsidR="00315EB2" w:rsidRPr="006122EE" w:rsidRDefault="00315EB2" w:rsidP="00852B61">
            <w:pPr>
              <w:spacing w:before="0" w:after="0" w:line="240" w:lineRule="auto"/>
              <w:jc w:val="left"/>
              <w:rPr>
                <w:rFonts w:eastAsia="Times New Roman" w:cs="Arial"/>
                <w:color w:val="000000"/>
                <w:szCs w:val="20"/>
                <w:lang w:eastAsia="fr-FR"/>
              </w:rPr>
            </w:pPr>
          </w:p>
        </w:tc>
        <w:tc>
          <w:tcPr>
            <w:tcW w:w="1221" w:type="pct"/>
            <w:noWrap/>
          </w:tcPr>
          <w:p w14:paraId="5DF0A201"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Establish EE/RE Fund</w:t>
            </w:r>
          </w:p>
        </w:tc>
        <w:tc>
          <w:tcPr>
            <w:tcW w:w="703" w:type="pct"/>
          </w:tcPr>
          <w:p w14:paraId="7383D6E7"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short to medium term </w:t>
            </w:r>
          </w:p>
        </w:tc>
        <w:tc>
          <w:tcPr>
            <w:tcW w:w="515" w:type="pct"/>
          </w:tcPr>
          <w:p w14:paraId="23D85441"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MoFED</w:t>
            </w:r>
          </w:p>
        </w:tc>
        <w:tc>
          <w:tcPr>
            <w:tcW w:w="703" w:type="pct"/>
          </w:tcPr>
          <w:p w14:paraId="3D2510AA"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 Malawi Development Bank (upon establishment)</w:t>
            </w:r>
          </w:p>
        </w:tc>
        <w:tc>
          <w:tcPr>
            <w:tcW w:w="870" w:type="pct"/>
          </w:tcPr>
          <w:p w14:paraId="51FD156F"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USD 30 million</w:t>
            </w:r>
            <w:r w:rsidRPr="006122EE">
              <w:rPr>
                <w:rFonts w:eastAsia="Times New Roman" w:cs="Arial"/>
                <w:color w:val="000000"/>
                <w:szCs w:val="20"/>
                <w:vertAlign w:val="superscript"/>
                <w:lang w:eastAsia="fr-FR"/>
              </w:rPr>
              <w:footnoteReference w:id="83"/>
            </w:r>
          </w:p>
        </w:tc>
      </w:tr>
      <w:tr w:rsidR="00315EB2" w:rsidRPr="006122EE" w14:paraId="7EE297DB"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3B0847AB" w14:textId="77777777" w:rsidR="00315EB2" w:rsidRPr="006122EE" w:rsidRDefault="00315EB2"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Agriculture</w:t>
            </w:r>
          </w:p>
        </w:tc>
        <w:tc>
          <w:tcPr>
            <w:tcW w:w="1221" w:type="pct"/>
            <w:noWrap/>
          </w:tcPr>
          <w:p w14:paraId="47B23F44"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Build/Install 5 000 efficient tobacco curing barns</w:t>
            </w:r>
          </w:p>
        </w:tc>
        <w:tc>
          <w:tcPr>
            <w:tcW w:w="703" w:type="pct"/>
          </w:tcPr>
          <w:p w14:paraId="1C31ECDF"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4258E055"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Ministry of agriculture and water development</w:t>
            </w:r>
          </w:p>
        </w:tc>
        <w:tc>
          <w:tcPr>
            <w:tcW w:w="703" w:type="pct"/>
          </w:tcPr>
          <w:p w14:paraId="66A2F4FE"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Tobacco control commission, MoFED</w:t>
            </w:r>
          </w:p>
        </w:tc>
        <w:tc>
          <w:tcPr>
            <w:tcW w:w="870" w:type="pct"/>
          </w:tcPr>
          <w:p w14:paraId="149DA57E"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USD 7.5 million</w:t>
            </w:r>
            <w:r w:rsidRPr="006122EE">
              <w:rPr>
                <w:rFonts w:eastAsia="Times New Roman" w:cs="Arial"/>
                <w:color w:val="000000"/>
                <w:szCs w:val="20"/>
                <w:vertAlign w:val="superscript"/>
                <w:lang w:eastAsia="fr-FR"/>
              </w:rPr>
              <w:footnoteReference w:id="84"/>
            </w:r>
          </w:p>
        </w:tc>
      </w:tr>
      <w:tr w:rsidR="00315EB2" w:rsidRPr="006122EE" w14:paraId="28035A62"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vMerge w:val="restart"/>
            <w:noWrap/>
          </w:tcPr>
          <w:p w14:paraId="55E89887" w14:textId="77777777" w:rsidR="00315EB2" w:rsidRPr="006122EE" w:rsidRDefault="00315EB2"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Policy</w:t>
            </w:r>
          </w:p>
        </w:tc>
        <w:tc>
          <w:tcPr>
            <w:tcW w:w="1221" w:type="pct"/>
            <w:noWrap/>
          </w:tcPr>
          <w:p w14:paraId="57306981"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Introduce National Energy Management Regulations</w:t>
            </w:r>
          </w:p>
        </w:tc>
        <w:tc>
          <w:tcPr>
            <w:tcW w:w="703" w:type="pct"/>
          </w:tcPr>
          <w:p w14:paraId="774C5A5E"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4733C68D"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tcPr>
          <w:p w14:paraId="2854F98C"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tcPr>
          <w:p w14:paraId="5EF64008"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315EB2" w:rsidRPr="006122EE" w14:paraId="7A895A26"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23AF3586" w14:textId="77777777" w:rsidR="00315EB2" w:rsidRPr="006122EE" w:rsidRDefault="00315EB2" w:rsidP="00852B61">
            <w:pPr>
              <w:spacing w:before="0" w:after="0" w:line="240" w:lineRule="auto"/>
              <w:jc w:val="left"/>
              <w:rPr>
                <w:rFonts w:eastAsia="Times New Roman" w:cs="Arial"/>
                <w:color w:val="000000"/>
                <w:szCs w:val="20"/>
                <w:lang w:eastAsia="fr-FR"/>
              </w:rPr>
            </w:pPr>
          </w:p>
        </w:tc>
        <w:tc>
          <w:tcPr>
            <w:tcW w:w="1221" w:type="pct"/>
            <w:noWrap/>
          </w:tcPr>
          <w:p w14:paraId="13A519F1"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Introduce Minimum Energy Performance Standards and Labelling regulations for lighting bulbs and other electrical appliances and equipment</w:t>
            </w:r>
          </w:p>
        </w:tc>
        <w:tc>
          <w:tcPr>
            <w:tcW w:w="703" w:type="pct"/>
          </w:tcPr>
          <w:p w14:paraId="3FE0F83C"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349FECCA"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tcPr>
          <w:p w14:paraId="764BD6CC"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tcPr>
          <w:p w14:paraId="567C5302"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315EB2" w:rsidRPr="006122EE" w14:paraId="1289C8A6" w14:textId="77777777" w:rsidTr="00726AF3">
        <w:trPr>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02546FA0" w14:textId="77777777" w:rsidR="00315EB2" w:rsidRPr="006122EE" w:rsidRDefault="00315EB2" w:rsidP="00852B61">
            <w:pPr>
              <w:spacing w:before="0" w:after="0" w:line="240" w:lineRule="auto"/>
              <w:jc w:val="left"/>
              <w:rPr>
                <w:rFonts w:eastAsia="Times New Roman" w:cs="Arial"/>
                <w:color w:val="000000"/>
                <w:szCs w:val="20"/>
                <w:lang w:eastAsia="fr-FR"/>
              </w:rPr>
            </w:pPr>
          </w:p>
        </w:tc>
        <w:tc>
          <w:tcPr>
            <w:tcW w:w="1221" w:type="pct"/>
            <w:noWrap/>
          </w:tcPr>
          <w:p w14:paraId="7C4AFE80"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Conduct national EE audit and develop national EE action plan</w:t>
            </w:r>
          </w:p>
        </w:tc>
        <w:tc>
          <w:tcPr>
            <w:tcW w:w="703" w:type="pct"/>
          </w:tcPr>
          <w:p w14:paraId="6412693D"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315C39EE"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tcPr>
          <w:p w14:paraId="3A272119"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tcPr>
          <w:p w14:paraId="0A2D9A6C" w14:textId="77777777" w:rsidR="00315EB2" w:rsidRPr="006122EE" w:rsidRDefault="00E45C2A"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USD 250 000</w:t>
            </w:r>
          </w:p>
        </w:tc>
      </w:tr>
      <w:tr w:rsidR="00315EB2" w:rsidRPr="006122EE" w14:paraId="340709B8"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4AE3509C" w14:textId="77777777" w:rsidR="00315EB2" w:rsidRPr="006122EE" w:rsidRDefault="00315EB2" w:rsidP="00852B61">
            <w:pPr>
              <w:spacing w:before="0" w:after="0" w:line="240" w:lineRule="auto"/>
              <w:jc w:val="left"/>
              <w:rPr>
                <w:rFonts w:eastAsia="Times New Roman" w:cs="Arial"/>
                <w:color w:val="000000"/>
                <w:szCs w:val="20"/>
                <w:lang w:eastAsia="fr-FR"/>
              </w:rPr>
            </w:pPr>
          </w:p>
        </w:tc>
        <w:tc>
          <w:tcPr>
            <w:tcW w:w="1221" w:type="pct"/>
            <w:noWrap/>
          </w:tcPr>
          <w:p w14:paraId="0D985561"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Establishment of EE and RE technical excellence centre</w:t>
            </w:r>
          </w:p>
        </w:tc>
        <w:tc>
          <w:tcPr>
            <w:tcW w:w="703" w:type="pct"/>
          </w:tcPr>
          <w:p w14:paraId="28102283"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0E08BEE1"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Malawi Bureau of Standards</w:t>
            </w:r>
          </w:p>
        </w:tc>
        <w:tc>
          <w:tcPr>
            <w:tcW w:w="703" w:type="pct"/>
          </w:tcPr>
          <w:p w14:paraId="008F7590"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 MERA</w:t>
            </w:r>
            <w:r w:rsidR="00384559" w:rsidRPr="006122EE">
              <w:rPr>
                <w:rFonts w:eastAsia="Times New Roman" w:cs="Arial"/>
                <w:color w:val="000000"/>
                <w:szCs w:val="20"/>
                <w:lang w:eastAsia="fr-FR"/>
              </w:rPr>
              <w:t>, NCST</w:t>
            </w:r>
          </w:p>
        </w:tc>
        <w:tc>
          <w:tcPr>
            <w:tcW w:w="870" w:type="pct"/>
          </w:tcPr>
          <w:p w14:paraId="1A9DD527"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315EB2" w:rsidRPr="006122EE" w14:paraId="5015A7B6" w14:textId="77777777" w:rsidTr="00726AF3">
        <w:trPr>
          <w:trHeight w:val="920"/>
        </w:trPr>
        <w:tc>
          <w:tcPr>
            <w:cnfStyle w:val="001000000000" w:firstRow="0" w:lastRow="0" w:firstColumn="1" w:lastColumn="0" w:oddVBand="0" w:evenVBand="0" w:oddHBand="0" w:evenHBand="0" w:firstRowFirstColumn="0" w:firstRowLastColumn="0" w:lastRowFirstColumn="0" w:lastRowLastColumn="0"/>
            <w:tcW w:w="987" w:type="pct"/>
            <w:noWrap/>
          </w:tcPr>
          <w:p w14:paraId="0D0CA0F1" w14:textId="77777777" w:rsidR="00315EB2" w:rsidRPr="006122EE" w:rsidRDefault="00315EB2"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DSM (lighting)</w:t>
            </w:r>
          </w:p>
        </w:tc>
        <w:tc>
          <w:tcPr>
            <w:tcW w:w="1221" w:type="pct"/>
            <w:noWrap/>
          </w:tcPr>
          <w:p w14:paraId="3886E527"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Roll out 8.25 million LEDs</w:t>
            </w:r>
          </w:p>
        </w:tc>
        <w:tc>
          <w:tcPr>
            <w:tcW w:w="703" w:type="pct"/>
          </w:tcPr>
          <w:p w14:paraId="2A11CFB7"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throughout 2030</w:t>
            </w:r>
          </w:p>
        </w:tc>
        <w:tc>
          <w:tcPr>
            <w:tcW w:w="515" w:type="pct"/>
          </w:tcPr>
          <w:p w14:paraId="085A66AB"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ESCOM</w:t>
            </w:r>
          </w:p>
        </w:tc>
        <w:tc>
          <w:tcPr>
            <w:tcW w:w="703" w:type="pct"/>
          </w:tcPr>
          <w:p w14:paraId="0F2150AB"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MoNREM, Ministry of Finance and Economic Development</w:t>
            </w:r>
          </w:p>
        </w:tc>
        <w:tc>
          <w:tcPr>
            <w:tcW w:w="870" w:type="pct"/>
          </w:tcPr>
          <w:p w14:paraId="0C20597C" w14:textId="77777777" w:rsidR="00315EB2" w:rsidRPr="006122EE" w:rsidRDefault="00315EB2"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around USD 16.5 million</w:t>
            </w:r>
            <w:r w:rsidRPr="006122EE">
              <w:rPr>
                <w:rFonts w:eastAsia="Times New Roman" w:cs="Arial"/>
                <w:color w:val="000000"/>
                <w:szCs w:val="20"/>
                <w:vertAlign w:val="superscript"/>
                <w:lang w:eastAsia="fr-FR"/>
              </w:rPr>
              <w:footnoteReference w:id="85"/>
            </w:r>
          </w:p>
        </w:tc>
      </w:tr>
      <w:tr w:rsidR="00315EB2" w:rsidRPr="006122EE" w14:paraId="30A65104" w14:textId="77777777" w:rsidTr="00726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7" w:type="pct"/>
            <w:noWrap/>
          </w:tcPr>
          <w:p w14:paraId="69CFDDC3" w14:textId="77777777" w:rsidR="00315EB2" w:rsidRPr="006122EE" w:rsidRDefault="00315EB2"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DSM</w:t>
            </w:r>
          </w:p>
        </w:tc>
        <w:tc>
          <w:tcPr>
            <w:tcW w:w="1221" w:type="pct"/>
            <w:noWrap/>
          </w:tcPr>
          <w:p w14:paraId="667B6A37"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Installation of 1.6 million pre-paid meters to grid connected households</w:t>
            </w:r>
          </w:p>
        </w:tc>
        <w:tc>
          <w:tcPr>
            <w:tcW w:w="703" w:type="pct"/>
          </w:tcPr>
          <w:p w14:paraId="27A69ACC"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to long term</w:t>
            </w:r>
          </w:p>
        </w:tc>
        <w:tc>
          <w:tcPr>
            <w:tcW w:w="515" w:type="pct"/>
          </w:tcPr>
          <w:p w14:paraId="3D8D3D48"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ESCOM</w:t>
            </w:r>
          </w:p>
        </w:tc>
        <w:tc>
          <w:tcPr>
            <w:tcW w:w="703" w:type="pct"/>
          </w:tcPr>
          <w:p w14:paraId="6E74BD55"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MoFED, MoNREM</w:t>
            </w:r>
          </w:p>
        </w:tc>
        <w:tc>
          <w:tcPr>
            <w:tcW w:w="870" w:type="pct"/>
          </w:tcPr>
          <w:p w14:paraId="0F905F57" w14:textId="77777777" w:rsidR="00315EB2" w:rsidRPr="006122EE" w:rsidRDefault="00315EB2"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USD 64 million</w:t>
            </w:r>
            <w:r w:rsidRPr="006122EE">
              <w:rPr>
                <w:rStyle w:val="FootnoteReference"/>
                <w:rFonts w:eastAsia="Times New Roman" w:cs="Arial"/>
                <w:color w:val="000000"/>
                <w:szCs w:val="20"/>
                <w:lang w:eastAsia="fr-FR"/>
              </w:rPr>
              <w:footnoteReference w:id="86"/>
            </w:r>
          </w:p>
        </w:tc>
      </w:tr>
    </w:tbl>
    <w:p w14:paraId="777EDA12" w14:textId="77777777" w:rsidR="00C33A28" w:rsidRPr="00866D96" w:rsidRDefault="00C33A28" w:rsidP="00B509DD">
      <w:pPr>
        <w:rPr>
          <w:b/>
          <w:lang w:eastAsia="en-US"/>
        </w:rPr>
        <w:sectPr w:rsidR="00C33A28" w:rsidRPr="00866D96" w:rsidSect="00DF6714">
          <w:footerReference w:type="even" r:id="rId48"/>
          <w:pgSz w:w="16838" w:h="11899" w:orient="landscape" w:code="9"/>
          <w:pgMar w:top="1134" w:right="851" w:bottom="1134" w:left="851" w:header="680" w:footer="794" w:gutter="227"/>
          <w:cols w:space="708"/>
          <w:docGrid w:linePitch="272"/>
        </w:sectPr>
      </w:pPr>
    </w:p>
    <w:p w14:paraId="5880D9A7" w14:textId="77777777" w:rsidR="00C33A28" w:rsidRPr="00866D96" w:rsidRDefault="00C33A28" w:rsidP="00B509DD">
      <w:pPr>
        <w:rPr>
          <w:b/>
          <w:lang w:eastAsia="en-US"/>
        </w:rPr>
      </w:pPr>
    </w:p>
    <w:p w14:paraId="622AB1E9" w14:textId="77777777" w:rsidR="005F27B0" w:rsidRPr="00866D96" w:rsidRDefault="005F27B0" w:rsidP="006E363C">
      <w:pPr>
        <w:pStyle w:val="BTitle20"/>
        <w:rPr>
          <w:noProof w:val="0"/>
        </w:rPr>
      </w:pPr>
      <w:bookmarkStart w:id="443" w:name="_Toc448426497"/>
      <w:bookmarkStart w:id="444" w:name="_Toc481614935"/>
      <w:bookmarkEnd w:id="443"/>
      <w:r w:rsidRPr="00866D96">
        <w:rPr>
          <w:noProof w:val="0"/>
        </w:rPr>
        <w:t>Transportation – Alternative fuels</w:t>
      </w:r>
      <w:bookmarkEnd w:id="444"/>
    </w:p>
    <w:p w14:paraId="1AF8141C" w14:textId="77777777" w:rsidR="005F27B0" w:rsidRPr="006122EE" w:rsidRDefault="005F27B0" w:rsidP="005F27B0">
      <w:pPr>
        <w:pStyle w:val="BTitle3"/>
        <w:numPr>
          <w:ilvl w:val="2"/>
          <w:numId w:val="26"/>
        </w:numPr>
        <w:ind w:left="1429"/>
        <w:rPr>
          <w:noProof w:val="0"/>
          <w:lang w:val="en-GB"/>
        </w:rPr>
      </w:pPr>
      <w:bookmarkStart w:id="445" w:name="_Toc481614936"/>
      <w:r w:rsidRPr="006122EE">
        <w:rPr>
          <w:noProof w:val="0"/>
          <w:lang w:val="en-GB"/>
        </w:rPr>
        <w:t>What are the actions and funding levels needed to achieve the overarching objective in the field of alternative fuels?</w:t>
      </w:r>
      <w:bookmarkEnd w:id="445"/>
      <w:r w:rsidRPr="006122EE">
        <w:rPr>
          <w:noProof w:val="0"/>
          <w:lang w:val="en-GB"/>
        </w:rPr>
        <w:t xml:space="preserve"> </w:t>
      </w:r>
    </w:p>
    <w:p w14:paraId="3A282F31" w14:textId="77777777" w:rsidR="005F27B0" w:rsidRPr="006122EE" w:rsidRDefault="005F27B0" w:rsidP="00B1153E">
      <w:pPr>
        <w:spacing w:line="276" w:lineRule="auto"/>
      </w:pPr>
      <w:r w:rsidRPr="006122EE">
        <w:t xml:space="preserve">The paragraphs below describe the priority action areas to be attained in order the SE4ALL targets on alternative fuels are met. </w:t>
      </w:r>
    </w:p>
    <w:p w14:paraId="32A74D68" w14:textId="77777777" w:rsidR="005F27B0" w:rsidRPr="006122EE" w:rsidRDefault="005F27B0" w:rsidP="00B1153E">
      <w:pPr>
        <w:pStyle w:val="Style1"/>
        <w:spacing w:line="276" w:lineRule="auto"/>
      </w:pPr>
      <w:r w:rsidRPr="006122EE">
        <w:t>Develop a policy framework that promotes use of cleaner fuels</w:t>
      </w:r>
    </w:p>
    <w:p w14:paraId="57516A1E" w14:textId="77777777" w:rsidR="005F27B0" w:rsidRPr="00866D96" w:rsidRDefault="005F27B0" w:rsidP="00B1153E">
      <w:pPr>
        <w:pStyle w:val="CSubtitle2"/>
        <w:spacing w:line="276" w:lineRule="auto"/>
        <w:rPr>
          <w:noProof w:val="0"/>
          <w:lang w:val="en-GB"/>
        </w:rPr>
      </w:pPr>
      <w:r w:rsidRPr="00866D96">
        <w:rPr>
          <w:noProof w:val="0"/>
          <w:lang w:val="en-GB"/>
        </w:rPr>
        <w:t>Governance</w:t>
      </w:r>
    </w:p>
    <w:p w14:paraId="6960EAD8" w14:textId="77777777" w:rsidR="005F27B0" w:rsidRPr="006122EE" w:rsidRDefault="005F27B0" w:rsidP="00B1153E">
      <w:pPr>
        <w:spacing w:line="276" w:lineRule="auto"/>
      </w:pPr>
      <w:r w:rsidRPr="006122EE">
        <w:t>This AA recommends implementing a coordination mechanism as soon as possible, establishing a biofuels coordinating committee. This committee will be in charge to coordinate policies and make sure they are properly implemented, especially regarding mandatory blends that are the main driver for investment decisions. It will also be in charge of preparing production scenarios to support biofuel production and investment in this sector.</w:t>
      </w:r>
    </w:p>
    <w:p w14:paraId="461E5A87" w14:textId="77777777" w:rsidR="005F27B0" w:rsidRDefault="005F27B0" w:rsidP="00B1153E">
      <w:pPr>
        <w:spacing w:line="276" w:lineRule="auto"/>
      </w:pPr>
      <w:r w:rsidRPr="006122EE">
        <w:t>This committee could be revived from the former Biofuels Advisory Committee and the following members will be part of this group:</w:t>
      </w:r>
    </w:p>
    <w:p w14:paraId="1583C2C4" w14:textId="77777777" w:rsidR="00B1153E" w:rsidRPr="006122EE" w:rsidRDefault="00B1153E" w:rsidP="00B1153E">
      <w:pPr>
        <w:spacing w:line="276" w:lineRule="auto"/>
      </w:pPr>
    </w:p>
    <w:p w14:paraId="7AD384E2" w14:textId="77777777" w:rsidR="005F27B0" w:rsidRPr="006122EE" w:rsidRDefault="005F27B0" w:rsidP="005F27B0">
      <w:pPr>
        <w:pStyle w:val="Caption"/>
        <w:spacing w:line="276" w:lineRule="auto"/>
      </w:pPr>
      <w:bookmarkStart w:id="446" w:name="_Toc481615021"/>
      <w:r w:rsidRPr="006122EE">
        <w:t xml:space="preserve">Table </w:t>
      </w:r>
      <w:r w:rsidR="00DC7D8C">
        <w:fldChar w:fldCharType="begin"/>
      </w:r>
      <w:r w:rsidR="00DC7D8C">
        <w:instrText xml:space="preserve"> SEQ Table \* ARABIC </w:instrText>
      </w:r>
      <w:r w:rsidR="00DC7D8C">
        <w:fldChar w:fldCharType="separate"/>
      </w:r>
      <w:r w:rsidR="00866D96">
        <w:rPr>
          <w:noProof/>
        </w:rPr>
        <w:t>36</w:t>
      </w:r>
      <w:r w:rsidR="00DC7D8C">
        <w:rPr>
          <w:noProof/>
        </w:rPr>
        <w:fldChar w:fldCharType="end"/>
      </w:r>
      <w:r w:rsidRPr="006122EE">
        <w:t>: Composition of the Biofuels Coordinating Committee</w:t>
      </w:r>
      <w:bookmarkEnd w:id="446"/>
    </w:p>
    <w:tbl>
      <w:tblPr>
        <w:tblStyle w:val="GridTable4-Accent32"/>
        <w:tblW w:w="0" w:type="auto"/>
        <w:tblCellMar>
          <w:top w:w="28" w:type="dxa"/>
          <w:bottom w:w="28" w:type="dxa"/>
        </w:tblCellMar>
        <w:tblLook w:val="04A0" w:firstRow="1" w:lastRow="0" w:firstColumn="1" w:lastColumn="0" w:noHBand="0" w:noVBand="1"/>
      </w:tblPr>
      <w:tblGrid>
        <w:gridCol w:w="4700"/>
        <w:gridCol w:w="4694"/>
      </w:tblGrid>
      <w:tr w:rsidR="005F27B0" w:rsidRPr="006122EE" w14:paraId="46A615A7" w14:textId="77777777" w:rsidTr="00BC204F">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1F9DCE56" w14:textId="77777777" w:rsidR="005F27B0" w:rsidRPr="006122EE" w:rsidRDefault="005F27B0" w:rsidP="00BC204F">
            <w:pPr>
              <w:keepNext/>
              <w:keepLines/>
              <w:spacing w:before="0" w:after="0" w:line="276" w:lineRule="auto"/>
              <w:jc w:val="center"/>
              <w:outlineLvl w:val="8"/>
            </w:pPr>
            <w:r w:rsidRPr="006122EE">
              <w:t>Organisation</w:t>
            </w:r>
          </w:p>
        </w:tc>
        <w:tc>
          <w:tcPr>
            <w:tcW w:w="4772" w:type="dxa"/>
            <w:vAlign w:val="center"/>
          </w:tcPr>
          <w:p w14:paraId="04017304" w14:textId="77777777" w:rsidR="005F27B0" w:rsidRPr="006122EE" w:rsidRDefault="005F27B0" w:rsidP="00BC204F">
            <w:pPr>
              <w:keepNext/>
              <w:keepLines/>
              <w:spacing w:before="0" w:after="0" w:line="276" w:lineRule="auto"/>
              <w:jc w:val="center"/>
              <w:outlineLvl w:val="8"/>
              <w:cnfStyle w:val="100000000000" w:firstRow="1" w:lastRow="0" w:firstColumn="0" w:lastColumn="0" w:oddVBand="0" w:evenVBand="0" w:oddHBand="0" w:evenHBand="0" w:firstRowFirstColumn="0" w:firstRowLastColumn="0" w:lastRowFirstColumn="0" w:lastRowLastColumn="0"/>
            </w:pPr>
            <w:r w:rsidRPr="006122EE">
              <w:t>Role</w:t>
            </w:r>
          </w:p>
        </w:tc>
      </w:tr>
      <w:tr w:rsidR="005F27B0" w:rsidRPr="006122EE" w14:paraId="5802C3E9" w14:textId="77777777" w:rsidTr="00BC2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6C998028" w14:textId="77777777" w:rsidR="005F27B0" w:rsidRPr="006122EE" w:rsidRDefault="005F27B0" w:rsidP="00BC204F">
            <w:pPr>
              <w:spacing w:before="0" w:after="0" w:line="276" w:lineRule="auto"/>
              <w:jc w:val="left"/>
              <w:rPr>
                <w:b w:val="0"/>
              </w:rPr>
            </w:pPr>
            <w:r w:rsidRPr="006122EE">
              <w:t>Department of Energy Affairs</w:t>
            </w:r>
          </w:p>
        </w:tc>
        <w:tc>
          <w:tcPr>
            <w:tcW w:w="4772" w:type="dxa"/>
            <w:vAlign w:val="center"/>
          </w:tcPr>
          <w:p w14:paraId="57D66C3A" w14:textId="77777777" w:rsidR="005F27B0" w:rsidRPr="006122EE" w:rsidRDefault="005F27B0" w:rsidP="00BC204F">
            <w:pPr>
              <w:keepNext/>
              <w:keepLines/>
              <w:spacing w:before="0" w:after="0" w:line="276" w:lineRule="auto"/>
              <w:jc w:val="left"/>
              <w:outlineLvl w:val="8"/>
              <w:cnfStyle w:val="000000100000" w:firstRow="0" w:lastRow="0" w:firstColumn="0" w:lastColumn="0" w:oddVBand="0" w:evenVBand="0" w:oddHBand="1" w:evenHBand="0" w:firstRowFirstColumn="0" w:firstRowLastColumn="0" w:lastRowFirstColumn="0" w:lastRowLastColumn="0"/>
            </w:pPr>
            <w:r w:rsidRPr="006122EE">
              <w:t>Coordinating committee chair</w:t>
            </w:r>
          </w:p>
        </w:tc>
      </w:tr>
      <w:tr w:rsidR="005F27B0" w:rsidRPr="006122EE" w14:paraId="13BF9E1E" w14:textId="77777777" w:rsidTr="00BC204F">
        <w:tc>
          <w:tcPr>
            <w:cnfStyle w:val="001000000000" w:firstRow="0" w:lastRow="0" w:firstColumn="1" w:lastColumn="0" w:oddVBand="0" w:evenVBand="0" w:oddHBand="0" w:evenHBand="0" w:firstRowFirstColumn="0" w:firstRowLastColumn="0" w:lastRowFirstColumn="0" w:lastRowLastColumn="0"/>
            <w:tcW w:w="4772" w:type="dxa"/>
            <w:vAlign w:val="center"/>
          </w:tcPr>
          <w:p w14:paraId="7D22AF7C" w14:textId="77777777" w:rsidR="005F27B0" w:rsidRPr="006122EE" w:rsidRDefault="005F27B0" w:rsidP="00BC204F">
            <w:pPr>
              <w:spacing w:before="0" w:after="0" w:line="276" w:lineRule="auto"/>
              <w:jc w:val="left"/>
              <w:rPr>
                <w:b w:val="0"/>
              </w:rPr>
            </w:pPr>
            <w:r w:rsidRPr="006122EE">
              <w:t>Ministry of Agriculture and Water Development</w:t>
            </w:r>
          </w:p>
        </w:tc>
        <w:tc>
          <w:tcPr>
            <w:tcW w:w="4772" w:type="dxa"/>
            <w:vAlign w:val="center"/>
          </w:tcPr>
          <w:p w14:paraId="36B33331" w14:textId="77777777" w:rsidR="005F27B0" w:rsidRPr="006122EE" w:rsidRDefault="005F27B0" w:rsidP="00BC204F">
            <w:pPr>
              <w:keepNext/>
              <w:keepLines/>
              <w:spacing w:before="0" w:after="0" w:line="276" w:lineRule="auto"/>
              <w:jc w:val="left"/>
              <w:outlineLvl w:val="8"/>
              <w:cnfStyle w:val="000000000000" w:firstRow="0" w:lastRow="0" w:firstColumn="0" w:lastColumn="0" w:oddVBand="0" w:evenVBand="0" w:oddHBand="0" w:evenHBand="0" w:firstRowFirstColumn="0" w:firstRowLastColumn="0" w:lastRowFirstColumn="0" w:lastRowLastColumn="0"/>
            </w:pPr>
            <w:r w:rsidRPr="006122EE">
              <w:t>Provide information on crops production</w:t>
            </w:r>
          </w:p>
        </w:tc>
      </w:tr>
      <w:tr w:rsidR="005F27B0" w:rsidRPr="006122EE" w14:paraId="50D10F06" w14:textId="77777777" w:rsidTr="00BC2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3921AB08" w14:textId="77777777" w:rsidR="005F27B0" w:rsidRPr="006122EE" w:rsidRDefault="005F27B0" w:rsidP="00BC204F">
            <w:pPr>
              <w:spacing w:before="0" w:after="0" w:line="276" w:lineRule="auto"/>
              <w:jc w:val="left"/>
              <w:rPr>
                <w:b w:val="0"/>
              </w:rPr>
            </w:pPr>
            <w:r w:rsidRPr="006122EE">
              <w:t>Ministry of Agriculture and Water Development - Department of Environment</w:t>
            </w:r>
          </w:p>
        </w:tc>
        <w:tc>
          <w:tcPr>
            <w:tcW w:w="4772" w:type="dxa"/>
            <w:vAlign w:val="center"/>
          </w:tcPr>
          <w:p w14:paraId="5BAB2C58" w14:textId="77777777" w:rsidR="005F27B0" w:rsidRPr="006122EE" w:rsidRDefault="005F27B0" w:rsidP="00BC204F">
            <w:pPr>
              <w:keepNext/>
              <w:keepLines/>
              <w:spacing w:before="0" w:after="0" w:line="276" w:lineRule="auto"/>
              <w:jc w:val="left"/>
              <w:outlineLvl w:val="8"/>
              <w:cnfStyle w:val="000000100000" w:firstRow="0" w:lastRow="0" w:firstColumn="0" w:lastColumn="0" w:oddVBand="0" w:evenVBand="0" w:oddHBand="1" w:evenHBand="0" w:firstRowFirstColumn="0" w:firstRowLastColumn="0" w:lastRowFirstColumn="0" w:lastRowLastColumn="0"/>
            </w:pPr>
            <w:r w:rsidRPr="006122EE">
              <w:t>Provide an environmental framework to the activity (and especially information on water quality, identified as a main barrier)</w:t>
            </w:r>
          </w:p>
        </w:tc>
      </w:tr>
      <w:tr w:rsidR="005F27B0" w:rsidRPr="006122EE" w14:paraId="4A139995" w14:textId="77777777" w:rsidTr="00BC204F">
        <w:tc>
          <w:tcPr>
            <w:cnfStyle w:val="001000000000" w:firstRow="0" w:lastRow="0" w:firstColumn="1" w:lastColumn="0" w:oddVBand="0" w:evenVBand="0" w:oddHBand="0" w:evenHBand="0" w:firstRowFirstColumn="0" w:firstRowLastColumn="0" w:lastRowFirstColumn="0" w:lastRowLastColumn="0"/>
            <w:tcW w:w="4772" w:type="dxa"/>
            <w:vAlign w:val="center"/>
          </w:tcPr>
          <w:p w14:paraId="7F3A37F6" w14:textId="77777777" w:rsidR="005F27B0" w:rsidRPr="006122EE" w:rsidRDefault="005F27B0" w:rsidP="00BC204F">
            <w:pPr>
              <w:spacing w:before="0" w:after="0" w:line="276" w:lineRule="auto"/>
              <w:jc w:val="left"/>
              <w:rPr>
                <w:b w:val="0"/>
              </w:rPr>
            </w:pPr>
            <w:r w:rsidRPr="006122EE">
              <w:t>Ministry of Transport - Department of Road Traffic</w:t>
            </w:r>
          </w:p>
        </w:tc>
        <w:tc>
          <w:tcPr>
            <w:tcW w:w="4772" w:type="dxa"/>
            <w:vAlign w:val="center"/>
          </w:tcPr>
          <w:p w14:paraId="7781CFF3" w14:textId="77777777" w:rsidR="005F27B0" w:rsidRPr="006122EE" w:rsidRDefault="005F27B0" w:rsidP="00BC204F">
            <w:pPr>
              <w:keepNext/>
              <w:keepLines/>
              <w:spacing w:before="0" w:after="0" w:line="276" w:lineRule="auto"/>
              <w:jc w:val="left"/>
              <w:outlineLvl w:val="8"/>
              <w:cnfStyle w:val="000000000000" w:firstRow="0" w:lastRow="0" w:firstColumn="0" w:lastColumn="0" w:oddVBand="0" w:evenVBand="0" w:oddHBand="0" w:evenHBand="0" w:firstRowFirstColumn="0" w:firstRowLastColumn="0" w:lastRowFirstColumn="0" w:lastRowLastColumn="0"/>
            </w:pPr>
            <w:r w:rsidRPr="006122EE">
              <w:t>Provide information on biofuels consumption and use in motor vehicles</w:t>
            </w:r>
          </w:p>
        </w:tc>
      </w:tr>
      <w:tr w:rsidR="005F27B0" w:rsidRPr="006122EE" w14:paraId="6EBE867F" w14:textId="77777777" w:rsidTr="00BC2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6CF7D027" w14:textId="77777777" w:rsidR="005F27B0" w:rsidRPr="006122EE" w:rsidRDefault="005F27B0" w:rsidP="00BC204F">
            <w:pPr>
              <w:spacing w:before="0" w:after="0" w:line="276" w:lineRule="auto"/>
              <w:jc w:val="left"/>
              <w:rPr>
                <w:b w:val="0"/>
              </w:rPr>
            </w:pPr>
            <w:r w:rsidRPr="006122EE">
              <w:t>Ministry of Finance, Economic Planning and Development</w:t>
            </w:r>
          </w:p>
        </w:tc>
        <w:tc>
          <w:tcPr>
            <w:tcW w:w="4772" w:type="dxa"/>
            <w:vAlign w:val="center"/>
          </w:tcPr>
          <w:p w14:paraId="79F95F00" w14:textId="77777777" w:rsidR="005F27B0" w:rsidRPr="006122EE" w:rsidRDefault="005F27B0" w:rsidP="00BC204F">
            <w:pPr>
              <w:keepNext/>
              <w:keepLines/>
              <w:spacing w:before="0" w:after="0" w:line="276" w:lineRule="auto"/>
              <w:jc w:val="left"/>
              <w:outlineLvl w:val="8"/>
              <w:cnfStyle w:val="000000100000" w:firstRow="0" w:lastRow="0" w:firstColumn="0" w:lastColumn="0" w:oddVBand="0" w:evenVBand="0" w:oddHBand="1" w:evenHBand="0" w:firstRowFirstColumn="0" w:firstRowLastColumn="0" w:lastRowFirstColumn="0" w:lastRowLastColumn="0"/>
            </w:pPr>
            <w:r w:rsidRPr="006122EE">
              <w:t>Support production and consumption with incentives</w:t>
            </w:r>
          </w:p>
        </w:tc>
      </w:tr>
      <w:tr w:rsidR="005F27B0" w:rsidRPr="006122EE" w14:paraId="69A97E4C" w14:textId="77777777" w:rsidTr="00BC204F">
        <w:tc>
          <w:tcPr>
            <w:cnfStyle w:val="001000000000" w:firstRow="0" w:lastRow="0" w:firstColumn="1" w:lastColumn="0" w:oddVBand="0" w:evenVBand="0" w:oddHBand="0" w:evenHBand="0" w:firstRowFirstColumn="0" w:firstRowLastColumn="0" w:lastRowFirstColumn="0" w:lastRowLastColumn="0"/>
            <w:tcW w:w="4772" w:type="dxa"/>
            <w:vAlign w:val="center"/>
          </w:tcPr>
          <w:p w14:paraId="1E3AADF3" w14:textId="77777777" w:rsidR="005F27B0" w:rsidRPr="006122EE" w:rsidRDefault="005F27B0" w:rsidP="00BC204F">
            <w:pPr>
              <w:spacing w:before="0" w:after="0" w:line="276" w:lineRule="auto"/>
              <w:jc w:val="left"/>
              <w:rPr>
                <w:b w:val="0"/>
              </w:rPr>
            </w:pPr>
            <w:r w:rsidRPr="006122EE">
              <w:tab/>
              <w:t>Non-governmental organisations</w:t>
            </w:r>
          </w:p>
        </w:tc>
        <w:tc>
          <w:tcPr>
            <w:tcW w:w="4772" w:type="dxa"/>
            <w:vAlign w:val="center"/>
          </w:tcPr>
          <w:p w14:paraId="4C3007D6" w14:textId="77777777" w:rsidR="005F27B0" w:rsidRPr="006122EE" w:rsidRDefault="005F27B0" w:rsidP="00BC204F">
            <w:pPr>
              <w:keepNext/>
              <w:keepLines/>
              <w:spacing w:before="0" w:after="0" w:line="276" w:lineRule="auto"/>
              <w:jc w:val="left"/>
              <w:outlineLvl w:val="8"/>
              <w:cnfStyle w:val="000000000000" w:firstRow="0" w:lastRow="0" w:firstColumn="0" w:lastColumn="0" w:oddVBand="0" w:evenVBand="0" w:oddHBand="0" w:evenHBand="0" w:firstRowFirstColumn="0" w:firstRowLastColumn="0" w:lastRowFirstColumn="0" w:lastRowLastColumn="0"/>
            </w:pPr>
            <w:r w:rsidRPr="006122EE">
              <w:t>Provide information on environmental and social impacts of supporting biofuels production and use</w:t>
            </w:r>
          </w:p>
        </w:tc>
      </w:tr>
      <w:tr w:rsidR="005F27B0" w:rsidRPr="006122EE" w14:paraId="57A43965" w14:textId="77777777" w:rsidTr="00BC2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265F167B" w14:textId="77777777" w:rsidR="005F27B0" w:rsidRPr="006122EE" w:rsidRDefault="005F27B0" w:rsidP="00BC204F">
            <w:pPr>
              <w:spacing w:before="0" w:after="0" w:line="276" w:lineRule="auto"/>
              <w:jc w:val="left"/>
              <w:rPr>
                <w:b w:val="0"/>
              </w:rPr>
            </w:pPr>
            <w:r w:rsidRPr="006122EE">
              <w:t>Ministry of Justice and human rights associations</w:t>
            </w:r>
          </w:p>
        </w:tc>
        <w:tc>
          <w:tcPr>
            <w:tcW w:w="4772" w:type="dxa"/>
            <w:vAlign w:val="center"/>
          </w:tcPr>
          <w:p w14:paraId="28EE439A" w14:textId="77777777" w:rsidR="005F27B0" w:rsidRPr="006122EE" w:rsidRDefault="005F27B0" w:rsidP="00BC204F">
            <w:pPr>
              <w:keepNext/>
              <w:keepLines/>
              <w:spacing w:before="0" w:after="0" w:line="276" w:lineRule="auto"/>
              <w:jc w:val="left"/>
              <w:outlineLvl w:val="8"/>
              <w:cnfStyle w:val="000000100000" w:firstRow="0" w:lastRow="0" w:firstColumn="0" w:lastColumn="0" w:oddVBand="0" w:evenVBand="0" w:oddHBand="1" w:evenHBand="0" w:firstRowFirstColumn="0" w:firstRowLastColumn="0" w:lastRowFirstColumn="0" w:lastRowLastColumn="0"/>
            </w:pPr>
            <w:r w:rsidRPr="006122EE">
              <w:t>-</w:t>
            </w:r>
          </w:p>
        </w:tc>
      </w:tr>
      <w:tr w:rsidR="005F27B0" w:rsidRPr="006122EE" w14:paraId="0A7AFCB6" w14:textId="77777777" w:rsidTr="00BC204F">
        <w:tc>
          <w:tcPr>
            <w:cnfStyle w:val="001000000000" w:firstRow="0" w:lastRow="0" w:firstColumn="1" w:lastColumn="0" w:oddVBand="0" w:evenVBand="0" w:oddHBand="0" w:evenHBand="0" w:firstRowFirstColumn="0" w:firstRowLastColumn="0" w:lastRowFirstColumn="0" w:lastRowLastColumn="0"/>
            <w:tcW w:w="4772" w:type="dxa"/>
            <w:vAlign w:val="center"/>
          </w:tcPr>
          <w:p w14:paraId="523AB859" w14:textId="77777777" w:rsidR="005F27B0" w:rsidRPr="006122EE" w:rsidRDefault="005F27B0" w:rsidP="00BC204F">
            <w:pPr>
              <w:spacing w:before="0" w:after="0" w:line="276" w:lineRule="auto"/>
              <w:jc w:val="left"/>
              <w:rPr>
                <w:b w:val="0"/>
              </w:rPr>
            </w:pPr>
            <w:r w:rsidRPr="006122EE">
              <w:t>Representatives of Motor Industry Association, Consumers Association of Malawi and private players in biofuels production</w:t>
            </w:r>
          </w:p>
        </w:tc>
        <w:tc>
          <w:tcPr>
            <w:tcW w:w="4772" w:type="dxa"/>
            <w:vAlign w:val="center"/>
          </w:tcPr>
          <w:p w14:paraId="31BF1450" w14:textId="77777777" w:rsidR="005F27B0" w:rsidRPr="006122EE" w:rsidRDefault="005F27B0" w:rsidP="00BC204F">
            <w:pPr>
              <w:spacing w:before="0" w:after="0" w:line="276" w:lineRule="auto"/>
              <w:jc w:val="left"/>
              <w:cnfStyle w:val="000000000000" w:firstRow="0" w:lastRow="0" w:firstColumn="0" w:lastColumn="0" w:oddVBand="0" w:evenVBand="0" w:oddHBand="0" w:evenHBand="0" w:firstRowFirstColumn="0" w:firstRowLastColumn="0" w:lastRowFirstColumn="0" w:lastRowLastColumn="0"/>
            </w:pPr>
            <w:r w:rsidRPr="006122EE">
              <w:t>Provide information on producing and using the biofuels in engines</w:t>
            </w:r>
          </w:p>
        </w:tc>
      </w:tr>
      <w:tr w:rsidR="005F27B0" w:rsidRPr="006122EE" w14:paraId="06DBF867" w14:textId="77777777" w:rsidTr="00BC2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2B3D75B6" w14:textId="77777777" w:rsidR="005F27B0" w:rsidRPr="006122EE" w:rsidRDefault="005F27B0" w:rsidP="00BC204F">
            <w:pPr>
              <w:spacing w:before="0" w:after="0" w:line="276" w:lineRule="auto"/>
              <w:jc w:val="left"/>
              <w:rPr>
                <w:b w:val="0"/>
              </w:rPr>
            </w:pPr>
            <w:r w:rsidRPr="006122EE">
              <w:tab/>
              <w:t>Renewable Energy Association of Malawi</w:t>
            </w:r>
          </w:p>
        </w:tc>
        <w:tc>
          <w:tcPr>
            <w:tcW w:w="4772" w:type="dxa"/>
            <w:vAlign w:val="center"/>
          </w:tcPr>
          <w:p w14:paraId="6FD9854E" w14:textId="77777777" w:rsidR="005F27B0" w:rsidRPr="006122EE" w:rsidRDefault="005F27B0" w:rsidP="00BC204F">
            <w:pPr>
              <w:keepNext/>
              <w:keepLines/>
              <w:spacing w:before="0" w:after="0" w:line="276" w:lineRule="auto"/>
              <w:jc w:val="left"/>
              <w:outlineLvl w:val="8"/>
              <w:cnfStyle w:val="000000100000" w:firstRow="0" w:lastRow="0" w:firstColumn="0" w:lastColumn="0" w:oddVBand="0" w:evenVBand="0" w:oddHBand="1" w:evenHBand="0" w:firstRowFirstColumn="0" w:firstRowLastColumn="0" w:lastRowFirstColumn="0" w:lastRowLastColumn="0"/>
            </w:pPr>
            <w:r w:rsidRPr="006122EE">
              <w:t>Provide information on biofuels</w:t>
            </w:r>
          </w:p>
        </w:tc>
      </w:tr>
      <w:tr w:rsidR="005F27B0" w:rsidRPr="006122EE" w14:paraId="7F75C39E" w14:textId="77777777" w:rsidTr="00BC204F">
        <w:tc>
          <w:tcPr>
            <w:cnfStyle w:val="001000000000" w:firstRow="0" w:lastRow="0" w:firstColumn="1" w:lastColumn="0" w:oddVBand="0" w:evenVBand="0" w:oddHBand="0" w:evenHBand="0" w:firstRowFirstColumn="0" w:firstRowLastColumn="0" w:lastRowFirstColumn="0" w:lastRowLastColumn="0"/>
            <w:tcW w:w="4772" w:type="dxa"/>
            <w:vAlign w:val="center"/>
          </w:tcPr>
          <w:p w14:paraId="3FD52CA8" w14:textId="77777777" w:rsidR="005F27B0" w:rsidRPr="006122EE" w:rsidRDefault="005F27B0" w:rsidP="00BC204F">
            <w:pPr>
              <w:spacing w:before="0" w:after="0" w:line="276" w:lineRule="auto"/>
              <w:jc w:val="left"/>
              <w:rPr>
                <w:b w:val="0"/>
              </w:rPr>
            </w:pPr>
            <w:r w:rsidRPr="006122EE">
              <w:t>Universities and other research institutions (University of Malawi – Polytechnic, University of Mzuzu – Department of Energy Studies)</w:t>
            </w:r>
          </w:p>
          <w:p w14:paraId="701F0D6F" w14:textId="77777777" w:rsidR="002A2EBB" w:rsidRPr="006122EE" w:rsidRDefault="002A2EBB" w:rsidP="00BC204F">
            <w:pPr>
              <w:spacing w:before="0" w:after="0" w:line="276" w:lineRule="auto"/>
              <w:jc w:val="left"/>
              <w:rPr>
                <w:b w:val="0"/>
              </w:rPr>
            </w:pPr>
            <w:r w:rsidRPr="006122EE">
              <w:t>National Commission for Science and Technology</w:t>
            </w:r>
          </w:p>
        </w:tc>
        <w:tc>
          <w:tcPr>
            <w:tcW w:w="4772" w:type="dxa"/>
            <w:vAlign w:val="center"/>
          </w:tcPr>
          <w:p w14:paraId="72534472" w14:textId="77777777" w:rsidR="005F27B0" w:rsidRPr="006122EE" w:rsidRDefault="005F27B0" w:rsidP="00BC204F">
            <w:pPr>
              <w:keepNext/>
              <w:keepLines/>
              <w:spacing w:before="0" w:after="0" w:line="276" w:lineRule="auto"/>
              <w:jc w:val="left"/>
              <w:outlineLvl w:val="8"/>
              <w:cnfStyle w:val="000000000000" w:firstRow="0" w:lastRow="0" w:firstColumn="0" w:lastColumn="0" w:oddVBand="0" w:evenVBand="0" w:oddHBand="0" w:evenHBand="0" w:firstRowFirstColumn="0" w:firstRowLastColumn="0" w:lastRowFirstColumn="0" w:lastRowLastColumn="0"/>
            </w:pPr>
            <w:r w:rsidRPr="006122EE">
              <w:t>Provide information on latest studies and key findings on biofuels</w:t>
            </w:r>
          </w:p>
        </w:tc>
      </w:tr>
    </w:tbl>
    <w:p w14:paraId="63DE8E7D" w14:textId="77777777" w:rsidR="005F27B0" w:rsidRPr="006122EE" w:rsidRDefault="005F27B0" w:rsidP="00B1153E">
      <w:pPr>
        <w:spacing w:line="276" w:lineRule="auto"/>
        <w:rPr>
          <w:lang w:eastAsia="fr-FR"/>
        </w:rPr>
      </w:pPr>
      <w:r w:rsidRPr="006122EE">
        <w:t>Simultaneously, the cooperation between the vocational institutions and the biofuels and transport industry will be enhanced with a simultaneous engagement of stakeholders to develop sector development plans beyond 2030.</w:t>
      </w:r>
    </w:p>
    <w:p w14:paraId="6C0D489E" w14:textId="77777777" w:rsidR="005F27B0" w:rsidRPr="00866D96" w:rsidRDefault="005F27B0" w:rsidP="00B1153E">
      <w:pPr>
        <w:pStyle w:val="CSubtitle1"/>
        <w:spacing w:line="276" w:lineRule="auto"/>
        <w:rPr>
          <w:noProof w:val="0"/>
          <w:lang w:val="en-GB"/>
        </w:rPr>
      </w:pPr>
      <w:bookmarkStart w:id="447" w:name="_Toc481614937"/>
      <w:r w:rsidRPr="00866D96">
        <w:rPr>
          <w:noProof w:val="0"/>
          <w:lang w:val="en-GB"/>
        </w:rPr>
        <w:t>Support</w:t>
      </w:r>
      <w:r w:rsidR="005819AE" w:rsidRPr="00866D96">
        <w:rPr>
          <w:noProof w:val="0"/>
          <w:lang w:val="en-GB"/>
        </w:rPr>
        <w:t xml:space="preserve"> sustainable</w:t>
      </w:r>
      <w:r w:rsidRPr="00866D96">
        <w:rPr>
          <w:noProof w:val="0"/>
          <w:lang w:val="en-GB"/>
        </w:rPr>
        <w:t xml:space="preserve"> biofuel production and use</w:t>
      </w:r>
      <w:bookmarkEnd w:id="447"/>
    </w:p>
    <w:p w14:paraId="54A7D53A" w14:textId="77777777" w:rsidR="005F27B0" w:rsidRPr="00866D96" w:rsidRDefault="005F27B0" w:rsidP="00B1153E">
      <w:pPr>
        <w:pStyle w:val="CSubtitle2"/>
        <w:spacing w:line="276" w:lineRule="auto"/>
        <w:rPr>
          <w:noProof w:val="0"/>
          <w:lang w:val="en-GB"/>
        </w:rPr>
      </w:pPr>
      <w:r w:rsidRPr="00866D96">
        <w:rPr>
          <w:noProof w:val="0"/>
          <w:lang w:val="en-GB"/>
        </w:rPr>
        <w:t xml:space="preserve">Reinforce existing or </w:t>
      </w:r>
      <w:r w:rsidR="007E445E" w:rsidRPr="00866D96">
        <w:rPr>
          <w:noProof w:val="0"/>
          <w:lang w:val="en-GB"/>
        </w:rPr>
        <w:t>i</w:t>
      </w:r>
      <w:r w:rsidRPr="00866D96">
        <w:rPr>
          <w:noProof w:val="0"/>
          <w:lang w:val="en-GB"/>
        </w:rPr>
        <w:t xml:space="preserve">ntroduce additional incentives to support biofuel production </w:t>
      </w:r>
    </w:p>
    <w:p w14:paraId="45ABE76A" w14:textId="77777777" w:rsidR="00736733" w:rsidRPr="006122EE" w:rsidRDefault="00736733" w:rsidP="00B1153E">
      <w:pPr>
        <w:spacing w:line="276" w:lineRule="auto"/>
        <w:rPr>
          <w:lang w:eastAsia="fr-FR"/>
        </w:rPr>
      </w:pPr>
      <w:r w:rsidRPr="006122EE">
        <w:rPr>
          <w:lang w:eastAsia="fr-FR"/>
        </w:rPr>
        <w:t>The following measures are expected to ensure profitability and value creation for biofuel production system. Implementing these actions will attract new producers, especially in biodiesel sector, and avoid a monopoly situation. The government, ensuring the implementation of the following recommendations, will seek to increase the number of companies in biofuel sectors.</w:t>
      </w:r>
    </w:p>
    <w:p w14:paraId="6ED9A313" w14:textId="77777777" w:rsidR="005F27B0" w:rsidRPr="006122EE" w:rsidRDefault="005F27B0" w:rsidP="00B1153E">
      <w:pPr>
        <w:pStyle w:val="CSubtitle3"/>
        <w:spacing w:line="276" w:lineRule="auto"/>
        <w:rPr>
          <w:b/>
          <w:u w:val="none"/>
        </w:rPr>
      </w:pPr>
      <w:r w:rsidRPr="006122EE">
        <w:rPr>
          <w:b/>
          <w:u w:val="none"/>
        </w:rPr>
        <w:t>Economic instruments</w:t>
      </w:r>
    </w:p>
    <w:p w14:paraId="2E51FA60" w14:textId="77777777" w:rsidR="005F27B0" w:rsidRPr="006122EE" w:rsidRDefault="005F27B0" w:rsidP="00B1153E">
      <w:pPr>
        <w:spacing w:line="276" w:lineRule="auto"/>
      </w:pPr>
      <w:r w:rsidRPr="006122EE">
        <w:t xml:space="preserve">A set of special electricity and water tariffs will be set for biofuels industries, and </w:t>
      </w:r>
      <w:r w:rsidRPr="006122EE">
        <w:rPr>
          <w:rFonts w:eastAsiaTheme="minorEastAsia"/>
        </w:rPr>
        <w:t>feed-in tariffs for any surplus through PPAs.</w:t>
      </w:r>
      <w:r w:rsidRPr="006122EE" w:rsidDel="00F449B5">
        <w:rPr>
          <w:rFonts w:eastAsiaTheme="minorEastAsia"/>
        </w:rPr>
        <w:t xml:space="preserve"> </w:t>
      </w:r>
      <w:r w:rsidRPr="006122EE">
        <w:rPr>
          <w:rFonts w:eastAsiaTheme="minorEastAsia"/>
        </w:rPr>
        <w:t>Some levies such as the energy levy could be removed for biofuel industries in order to keep the production costs, and therefore biofuel prices, low (see also the paragraph on biofuel prices below).</w:t>
      </w:r>
    </w:p>
    <w:p w14:paraId="19FF1310" w14:textId="77777777" w:rsidR="005F27B0" w:rsidRPr="006122EE" w:rsidRDefault="005F27B0" w:rsidP="00B1153E">
      <w:pPr>
        <w:pStyle w:val="CSubtitle3"/>
        <w:spacing w:line="276" w:lineRule="auto"/>
        <w:rPr>
          <w:b/>
          <w:u w:val="none"/>
        </w:rPr>
      </w:pPr>
      <w:r w:rsidRPr="006122EE">
        <w:rPr>
          <w:b/>
          <w:u w:val="none"/>
        </w:rPr>
        <w:t>Administrative procedures</w:t>
      </w:r>
    </w:p>
    <w:p w14:paraId="698B0CA6" w14:textId="77777777" w:rsidR="005F27B0" w:rsidRPr="006122EE" w:rsidRDefault="005F27B0" w:rsidP="00B1153E">
      <w:pPr>
        <w:spacing w:line="276" w:lineRule="auto"/>
      </w:pPr>
      <w:r w:rsidRPr="006122EE">
        <w:t xml:space="preserve">A one stop shop for all licencing will be set up and necessary documentation for biofuels should be developed. Permits especially are problematic as various </w:t>
      </w:r>
      <w:r w:rsidR="00337B1E" w:rsidRPr="006122EE">
        <w:t>m</w:t>
      </w:r>
      <w:r w:rsidRPr="006122EE">
        <w:t xml:space="preserve">inistries, </w:t>
      </w:r>
      <w:r w:rsidR="00337B1E" w:rsidRPr="006122EE">
        <w:t>g</w:t>
      </w:r>
      <w:r w:rsidRPr="006122EE">
        <w:t xml:space="preserve">overnment </w:t>
      </w:r>
      <w:r w:rsidR="00337B1E" w:rsidRPr="006122EE">
        <w:t>d</w:t>
      </w:r>
      <w:r w:rsidRPr="006122EE">
        <w:t xml:space="preserve">epartments and </w:t>
      </w:r>
      <w:r w:rsidR="00337B1E" w:rsidRPr="006122EE">
        <w:t>a</w:t>
      </w:r>
      <w:r w:rsidRPr="006122EE">
        <w:t>uthorities require various permits from the same entity. This would increase the efficiency of the livening process and promote the establishment of new businesses.</w:t>
      </w:r>
    </w:p>
    <w:p w14:paraId="16713338" w14:textId="77777777" w:rsidR="005F27B0" w:rsidRPr="006122EE" w:rsidRDefault="005F27B0" w:rsidP="00B1153E">
      <w:pPr>
        <w:pStyle w:val="CSubtitle3"/>
        <w:spacing w:line="276" w:lineRule="auto"/>
        <w:rPr>
          <w:b/>
          <w:u w:val="none"/>
        </w:rPr>
      </w:pPr>
      <w:r w:rsidRPr="006122EE">
        <w:rPr>
          <w:b/>
          <w:u w:val="none"/>
        </w:rPr>
        <w:t>Develop market opportunities</w:t>
      </w:r>
    </w:p>
    <w:p w14:paraId="0FC6A8F0" w14:textId="77777777" w:rsidR="005F27B0" w:rsidRPr="006122EE" w:rsidRDefault="005F27B0" w:rsidP="00B1153E">
      <w:pPr>
        <w:spacing w:line="276" w:lineRule="auto"/>
      </w:pPr>
      <w:r w:rsidRPr="006122EE">
        <w:t xml:space="preserve">A clear business case will be created that will encourage the rural farmers to actively participate in the growing of feedstock on commercial scales and terms. Simultaneously opportunities for by-products (e.g. jatropha press cake as organic fertilizer) will be created. </w:t>
      </w:r>
    </w:p>
    <w:p w14:paraId="534BBE80" w14:textId="77777777" w:rsidR="005F27B0" w:rsidRPr="006122EE" w:rsidRDefault="005F27B0" w:rsidP="00B1153E">
      <w:pPr>
        <w:spacing w:line="276" w:lineRule="auto"/>
      </w:pPr>
      <w:r w:rsidRPr="006122EE">
        <w:rPr>
          <w:rFonts w:eastAsia="Times New Roman"/>
        </w:rPr>
        <w:t>A</w:t>
      </w:r>
      <w:r w:rsidRPr="006122EE">
        <w:t xml:space="preserve"> conformity with international sustainability standards for biofuels (for instance, standards enacted by the Roundtable on Sustainable Biomaterials – RSB for European Union) will be explored as well. </w:t>
      </w:r>
    </w:p>
    <w:p w14:paraId="1BD82100" w14:textId="77777777" w:rsidR="005F27B0" w:rsidRPr="006122EE" w:rsidRDefault="005F27B0" w:rsidP="00B1153E">
      <w:pPr>
        <w:pStyle w:val="CSubtitle3"/>
        <w:spacing w:line="276" w:lineRule="auto"/>
        <w:rPr>
          <w:b/>
          <w:u w:val="none"/>
        </w:rPr>
      </w:pPr>
      <w:r w:rsidRPr="006122EE">
        <w:rPr>
          <w:b/>
          <w:u w:val="none"/>
        </w:rPr>
        <w:t>Create innovative financing models</w:t>
      </w:r>
    </w:p>
    <w:p w14:paraId="4D76B113" w14:textId="77777777" w:rsidR="005F27B0" w:rsidRPr="006122EE" w:rsidRDefault="005F27B0" w:rsidP="00B1153E">
      <w:pPr>
        <w:spacing w:line="276" w:lineRule="auto"/>
      </w:pPr>
      <w:r w:rsidRPr="006122EE">
        <w:t xml:space="preserve">As for actions proposed in renewable energy and energy efficiency sections, examples and initiatives like the Green Revolving Fund can be set up by the </w:t>
      </w:r>
      <w:r w:rsidR="00337B1E" w:rsidRPr="006122EE">
        <w:t>g</w:t>
      </w:r>
      <w:r w:rsidRPr="006122EE">
        <w:t>overnment and other energy players or donors in the form of an internal investment vehicle that provides financing to organizations that successfully implement energy efficiency, renewable energy, and other sustainability projects that generate cost savings. Regarding biofuels, the fund can provide financing to biofuel producers to help them reduce their costs, which will contribute to make this fuel affordable. These savings would be then tracked and used to replenish the fund for the next round of green investments, thus establishing a sustainable funding cycle while cutting operating costs and reducing environmental impacts. Those initiatives are working well in some countries (e.g. USA and some European countries).</w:t>
      </w:r>
    </w:p>
    <w:p w14:paraId="5D7408F5" w14:textId="77777777" w:rsidR="005F27B0" w:rsidRPr="00866D96" w:rsidRDefault="005F27B0" w:rsidP="00B1153E">
      <w:pPr>
        <w:pStyle w:val="CSubtitle2"/>
        <w:spacing w:line="276" w:lineRule="auto"/>
        <w:rPr>
          <w:noProof w:val="0"/>
          <w:lang w:val="en-GB"/>
        </w:rPr>
      </w:pPr>
      <w:r w:rsidRPr="00866D96">
        <w:rPr>
          <w:noProof w:val="0"/>
          <w:lang w:val="en-GB"/>
        </w:rPr>
        <w:t>Promote the use of biofuels</w:t>
      </w:r>
    </w:p>
    <w:p w14:paraId="47887DCA" w14:textId="77777777" w:rsidR="005F27B0" w:rsidRPr="006122EE" w:rsidRDefault="005F27B0" w:rsidP="00B1153E">
      <w:pPr>
        <w:pStyle w:val="CSubtitle3"/>
        <w:spacing w:line="276" w:lineRule="auto"/>
        <w:rPr>
          <w:b/>
          <w:u w:val="none"/>
        </w:rPr>
      </w:pPr>
      <w:r w:rsidRPr="006122EE">
        <w:rPr>
          <w:b/>
          <w:u w:val="none"/>
        </w:rPr>
        <w:t>Biofuel prices</w:t>
      </w:r>
    </w:p>
    <w:p w14:paraId="5A4E7F9B" w14:textId="77777777" w:rsidR="005F27B0" w:rsidRPr="006122EE" w:rsidRDefault="005F27B0" w:rsidP="00B1153E">
      <w:pPr>
        <w:spacing w:line="276" w:lineRule="auto"/>
      </w:pPr>
      <w:r w:rsidRPr="006122EE">
        <w:t>The price of commodities is the main driving force of their demand. Therefore, the price of biofuels need to become more attractive.</w:t>
      </w:r>
      <w:r w:rsidR="002A2EBB" w:rsidRPr="006122EE">
        <w:t xml:space="preserve"> </w:t>
      </w:r>
      <w:r w:rsidRPr="006122EE">
        <w:t xml:space="preserve">For instance, the price of ethanol is pegged </w:t>
      </w:r>
      <w:r w:rsidR="002A2EBB" w:rsidRPr="006122EE">
        <w:t>to</w:t>
      </w:r>
      <w:r w:rsidRPr="006122EE">
        <w:t xml:space="preserve"> that of petrol</w:t>
      </w:r>
      <w:r w:rsidR="002A2EBB" w:rsidRPr="006122EE">
        <w:t>,</w:t>
      </w:r>
      <w:r w:rsidRPr="006122EE">
        <w:t xml:space="preserve"> which is often to </w:t>
      </w:r>
      <w:r w:rsidR="002A2EBB" w:rsidRPr="006122EE">
        <w:t xml:space="preserve">the </w:t>
      </w:r>
      <w:r w:rsidRPr="006122EE">
        <w:t>disadvantage of ethanol companies</w:t>
      </w:r>
      <w:r w:rsidR="002A2EBB" w:rsidRPr="006122EE">
        <w:t>,</w:t>
      </w:r>
      <w:r w:rsidRPr="006122EE">
        <w:t xml:space="preserve"> whether </w:t>
      </w:r>
      <w:r w:rsidR="002A2EBB" w:rsidRPr="006122EE">
        <w:t xml:space="preserve">or not </w:t>
      </w:r>
      <w:r w:rsidRPr="006122EE">
        <w:t xml:space="preserve">global petroleum prices are fluctuating. </w:t>
      </w:r>
      <w:r w:rsidR="002A2EBB" w:rsidRPr="006122EE">
        <w:t xml:space="preserve">The government has approved the decoupling of the ethanol and petrol prices, although the decoupling has not yet been implemented. </w:t>
      </w:r>
      <w:r w:rsidRPr="006122EE">
        <w:t>To this end, there should be a discussion over price setting mechanism</w:t>
      </w:r>
      <w:r w:rsidR="002A2EBB" w:rsidRPr="006122EE">
        <w:t xml:space="preserve"> that:</w:t>
      </w:r>
    </w:p>
    <w:p w14:paraId="10823341" w14:textId="77777777" w:rsidR="005F27B0" w:rsidRPr="00866D96" w:rsidRDefault="005F27B0" w:rsidP="00B1153E">
      <w:pPr>
        <w:pStyle w:val="DBulletlevel1"/>
        <w:spacing w:line="276" w:lineRule="auto"/>
        <w:rPr>
          <w:noProof w:val="0"/>
        </w:rPr>
      </w:pPr>
      <w:r w:rsidRPr="00866D96">
        <w:rPr>
          <w:noProof w:val="0"/>
        </w:rPr>
        <w:t>Set</w:t>
      </w:r>
      <w:r w:rsidR="002A2EBB" w:rsidRPr="00866D96">
        <w:rPr>
          <w:noProof w:val="0"/>
        </w:rPr>
        <w:t>s</w:t>
      </w:r>
      <w:r w:rsidRPr="00866D96">
        <w:rPr>
          <w:noProof w:val="0"/>
        </w:rPr>
        <w:t xml:space="preserve"> the maximum blend price in relation to the theoretical price of unblended mineral fuel, including all duties and levies, (or liberalise prices and let market forces determine them</w:t>
      </w:r>
      <w:r w:rsidR="00EE499B" w:rsidRPr="00866D96">
        <w:rPr>
          <w:noProof w:val="0"/>
        </w:rPr>
        <w:t>).</w:t>
      </w:r>
      <w:r w:rsidR="00B13A94" w:rsidRPr="00866D96">
        <w:rPr>
          <w:noProof w:val="0"/>
        </w:rPr>
        <w:t xml:space="preserve"> </w:t>
      </w:r>
      <w:r w:rsidR="005239FD" w:rsidRPr="00866D96">
        <w:rPr>
          <w:noProof w:val="0"/>
        </w:rPr>
        <w:t>For instance, t</w:t>
      </w:r>
      <w:r w:rsidR="00B13A94" w:rsidRPr="00866D96">
        <w:rPr>
          <w:noProof w:val="0"/>
        </w:rPr>
        <w:t xml:space="preserve">he Department of Energy proposed during the </w:t>
      </w:r>
      <w:r w:rsidR="00FE7056" w:rsidRPr="00866D96">
        <w:rPr>
          <w:noProof w:val="0"/>
          <w:lang w:eastAsia="en-US"/>
        </w:rPr>
        <w:t>SE4ALL</w:t>
      </w:r>
      <w:r w:rsidR="00B13A94" w:rsidRPr="00866D96">
        <w:rPr>
          <w:noProof w:val="0"/>
        </w:rPr>
        <w:t xml:space="preserve"> consultation </w:t>
      </w:r>
      <w:r w:rsidR="003828EB" w:rsidRPr="00866D96">
        <w:rPr>
          <w:noProof w:val="0"/>
        </w:rPr>
        <w:t xml:space="preserve">process </w:t>
      </w:r>
      <w:r w:rsidR="00B13A94" w:rsidRPr="00866D96">
        <w:rPr>
          <w:noProof w:val="0"/>
        </w:rPr>
        <w:t xml:space="preserve">to </w:t>
      </w:r>
      <w:r w:rsidR="003828EB" w:rsidRPr="00866D96">
        <w:rPr>
          <w:noProof w:val="0"/>
        </w:rPr>
        <w:t xml:space="preserve">set a lower </w:t>
      </w:r>
      <w:r w:rsidR="00B13A94" w:rsidRPr="00866D96">
        <w:rPr>
          <w:noProof w:val="0"/>
        </w:rPr>
        <w:t xml:space="preserve">price </w:t>
      </w:r>
      <w:r w:rsidR="003828EB" w:rsidRPr="00866D96">
        <w:rPr>
          <w:noProof w:val="0"/>
        </w:rPr>
        <w:t xml:space="preserve">of </w:t>
      </w:r>
      <w:r w:rsidR="00B13A94" w:rsidRPr="00866D96">
        <w:rPr>
          <w:noProof w:val="0"/>
        </w:rPr>
        <w:t xml:space="preserve">the ethanol blend </w:t>
      </w:r>
      <w:r w:rsidR="003828EB" w:rsidRPr="00866D96">
        <w:rPr>
          <w:noProof w:val="0"/>
        </w:rPr>
        <w:t xml:space="preserve">(lower by </w:t>
      </w:r>
      <w:r w:rsidR="00B13A94" w:rsidRPr="00866D96">
        <w:rPr>
          <w:noProof w:val="0"/>
        </w:rPr>
        <w:t xml:space="preserve">10% </w:t>
      </w:r>
      <w:r w:rsidR="003828EB" w:rsidRPr="00866D96">
        <w:rPr>
          <w:noProof w:val="0"/>
        </w:rPr>
        <w:t>compared to</w:t>
      </w:r>
      <w:r w:rsidR="00B13A94" w:rsidRPr="00866D96">
        <w:rPr>
          <w:noProof w:val="0"/>
        </w:rPr>
        <w:t xml:space="preserve"> gasoline</w:t>
      </w:r>
      <w:r w:rsidR="003828EB" w:rsidRPr="00866D96">
        <w:rPr>
          <w:noProof w:val="0"/>
        </w:rPr>
        <w:t>)</w:t>
      </w:r>
      <w:r w:rsidR="00B13A94" w:rsidRPr="00866D96">
        <w:rPr>
          <w:noProof w:val="0"/>
        </w:rPr>
        <w:t>.</w:t>
      </w:r>
    </w:p>
    <w:p w14:paraId="6DF50533" w14:textId="77777777" w:rsidR="005F27B0" w:rsidRPr="00866D96" w:rsidRDefault="005F27B0" w:rsidP="00B1153E">
      <w:pPr>
        <w:pStyle w:val="DBulletlevel1"/>
        <w:spacing w:line="276" w:lineRule="auto"/>
        <w:rPr>
          <w:noProof w:val="0"/>
        </w:rPr>
      </w:pPr>
      <w:r w:rsidRPr="00866D96">
        <w:rPr>
          <w:noProof w:val="0"/>
        </w:rPr>
        <w:t>Implement</w:t>
      </w:r>
      <w:r w:rsidR="002A2EBB" w:rsidRPr="00866D96">
        <w:rPr>
          <w:noProof w:val="0"/>
        </w:rPr>
        <w:t>s</w:t>
      </w:r>
      <w:r w:rsidRPr="00866D96">
        <w:rPr>
          <w:noProof w:val="0"/>
        </w:rPr>
        <w:t xml:space="preserve"> tax incentives for biofuels users.</w:t>
      </w:r>
    </w:p>
    <w:p w14:paraId="6BD56565" w14:textId="77777777" w:rsidR="005F27B0" w:rsidRPr="006122EE" w:rsidRDefault="005F27B0" w:rsidP="00B1153E">
      <w:pPr>
        <w:spacing w:line="276" w:lineRule="auto"/>
        <w:rPr>
          <w:szCs w:val="20"/>
        </w:rPr>
      </w:pPr>
      <w:r w:rsidRPr="006122EE">
        <w:t>Regardless of the selected solution, this mechanism shoul</w:t>
      </w:r>
      <w:r w:rsidR="002A2EBB" w:rsidRPr="006122EE">
        <w:t>d be subject to a floor price in order</w:t>
      </w:r>
      <w:r w:rsidRPr="006122EE">
        <w:t xml:space="preserve"> to protect the </w:t>
      </w:r>
      <w:r w:rsidR="002A2EBB" w:rsidRPr="006122EE">
        <w:t xml:space="preserve">ethanol </w:t>
      </w:r>
      <w:r w:rsidRPr="006122EE">
        <w:t xml:space="preserve">producers. Pricing should take into account the non-valuated benefits of biofuels such as: </w:t>
      </w:r>
    </w:p>
    <w:p w14:paraId="749FB4DF" w14:textId="77777777" w:rsidR="005F27B0" w:rsidRPr="00866D96" w:rsidRDefault="005F27B0" w:rsidP="00B1153E">
      <w:pPr>
        <w:pStyle w:val="DBulletlevel1"/>
        <w:spacing w:line="276" w:lineRule="auto"/>
        <w:rPr>
          <w:noProof w:val="0"/>
        </w:rPr>
      </w:pPr>
      <w:r w:rsidRPr="00866D96">
        <w:rPr>
          <w:noProof w:val="0"/>
        </w:rPr>
        <w:t>Clean and environmentally friendly renewable fuel</w:t>
      </w:r>
      <w:r w:rsidR="00EE499B" w:rsidRPr="00866D96">
        <w:rPr>
          <w:noProof w:val="0"/>
        </w:rPr>
        <w:t>.</w:t>
      </w:r>
    </w:p>
    <w:p w14:paraId="2DEABF7B" w14:textId="77777777" w:rsidR="005F27B0" w:rsidRPr="00866D96" w:rsidRDefault="005F27B0" w:rsidP="00B1153E">
      <w:pPr>
        <w:pStyle w:val="DBulletlevel1"/>
        <w:spacing w:line="276" w:lineRule="auto"/>
        <w:rPr>
          <w:noProof w:val="0"/>
        </w:rPr>
      </w:pPr>
      <w:r w:rsidRPr="00866D96">
        <w:rPr>
          <w:noProof w:val="0"/>
        </w:rPr>
        <w:t>Reduction of the country’s carbon footprint</w:t>
      </w:r>
      <w:r w:rsidR="00EE499B" w:rsidRPr="00866D96">
        <w:rPr>
          <w:noProof w:val="0"/>
        </w:rPr>
        <w:t>.</w:t>
      </w:r>
    </w:p>
    <w:p w14:paraId="21C09DE3" w14:textId="77777777" w:rsidR="005F27B0" w:rsidRPr="00866D96" w:rsidRDefault="005F27B0" w:rsidP="00B1153E">
      <w:pPr>
        <w:pStyle w:val="DBulletlevel1"/>
        <w:spacing w:line="276" w:lineRule="auto"/>
        <w:rPr>
          <w:noProof w:val="0"/>
        </w:rPr>
      </w:pPr>
      <w:r w:rsidRPr="00866D96">
        <w:rPr>
          <w:noProof w:val="0"/>
        </w:rPr>
        <w:t>Job creation and employment in agriculture and technology</w:t>
      </w:r>
      <w:r w:rsidR="00EE499B" w:rsidRPr="00866D96">
        <w:rPr>
          <w:noProof w:val="0"/>
        </w:rPr>
        <w:t>.</w:t>
      </w:r>
    </w:p>
    <w:p w14:paraId="7575DCE3" w14:textId="77777777" w:rsidR="005F27B0" w:rsidRPr="00866D96" w:rsidRDefault="005F27B0" w:rsidP="00B1153E">
      <w:pPr>
        <w:pStyle w:val="DBulletlevel1"/>
        <w:spacing w:line="276" w:lineRule="auto"/>
        <w:rPr>
          <w:noProof w:val="0"/>
        </w:rPr>
      </w:pPr>
      <w:r w:rsidRPr="00866D96">
        <w:rPr>
          <w:noProof w:val="0"/>
        </w:rPr>
        <w:t>Increased fuel security, foreign currency savings, balance of trade</w:t>
      </w:r>
      <w:r w:rsidR="00EE499B" w:rsidRPr="00866D96">
        <w:rPr>
          <w:noProof w:val="0"/>
        </w:rPr>
        <w:t>.</w:t>
      </w:r>
    </w:p>
    <w:p w14:paraId="45A7DEFC" w14:textId="77777777" w:rsidR="005F27B0" w:rsidRPr="00866D96" w:rsidRDefault="005F27B0" w:rsidP="00B1153E">
      <w:pPr>
        <w:pStyle w:val="DBulletlevel1"/>
        <w:spacing w:line="276" w:lineRule="auto"/>
        <w:rPr>
          <w:noProof w:val="0"/>
        </w:rPr>
      </w:pPr>
      <w:r w:rsidRPr="00866D96">
        <w:rPr>
          <w:noProof w:val="0"/>
        </w:rPr>
        <w:t>Increased rural development and community growth</w:t>
      </w:r>
      <w:r w:rsidR="00EE499B" w:rsidRPr="00866D96">
        <w:rPr>
          <w:noProof w:val="0"/>
        </w:rPr>
        <w:t>.</w:t>
      </w:r>
    </w:p>
    <w:p w14:paraId="54224063" w14:textId="77777777" w:rsidR="005F27B0" w:rsidRPr="00866D96" w:rsidRDefault="005F27B0" w:rsidP="00B1153E">
      <w:pPr>
        <w:pStyle w:val="DBulletlevel1"/>
        <w:spacing w:line="276" w:lineRule="auto"/>
        <w:rPr>
          <w:noProof w:val="0"/>
        </w:rPr>
      </w:pPr>
      <w:r w:rsidRPr="00866D96">
        <w:rPr>
          <w:noProof w:val="0"/>
        </w:rPr>
        <w:t>Potential development of ethanol by-products such as electricity, stock-feed and energy briquettes</w:t>
      </w:r>
      <w:r w:rsidR="00EE499B" w:rsidRPr="00866D96">
        <w:rPr>
          <w:noProof w:val="0"/>
        </w:rPr>
        <w:t>.</w:t>
      </w:r>
    </w:p>
    <w:p w14:paraId="410D03CF" w14:textId="77777777" w:rsidR="005F27B0" w:rsidRPr="006122EE" w:rsidRDefault="005F27B0" w:rsidP="00B1153E">
      <w:pPr>
        <w:pStyle w:val="CSubtitle3"/>
        <w:spacing w:line="276" w:lineRule="auto"/>
        <w:rPr>
          <w:b/>
          <w:u w:val="none"/>
        </w:rPr>
      </w:pPr>
      <w:r w:rsidRPr="006122EE">
        <w:rPr>
          <w:b/>
          <w:u w:val="none"/>
        </w:rPr>
        <w:t>Facilitate biofuels distribution</w:t>
      </w:r>
    </w:p>
    <w:p w14:paraId="2B5800FB" w14:textId="77777777" w:rsidR="005F27B0" w:rsidRPr="006122EE" w:rsidRDefault="005F27B0" w:rsidP="00B1153E">
      <w:pPr>
        <w:pStyle w:val="CSubtitle3"/>
        <w:spacing w:line="276" w:lineRule="auto"/>
        <w:rPr>
          <w:u w:val="none"/>
          <w:lang w:eastAsia="fr-FR"/>
        </w:rPr>
      </w:pPr>
      <w:r w:rsidRPr="006122EE">
        <w:rPr>
          <w:u w:val="none"/>
          <w:lang w:eastAsia="fr-FR"/>
        </w:rPr>
        <w:t>The biofuels distribution should be facilitated through the following measures:</w:t>
      </w:r>
    </w:p>
    <w:p w14:paraId="6A2A5C6C" w14:textId="77777777" w:rsidR="005F27B0" w:rsidRPr="00866D96" w:rsidRDefault="005F27B0" w:rsidP="00B1153E">
      <w:pPr>
        <w:pStyle w:val="DBulletlevel1"/>
        <w:spacing w:line="276" w:lineRule="auto"/>
        <w:rPr>
          <w:noProof w:val="0"/>
        </w:rPr>
      </w:pPr>
      <w:r w:rsidRPr="00866D96">
        <w:rPr>
          <w:noProof w:val="0"/>
        </w:rPr>
        <w:t>Facilitate the distribution of biofuels through the country promoting the installation of appropriate pumps. Especially for biodiesel, there are currently no filling station (except the one in BERL production site). Regarding ethanol, the draft NEP sets the target of 200 filling stations with ethanol fuel tanks in 2020</w:t>
      </w:r>
      <w:r w:rsidR="00816591" w:rsidRPr="00866D96">
        <w:rPr>
          <w:noProof w:val="0"/>
        </w:rPr>
        <w:t>.</w:t>
      </w:r>
    </w:p>
    <w:p w14:paraId="762880C2" w14:textId="77777777" w:rsidR="005F27B0" w:rsidRPr="00866D96" w:rsidRDefault="005F27B0" w:rsidP="00B1153E">
      <w:pPr>
        <w:pStyle w:val="DBulletlevel1"/>
        <w:spacing w:line="276" w:lineRule="auto"/>
        <w:rPr>
          <w:noProof w:val="0"/>
        </w:rPr>
      </w:pPr>
      <w:r w:rsidRPr="00866D96">
        <w:rPr>
          <w:noProof w:val="0"/>
        </w:rPr>
        <w:t>By 2018 establish a network of fuelling stations offering E85</w:t>
      </w:r>
      <w:r w:rsidR="00EE499B" w:rsidRPr="00866D96">
        <w:rPr>
          <w:noProof w:val="0"/>
        </w:rPr>
        <w:t>.</w:t>
      </w:r>
    </w:p>
    <w:p w14:paraId="0AE09767" w14:textId="77777777" w:rsidR="005F27B0" w:rsidRPr="006122EE" w:rsidRDefault="005F27B0" w:rsidP="00B1153E">
      <w:pPr>
        <w:pStyle w:val="CSubtitle3"/>
        <w:spacing w:line="276" w:lineRule="auto"/>
        <w:rPr>
          <w:b/>
          <w:u w:val="none"/>
        </w:rPr>
      </w:pPr>
      <w:r w:rsidRPr="006122EE">
        <w:rPr>
          <w:b/>
          <w:u w:val="none"/>
        </w:rPr>
        <w:t>Encourage the use of biofuels</w:t>
      </w:r>
    </w:p>
    <w:p w14:paraId="651D06E2" w14:textId="77777777" w:rsidR="005F27B0" w:rsidRPr="006122EE" w:rsidRDefault="005F27B0" w:rsidP="00B1153E">
      <w:pPr>
        <w:pStyle w:val="CSubtitle3"/>
        <w:spacing w:line="276" w:lineRule="auto"/>
        <w:rPr>
          <w:u w:val="none"/>
        </w:rPr>
      </w:pPr>
      <w:r w:rsidRPr="006122EE">
        <w:rPr>
          <w:u w:val="none"/>
        </w:rPr>
        <w:t>The following measures to increase the consumption of biofuels should be implemented:</w:t>
      </w:r>
    </w:p>
    <w:p w14:paraId="259DFC59" w14:textId="77777777" w:rsidR="005F27B0" w:rsidRPr="00866D96" w:rsidRDefault="005F27B0" w:rsidP="00B1153E">
      <w:pPr>
        <w:pStyle w:val="DBulletlevel1"/>
        <w:spacing w:line="276" w:lineRule="auto"/>
        <w:rPr>
          <w:noProof w:val="0"/>
        </w:rPr>
      </w:pPr>
      <w:r w:rsidRPr="00866D96">
        <w:rPr>
          <w:noProof w:val="0"/>
        </w:rPr>
        <w:t>Encourage the importation of flex-fuel vehicles that can use E85 by reducing duties on importations (e.g. like in Brazil, and South Africa)</w:t>
      </w:r>
      <w:r w:rsidR="00EE499B" w:rsidRPr="00866D96">
        <w:rPr>
          <w:noProof w:val="0"/>
        </w:rPr>
        <w:t>.</w:t>
      </w:r>
    </w:p>
    <w:p w14:paraId="38E6998E" w14:textId="77777777" w:rsidR="005F27B0" w:rsidRPr="00866D96" w:rsidRDefault="005F27B0" w:rsidP="00B1153E">
      <w:pPr>
        <w:pStyle w:val="DBulletlevel1"/>
        <w:spacing w:line="276" w:lineRule="auto"/>
        <w:rPr>
          <w:noProof w:val="0"/>
        </w:rPr>
      </w:pPr>
      <w:r w:rsidRPr="00866D96">
        <w:rPr>
          <w:noProof w:val="0"/>
        </w:rPr>
        <w:t>Distribute flex-fuel converter kits and shift the government fleet to biofuels</w:t>
      </w:r>
      <w:r w:rsidR="00096EFE" w:rsidRPr="00866D96">
        <w:rPr>
          <w:noProof w:val="0"/>
        </w:rPr>
        <w:t xml:space="preserve"> and promote the local manufacturing of conversion kits.</w:t>
      </w:r>
    </w:p>
    <w:p w14:paraId="019DB169" w14:textId="77777777" w:rsidR="005F27B0" w:rsidRPr="00866D96" w:rsidRDefault="005F27B0" w:rsidP="00B1153E">
      <w:pPr>
        <w:pStyle w:val="DBulletlevel1"/>
        <w:spacing w:line="276" w:lineRule="auto"/>
        <w:rPr>
          <w:noProof w:val="0"/>
        </w:rPr>
      </w:pPr>
      <w:r w:rsidRPr="00866D96">
        <w:rPr>
          <w:noProof w:val="0"/>
        </w:rPr>
        <w:t>Encourage the use of renewable fuel for mass transport system (mainly buses)</w:t>
      </w:r>
      <w:r w:rsidR="00EE499B" w:rsidRPr="00866D96">
        <w:rPr>
          <w:noProof w:val="0"/>
        </w:rPr>
        <w:t>.</w:t>
      </w:r>
    </w:p>
    <w:p w14:paraId="19ABADF0" w14:textId="77777777" w:rsidR="008E702F" w:rsidRPr="00866D96" w:rsidRDefault="008E702F" w:rsidP="00B1153E">
      <w:pPr>
        <w:pStyle w:val="CSubtitle2"/>
        <w:spacing w:line="276" w:lineRule="auto"/>
        <w:rPr>
          <w:noProof w:val="0"/>
          <w:lang w:val="en-GB"/>
        </w:rPr>
      </w:pPr>
      <w:r w:rsidRPr="00866D96">
        <w:rPr>
          <w:noProof w:val="0"/>
          <w:lang w:val="en-GB"/>
        </w:rPr>
        <w:t>Ensure a sustainable biofuel production</w:t>
      </w:r>
    </w:p>
    <w:p w14:paraId="6A3C8AC8" w14:textId="77777777" w:rsidR="00711173" w:rsidRPr="006122EE" w:rsidRDefault="00711173" w:rsidP="00B1153E">
      <w:pPr>
        <w:spacing w:line="276" w:lineRule="auto"/>
        <w:rPr>
          <w:lang w:eastAsia="fr-FR"/>
        </w:rPr>
      </w:pPr>
      <w:r w:rsidRPr="006122EE">
        <w:rPr>
          <w:lang w:eastAsia="fr-FR"/>
        </w:rPr>
        <w:t xml:space="preserve">Raising the biodiesel production from 150,000 litres in 2016 (70,000 in 2015) to 55,000,000 in 2030 will </w:t>
      </w:r>
      <w:r w:rsidR="003828EB" w:rsidRPr="006122EE">
        <w:rPr>
          <w:lang w:eastAsia="fr-FR"/>
        </w:rPr>
        <w:t>certainly</w:t>
      </w:r>
      <w:r w:rsidRPr="006122EE">
        <w:rPr>
          <w:lang w:eastAsia="fr-FR"/>
        </w:rPr>
        <w:t xml:space="preserve"> have an impact on jatropha cultivation. With a yield of 7,000 kg of seeds for each hectare cultivated, and a yield of 1 litre of biodiesel for 4 kg of seeds</w:t>
      </w:r>
      <w:r w:rsidRPr="006122EE">
        <w:rPr>
          <w:rStyle w:val="FootnoteReference"/>
          <w:lang w:eastAsia="fr-FR"/>
        </w:rPr>
        <w:footnoteReference w:id="87"/>
      </w:r>
      <w:r w:rsidRPr="006122EE">
        <w:rPr>
          <w:lang w:eastAsia="fr-FR"/>
        </w:rPr>
        <w:t xml:space="preserve">, </w:t>
      </w:r>
      <w:r w:rsidR="003828EB" w:rsidRPr="006122EE">
        <w:rPr>
          <w:lang w:eastAsia="fr-FR"/>
        </w:rPr>
        <w:t xml:space="preserve">it is estimated </w:t>
      </w:r>
      <w:r w:rsidRPr="006122EE">
        <w:rPr>
          <w:lang w:eastAsia="fr-FR"/>
        </w:rPr>
        <w:t xml:space="preserve">that the land cultivated for jatropha in 2016 </w:t>
      </w:r>
      <w:r w:rsidR="003828EB" w:rsidRPr="006122EE">
        <w:rPr>
          <w:lang w:eastAsia="fr-FR"/>
        </w:rPr>
        <w:t>was</w:t>
      </w:r>
      <w:r w:rsidRPr="006122EE">
        <w:rPr>
          <w:lang w:eastAsia="fr-FR"/>
        </w:rPr>
        <w:t xml:space="preserve"> around 85 hectares. In 2030, there will be a need for more </w:t>
      </w:r>
      <w:r w:rsidR="005D5DB7" w:rsidRPr="006122EE">
        <w:rPr>
          <w:lang w:eastAsia="fr-FR"/>
        </w:rPr>
        <w:t xml:space="preserve">than </w:t>
      </w:r>
      <w:r w:rsidRPr="006122EE">
        <w:rPr>
          <w:lang w:eastAsia="fr-FR"/>
        </w:rPr>
        <w:t>30,000 hectares cultivated</w:t>
      </w:r>
      <w:r w:rsidR="00BF21C5" w:rsidRPr="006122EE">
        <w:rPr>
          <w:lang w:eastAsia="fr-FR"/>
        </w:rPr>
        <w:t xml:space="preserve"> under irrigated conditions</w:t>
      </w:r>
      <w:r w:rsidRPr="006122EE">
        <w:rPr>
          <w:lang w:eastAsia="fr-FR"/>
        </w:rPr>
        <w:t>.</w:t>
      </w:r>
    </w:p>
    <w:p w14:paraId="2FA501A6" w14:textId="77777777" w:rsidR="00B1153E" w:rsidRDefault="00365564" w:rsidP="00B1153E">
      <w:pPr>
        <w:spacing w:line="276" w:lineRule="auto"/>
        <w:rPr>
          <w:lang w:eastAsia="fr-FR"/>
        </w:rPr>
      </w:pPr>
      <w:r w:rsidRPr="006122EE">
        <w:rPr>
          <w:lang w:eastAsia="fr-FR"/>
        </w:rPr>
        <w:t>The</w:t>
      </w:r>
      <w:r w:rsidR="009E077D" w:rsidRPr="006122EE">
        <w:rPr>
          <w:lang w:eastAsia="fr-FR"/>
        </w:rPr>
        <w:t xml:space="preserve"> yield of 7,000 kg of seeds per hectare is an average yield under irrigation conditions. Nevertheless, jatropha trees can grow without irrigation, but the average yield will be lower: between 1,000 and 2,000 kg / hectare</w:t>
      </w:r>
      <w:r w:rsidR="00F072D9" w:rsidRPr="006122EE">
        <w:rPr>
          <w:rStyle w:val="FootnoteReference"/>
          <w:lang w:eastAsia="fr-FR"/>
        </w:rPr>
        <w:footnoteReference w:id="88"/>
      </w:r>
      <w:r w:rsidR="009E077D" w:rsidRPr="006122EE">
        <w:rPr>
          <w:lang w:eastAsia="fr-FR"/>
        </w:rPr>
        <w:t>. The need for land will then be nearly 150,000 hectares.</w:t>
      </w:r>
    </w:p>
    <w:p w14:paraId="683CF726" w14:textId="77777777" w:rsidR="00B1153E" w:rsidRDefault="00B1153E">
      <w:pPr>
        <w:spacing w:before="0" w:after="0" w:line="240" w:lineRule="auto"/>
        <w:jc w:val="left"/>
        <w:rPr>
          <w:lang w:eastAsia="fr-FR"/>
        </w:rPr>
      </w:pPr>
      <w:r>
        <w:rPr>
          <w:lang w:eastAsia="fr-FR"/>
        </w:rPr>
        <w:br w:type="page"/>
      </w:r>
    </w:p>
    <w:p w14:paraId="05E24F57" w14:textId="77777777" w:rsidR="003E32AB" w:rsidRPr="006122EE" w:rsidRDefault="003E32AB" w:rsidP="00B1153E">
      <w:pPr>
        <w:spacing w:line="276" w:lineRule="auto"/>
        <w:rPr>
          <w:lang w:eastAsia="fr-FR"/>
        </w:rPr>
      </w:pPr>
    </w:p>
    <w:p w14:paraId="560A6A9C" w14:textId="77777777" w:rsidR="0094681A" w:rsidRPr="006122EE" w:rsidRDefault="0094681A" w:rsidP="00866D96">
      <w:pPr>
        <w:pStyle w:val="Caption"/>
      </w:pPr>
      <w:bookmarkStart w:id="448" w:name="_Toc481615022"/>
      <w:r w:rsidRPr="006122EE">
        <w:t xml:space="preserve">Table </w:t>
      </w:r>
      <w:r w:rsidR="00DC7D8C">
        <w:fldChar w:fldCharType="begin"/>
      </w:r>
      <w:r w:rsidR="00DC7D8C">
        <w:instrText xml:space="preserve"> SEQ Table \* ARABIC </w:instrText>
      </w:r>
      <w:r w:rsidR="00DC7D8C">
        <w:fldChar w:fldCharType="separate"/>
      </w:r>
      <w:r w:rsidR="00866D96">
        <w:rPr>
          <w:noProof/>
        </w:rPr>
        <w:t>37</w:t>
      </w:r>
      <w:r w:rsidR="00DC7D8C">
        <w:rPr>
          <w:noProof/>
        </w:rPr>
        <w:fldChar w:fldCharType="end"/>
      </w:r>
      <w:r w:rsidRPr="006122EE">
        <w:t>: Required land for cultivations of jatropha and sugarcane</w:t>
      </w:r>
      <w:bookmarkEnd w:id="448"/>
    </w:p>
    <w:tbl>
      <w:tblPr>
        <w:tblStyle w:val="GridTable4-Accent32"/>
        <w:tblW w:w="0" w:type="auto"/>
        <w:tblLook w:val="04A0" w:firstRow="1" w:lastRow="0" w:firstColumn="1" w:lastColumn="0" w:noHBand="0" w:noVBand="1"/>
      </w:tblPr>
      <w:tblGrid>
        <w:gridCol w:w="1565"/>
        <w:gridCol w:w="1565"/>
        <w:gridCol w:w="1566"/>
        <w:gridCol w:w="1566"/>
        <w:gridCol w:w="1566"/>
        <w:gridCol w:w="1566"/>
      </w:tblGrid>
      <w:tr w:rsidR="00C143C2" w:rsidRPr="006122EE" w14:paraId="21698ABF" w14:textId="77777777" w:rsidTr="00866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val="restart"/>
          </w:tcPr>
          <w:p w14:paraId="68A8D0BD" w14:textId="77777777" w:rsidR="00C143C2" w:rsidRPr="006122EE" w:rsidRDefault="00C143C2" w:rsidP="00C143C2">
            <w:pPr>
              <w:jc w:val="center"/>
              <w:rPr>
                <w:lang w:eastAsia="fr-FR"/>
              </w:rPr>
            </w:pPr>
            <w:r w:rsidRPr="006122EE">
              <w:rPr>
                <w:lang w:eastAsia="fr-FR"/>
              </w:rPr>
              <w:t>Jatropha</w:t>
            </w:r>
          </w:p>
        </w:tc>
        <w:tc>
          <w:tcPr>
            <w:tcW w:w="1565" w:type="dxa"/>
          </w:tcPr>
          <w:p w14:paraId="2F5CDC58" w14:textId="77777777" w:rsidR="00C143C2" w:rsidRPr="006122EE" w:rsidRDefault="00C143C2" w:rsidP="00BF21C5">
            <w:pPr>
              <w:jc w:val="center"/>
              <w:cnfStyle w:val="100000000000" w:firstRow="1" w:lastRow="0" w:firstColumn="0" w:lastColumn="0" w:oddVBand="0" w:evenVBand="0" w:oddHBand="0" w:evenHBand="0" w:firstRowFirstColumn="0" w:firstRowLastColumn="0" w:lastRowFirstColumn="0" w:lastRowLastColumn="0"/>
              <w:rPr>
                <w:lang w:eastAsia="fr-FR"/>
              </w:rPr>
            </w:pPr>
            <w:r w:rsidRPr="006122EE">
              <w:rPr>
                <w:lang w:eastAsia="fr-FR"/>
              </w:rPr>
              <w:t>Rain-fed</w:t>
            </w:r>
          </w:p>
        </w:tc>
        <w:tc>
          <w:tcPr>
            <w:tcW w:w="1566" w:type="dxa"/>
          </w:tcPr>
          <w:p w14:paraId="187DF536" w14:textId="77777777" w:rsidR="00C143C2" w:rsidRPr="006122EE" w:rsidRDefault="00C143C2" w:rsidP="00BF21C5">
            <w:pPr>
              <w:jc w:val="center"/>
              <w:cnfStyle w:val="100000000000" w:firstRow="1" w:lastRow="0" w:firstColumn="0" w:lastColumn="0" w:oddVBand="0" w:evenVBand="0" w:oddHBand="0" w:evenHBand="0" w:firstRowFirstColumn="0" w:firstRowLastColumn="0" w:lastRowFirstColumn="0" w:lastRowLastColumn="0"/>
              <w:rPr>
                <w:lang w:eastAsia="fr-FR"/>
              </w:rPr>
            </w:pPr>
            <w:r w:rsidRPr="006122EE">
              <w:rPr>
                <w:lang w:eastAsia="fr-FR"/>
              </w:rPr>
              <w:t>Irrigated</w:t>
            </w:r>
          </w:p>
        </w:tc>
        <w:tc>
          <w:tcPr>
            <w:tcW w:w="1566" w:type="dxa"/>
            <w:vMerge w:val="restart"/>
          </w:tcPr>
          <w:p w14:paraId="3334D8E8" w14:textId="77777777" w:rsidR="00C143C2" w:rsidRPr="006122EE" w:rsidRDefault="00C143C2" w:rsidP="00BF21C5">
            <w:pPr>
              <w:jc w:val="center"/>
              <w:cnfStyle w:val="100000000000" w:firstRow="1" w:lastRow="0" w:firstColumn="0" w:lastColumn="0" w:oddVBand="0" w:evenVBand="0" w:oddHBand="0" w:evenHBand="0" w:firstRowFirstColumn="0" w:firstRowLastColumn="0" w:lastRowFirstColumn="0" w:lastRowLastColumn="0"/>
              <w:rPr>
                <w:lang w:eastAsia="fr-FR"/>
              </w:rPr>
            </w:pPr>
            <w:r w:rsidRPr="006122EE">
              <w:rPr>
                <w:lang w:eastAsia="fr-FR"/>
              </w:rPr>
              <w:t>Sugarcane</w:t>
            </w:r>
          </w:p>
        </w:tc>
        <w:tc>
          <w:tcPr>
            <w:tcW w:w="1566" w:type="dxa"/>
          </w:tcPr>
          <w:p w14:paraId="0D721047" w14:textId="77777777" w:rsidR="00C143C2" w:rsidRPr="006122EE" w:rsidRDefault="00C143C2" w:rsidP="00BF21C5">
            <w:pPr>
              <w:jc w:val="center"/>
              <w:cnfStyle w:val="100000000000" w:firstRow="1" w:lastRow="0" w:firstColumn="0" w:lastColumn="0" w:oddVBand="0" w:evenVBand="0" w:oddHBand="0" w:evenHBand="0" w:firstRowFirstColumn="0" w:firstRowLastColumn="0" w:lastRowFirstColumn="0" w:lastRowLastColumn="0"/>
              <w:rPr>
                <w:lang w:eastAsia="fr-FR"/>
              </w:rPr>
            </w:pPr>
            <w:r w:rsidRPr="006122EE">
              <w:rPr>
                <w:lang w:eastAsia="fr-FR"/>
              </w:rPr>
              <w:t>Rain-fed</w:t>
            </w:r>
          </w:p>
        </w:tc>
        <w:tc>
          <w:tcPr>
            <w:tcW w:w="1566" w:type="dxa"/>
          </w:tcPr>
          <w:p w14:paraId="6BE73F05" w14:textId="77777777" w:rsidR="00C143C2" w:rsidRPr="006122EE" w:rsidRDefault="00C143C2" w:rsidP="00BF21C5">
            <w:pPr>
              <w:jc w:val="center"/>
              <w:cnfStyle w:val="100000000000" w:firstRow="1" w:lastRow="0" w:firstColumn="0" w:lastColumn="0" w:oddVBand="0" w:evenVBand="0" w:oddHBand="0" w:evenHBand="0" w:firstRowFirstColumn="0" w:firstRowLastColumn="0" w:lastRowFirstColumn="0" w:lastRowLastColumn="0"/>
              <w:rPr>
                <w:lang w:eastAsia="fr-FR"/>
              </w:rPr>
            </w:pPr>
            <w:r w:rsidRPr="006122EE">
              <w:rPr>
                <w:lang w:eastAsia="fr-FR"/>
              </w:rPr>
              <w:t>Irrigated</w:t>
            </w:r>
          </w:p>
        </w:tc>
      </w:tr>
      <w:tr w:rsidR="00C143C2" w:rsidRPr="006122EE" w14:paraId="5779B651" w14:textId="77777777" w:rsidTr="0086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tcPr>
          <w:p w14:paraId="68FC7276" w14:textId="77777777" w:rsidR="00C143C2" w:rsidRPr="006122EE" w:rsidRDefault="00C143C2" w:rsidP="00C143C2">
            <w:pPr>
              <w:rPr>
                <w:lang w:eastAsia="fr-FR"/>
              </w:rPr>
            </w:pPr>
          </w:p>
        </w:tc>
        <w:tc>
          <w:tcPr>
            <w:tcW w:w="3131" w:type="dxa"/>
            <w:gridSpan w:val="2"/>
          </w:tcPr>
          <w:p w14:paraId="37C01819" w14:textId="77777777" w:rsidR="00C143C2" w:rsidRPr="006122EE" w:rsidRDefault="00C143C2" w:rsidP="00C143C2">
            <w:pPr>
              <w:jc w:val="center"/>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1 ha</w:t>
            </w:r>
          </w:p>
        </w:tc>
        <w:tc>
          <w:tcPr>
            <w:tcW w:w="1566" w:type="dxa"/>
            <w:vMerge/>
          </w:tcPr>
          <w:p w14:paraId="5F693AE4" w14:textId="77777777" w:rsidR="00C143C2" w:rsidRPr="006122EE" w:rsidRDefault="00C143C2" w:rsidP="00C143C2">
            <w:pPr>
              <w:cnfStyle w:val="000000100000" w:firstRow="0" w:lastRow="0" w:firstColumn="0" w:lastColumn="0" w:oddVBand="0" w:evenVBand="0" w:oddHBand="1" w:evenHBand="0" w:firstRowFirstColumn="0" w:firstRowLastColumn="0" w:lastRowFirstColumn="0" w:lastRowLastColumn="0"/>
              <w:rPr>
                <w:lang w:eastAsia="fr-FR"/>
              </w:rPr>
            </w:pPr>
          </w:p>
        </w:tc>
        <w:tc>
          <w:tcPr>
            <w:tcW w:w="3132" w:type="dxa"/>
            <w:gridSpan w:val="2"/>
          </w:tcPr>
          <w:p w14:paraId="6305256D" w14:textId="77777777" w:rsidR="00C143C2" w:rsidRPr="006122EE" w:rsidRDefault="00C143C2" w:rsidP="00C143C2">
            <w:pPr>
              <w:jc w:val="center"/>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1 ha</w:t>
            </w:r>
          </w:p>
        </w:tc>
      </w:tr>
      <w:tr w:rsidR="00C143C2" w:rsidRPr="006122EE" w14:paraId="5F3B4BB6" w14:textId="77777777" w:rsidTr="00866D96">
        <w:tc>
          <w:tcPr>
            <w:cnfStyle w:val="001000000000" w:firstRow="0" w:lastRow="0" w:firstColumn="1" w:lastColumn="0" w:oddVBand="0" w:evenVBand="0" w:oddHBand="0" w:evenHBand="0" w:firstRowFirstColumn="0" w:firstRowLastColumn="0" w:lastRowFirstColumn="0" w:lastRowLastColumn="0"/>
            <w:tcW w:w="1565" w:type="dxa"/>
            <w:vMerge w:val="restart"/>
          </w:tcPr>
          <w:p w14:paraId="73541498" w14:textId="77777777" w:rsidR="00C143C2" w:rsidRPr="006122EE" w:rsidRDefault="00C143C2" w:rsidP="00C143C2">
            <w:pPr>
              <w:jc w:val="left"/>
              <w:rPr>
                <w:lang w:eastAsia="fr-FR"/>
              </w:rPr>
            </w:pPr>
            <w:r w:rsidRPr="006122EE">
              <w:rPr>
                <w:lang w:eastAsia="fr-FR"/>
              </w:rPr>
              <w:t>Yield</w:t>
            </w:r>
          </w:p>
        </w:tc>
        <w:tc>
          <w:tcPr>
            <w:tcW w:w="1565" w:type="dxa"/>
          </w:tcPr>
          <w:p w14:paraId="7BA6FCE2" w14:textId="77777777" w:rsidR="00C143C2" w:rsidRPr="006122EE" w:rsidRDefault="00C143C2"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1,500 kg</w:t>
            </w:r>
          </w:p>
        </w:tc>
        <w:tc>
          <w:tcPr>
            <w:tcW w:w="1566" w:type="dxa"/>
          </w:tcPr>
          <w:p w14:paraId="50405912" w14:textId="77777777" w:rsidR="00C143C2" w:rsidRPr="006122EE" w:rsidRDefault="00C143C2"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7,000 kg</w:t>
            </w:r>
          </w:p>
        </w:tc>
        <w:tc>
          <w:tcPr>
            <w:tcW w:w="1566" w:type="dxa"/>
            <w:vMerge w:val="restart"/>
          </w:tcPr>
          <w:p w14:paraId="4FA5E1D4" w14:textId="77777777" w:rsidR="00C143C2" w:rsidRPr="006122EE" w:rsidRDefault="00C143C2"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Yield</w:t>
            </w:r>
          </w:p>
        </w:tc>
        <w:tc>
          <w:tcPr>
            <w:tcW w:w="1566" w:type="dxa"/>
          </w:tcPr>
          <w:p w14:paraId="29D55723" w14:textId="77777777" w:rsidR="00C143C2" w:rsidRPr="006122EE" w:rsidRDefault="00C143C2" w:rsidP="00C143C2">
            <w:pPr>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40,000 kg</w:t>
            </w:r>
          </w:p>
        </w:tc>
        <w:tc>
          <w:tcPr>
            <w:tcW w:w="1566" w:type="dxa"/>
          </w:tcPr>
          <w:p w14:paraId="787C9A60" w14:textId="77777777" w:rsidR="00C143C2" w:rsidRPr="006122EE" w:rsidRDefault="00C143C2" w:rsidP="00C143C2">
            <w:pPr>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100,000 kg</w:t>
            </w:r>
          </w:p>
        </w:tc>
      </w:tr>
      <w:tr w:rsidR="00C143C2" w:rsidRPr="006122EE" w14:paraId="05C5F466" w14:textId="77777777" w:rsidTr="0086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vMerge/>
          </w:tcPr>
          <w:p w14:paraId="00D46242" w14:textId="77777777" w:rsidR="00C143C2" w:rsidRPr="006122EE" w:rsidRDefault="00C143C2" w:rsidP="00C143C2">
            <w:pPr>
              <w:rPr>
                <w:lang w:eastAsia="fr-FR"/>
              </w:rPr>
            </w:pPr>
          </w:p>
        </w:tc>
        <w:tc>
          <w:tcPr>
            <w:tcW w:w="1565" w:type="dxa"/>
          </w:tcPr>
          <w:p w14:paraId="6ECA28FC" w14:textId="77777777" w:rsidR="00C143C2" w:rsidRPr="006122EE" w:rsidRDefault="00C143C2"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375 l</w:t>
            </w:r>
          </w:p>
        </w:tc>
        <w:tc>
          <w:tcPr>
            <w:tcW w:w="1566" w:type="dxa"/>
          </w:tcPr>
          <w:p w14:paraId="5C932F6D" w14:textId="77777777" w:rsidR="00C143C2" w:rsidRPr="006122EE" w:rsidRDefault="00C143C2"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1,750 l</w:t>
            </w:r>
          </w:p>
        </w:tc>
        <w:tc>
          <w:tcPr>
            <w:tcW w:w="1566" w:type="dxa"/>
            <w:vMerge/>
          </w:tcPr>
          <w:p w14:paraId="158F52EC" w14:textId="77777777" w:rsidR="00C143C2" w:rsidRPr="006122EE" w:rsidRDefault="00C143C2" w:rsidP="00C143C2">
            <w:pPr>
              <w:cnfStyle w:val="000000100000" w:firstRow="0" w:lastRow="0" w:firstColumn="0" w:lastColumn="0" w:oddVBand="0" w:evenVBand="0" w:oddHBand="1" w:evenHBand="0" w:firstRowFirstColumn="0" w:firstRowLastColumn="0" w:lastRowFirstColumn="0" w:lastRowLastColumn="0"/>
              <w:rPr>
                <w:lang w:eastAsia="fr-FR"/>
              </w:rPr>
            </w:pPr>
          </w:p>
        </w:tc>
        <w:tc>
          <w:tcPr>
            <w:tcW w:w="1566" w:type="dxa"/>
          </w:tcPr>
          <w:p w14:paraId="366CF7E9" w14:textId="77777777" w:rsidR="00C143C2" w:rsidRPr="006122EE" w:rsidRDefault="00C143C2" w:rsidP="00C143C2">
            <w:pPr>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3,100 l</w:t>
            </w:r>
          </w:p>
        </w:tc>
        <w:tc>
          <w:tcPr>
            <w:tcW w:w="1566" w:type="dxa"/>
          </w:tcPr>
          <w:p w14:paraId="0D6F66C3" w14:textId="77777777" w:rsidR="00C143C2" w:rsidRPr="006122EE" w:rsidRDefault="00C143C2" w:rsidP="00C143C2">
            <w:pPr>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7,750 l</w:t>
            </w:r>
          </w:p>
        </w:tc>
      </w:tr>
      <w:tr w:rsidR="00C143C2" w:rsidRPr="006122EE" w14:paraId="63193812" w14:textId="77777777" w:rsidTr="00866D96">
        <w:tc>
          <w:tcPr>
            <w:cnfStyle w:val="001000000000" w:firstRow="0" w:lastRow="0" w:firstColumn="1" w:lastColumn="0" w:oddVBand="0" w:evenVBand="0" w:oddHBand="0" w:evenHBand="0" w:firstRowFirstColumn="0" w:firstRowLastColumn="0" w:lastRowFirstColumn="0" w:lastRowLastColumn="0"/>
            <w:tcW w:w="1565" w:type="dxa"/>
          </w:tcPr>
          <w:p w14:paraId="163DB151" w14:textId="77777777" w:rsidR="00C143C2" w:rsidRPr="006122EE" w:rsidRDefault="00EF136F" w:rsidP="00C143C2">
            <w:pPr>
              <w:jc w:val="left"/>
              <w:rPr>
                <w:lang w:eastAsia="fr-FR"/>
              </w:rPr>
            </w:pPr>
            <w:r w:rsidRPr="006122EE">
              <w:rPr>
                <w:lang w:eastAsia="fr-FR"/>
              </w:rPr>
              <w:t xml:space="preserve">Baseline </w:t>
            </w:r>
            <w:r w:rsidR="00C143C2" w:rsidRPr="006122EE">
              <w:rPr>
                <w:lang w:eastAsia="fr-FR"/>
              </w:rPr>
              <w:t>2016    (150,000 l)</w:t>
            </w:r>
          </w:p>
        </w:tc>
        <w:tc>
          <w:tcPr>
            <w:tcW w:w="1565" w:type="dxa"/>
          </w:tcPr>
          <w:p w14:paraId="57C8361C" w14:textId="77777777" w:rsidR="00C143C2" w:rsidRPr="006122EE" w:rsidRDefault="00C143C2"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400 ha</w:t>
            </w:r>
          </w:p>
        </w:tc>
        <w:tc>
          <w:tcPr>
            <w:tcW w:w="1566" w:type="dxa"/>
          </w:tcPr>
          <w:p w14:paraId="36D0A72A" w14:textId="77777777" w:rsidR="00C143C2" w:rsidRPr="006122EE" w:rsidRDefault="00C143C2"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85 ha</w:t>
            </w:r>
          </w:p>
        </w:tc>
        <w:tc>
          <w:tcPr>
            <w:tcW w:w="1566" w:type="dxa"/>
          </w:tcPr>
          <w:p w14:paraId="7DA9CBAC" w14:textId="77777777" w:rsidR="00C143C2" w:rsidRPr="006122EE" w:rsidRDefault="00EF136F"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 xml:space="preserve">Baseline </w:t>
            </w:r>
            <w:r w:rsidR="00C143C2" w:rsidRPr="006122EE">
              <w:rPr>
                <w:lang w:eastAsia="fr-FR"/>
              </w:rPr>
              <w:t>2016 (26,700,000 l)</w:t>
            </w:r>
          </w:p>
        </w:tc>
        <w:tc>
          <w:tcPr>
            <w:tcW w:w="1566" w:type="dxa"/>
          </w:tcPr>
          <w:p w14:paraId="75F78862" w14:textId="77777777" w:rsidR="00C143C2" w:rsidRPr="006122EE" w:rsidRDefault="00A96D2B"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8,600 ha</w:t>
            </w:r>
          </w:p>
        </w:tc>
        <w:tc>
          <w:tcPr>
            <w:tcW w:w="1566" w:type="dxa"/>
          </w:tcPr>
          <w:p w14:paraId="3437FE08" w14:textId="77777777" w:rsidR="00C143C2" w:rsidRPr="006122EE" w:rsidRDefault="00A96D2B" w:rsidP="00C143C2">
            <w:pPr>
              <w:jc w:val="left"/>
              <w:cnfStyle w:val="000000000000" w:firstRow="0" w:lastRow="0" w:firstColumn="0" w:lastColumn="0" w:oddVBand="0" w:evenVBand="0" w:oddHBand="0" w:evenHBand="0" w:firstRowFirstColumn="0" w:firstRowLastColumn="0" w:lastRowFirstColumn="0" w:lastRowLastColumn="0"/>
              <w:rPr>
                <w:lang w:eastAsia="fr-FR"/>
              </w:rPr>
            </w:pPr>
            <w:r w:rsidRPr="006122EE">
              <w:rPr>
                <w:lang w:eastAsia="fr-FR"/>
              </w:rPr>
              <w:t>3,500 ha</w:t>
            </w:r>
          </w:p>
        </w:tc>
      </w:tr>
      <w:tr w:rsidR="00C143C2" w:rsidRPr="006122EE" w14:paraId="60406F73" w14:textId="77777777" w:rsidTr="0086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5988E919" w14:textId="77777777" w:rsidR="00C143C2" w:rsidRPr="006122EE" w:rsidRDefault="00C143C2" w:rsidP="00C143C2">
            <w:pPr>
              <w:jc w:val="left"/>
              <w:rPr>
                <w:lang w:eastAsia="fr-FR"/>
              </w:rPr>
            </w:pPr>
            <w:r w:rsidRPr="006122EE">
              <w:rPr>
                <w:lang w:eastAsia="fr-FR"/>
              </w:rPr>
              <w:t>Target 2030 (55,000,000</w:t>
            </w:r>
            <w:r w:rsidR="00EF136F" w:rsidRPr="006122EE">
              <w:rPr>
                <w:lang w:eastAsia="fr-FR"/>
              </w:rPr>
              <w:t xml:space="preserve"> l</w:t>
            </w:r>
            <w:r w:rsidRPr="006122EE">
              <w:rPr>
                <w:lang w:eastAsia="fr-FR"/>
              </w:rPr>
              <w:t>)</w:t>
            </w:r>
          </w:p>
        </w:tc>
        <w:tc>
          <w:tcPr>
            <w:tcW w:w="1565" w:type="dxa"/>
          </w:tcPr>
          <w:p w14:paraId="746346C2" w14:textId="77777777" w:rsidR="00C143C2" w:rsidRPr="006122EE" w:rsidRDefault="00C143C2"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150,000 ha</w:t>
            </w:r>
          </w:p>
        </w:tc>
        <w:tc>
          <w:tcPr>
            <w:tcW w:w="1566" w:type="dxa"/>
          </w:tcPr>
          <w:p w14:paraId="1F9E8926" w14:textId="77777777" w:rsidR="00C143C2" w:rsidRPr="006122EE" w:rsidRDefault="00C143C2"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30,000 ha</w:t>
            </w:r>
          </w:p>
        </w:tc>
        <w:tc>
          <w:tcPr>
            <w:tcW w:w="1566" w:type="dxa"/>
          </w:tcPr>
          <w:p w14:paraId="20003645" w14:textId="77777777" w:rsidR="00C143C2" w:rsidRPr="006122EE" w:rsidRDefault="00C143C2"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Target 2030 (40,000,000 l)</w:t>
            </w:r>
          </w:p>
        </w:tc>
        <w:tc>
          <w:tcPr>
            <w:tcW w:w="1566" w:type="dxa"/>
          </w:tcPr>
          <w:p w14:paraId="432EC923" w14:textId="77777777" w:rsidR="00C143C2" w:rsidRPr="006122EE" w:rsidRDefault="00A96D2B"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12,900 ha</w:t>
            </w:r>
          </w:p>
        </w:tc>
        <w:tc>
          <w:tcPr>
            <w:tcW w:w="1566" w:type="dxa"/>
          </w:tcPr>
          <w:p w14:paraId="74E715E9" w14:textId="77777777" w:rsidR="00C143C2" w:rsidRPr="006122EE" w:rsidRDefault="00A96D2B" w:rsidP="00C143C2">
            <w:pPr>
              <w:jc w:val="left"/>
              <w:cnfStyle w:val="000000100000" w:firstRow="0" w:lastRow="0" w:firstColumn="0" w:lastColumn="0" w:oddVBand="0" w:evenVBand="0" w:oddHBand="1" w:evenHBand="0" w:firstRowFirstColumn="0" w:firstRowLastColumn="0" w:lastRowFirstColumn="0" w:lastRowLastColumn="0"/>
              <w:rPr>
                <w:lang w:eastAsia="fr-FR"/>
              </w:rPr>
            </w:pPr>
            <w:r w:rsidRPr="006122EE">
              <w:rPr>
                <w:lang w:eastAsia="fr-FR"/>
              </w:rPr>
              <w:t>5,200 ha</w:t>
            </w:r>
          </w:p>
        </w:tc>
      </w:tr>
    </w:tbl>
    <w:p w14:paraId="23006685" w14:textId="77777777" w:rsidR="00B1153E" w:rsidRDefault="00B1153E" w:rsidP="00726AF3">
      <w:pPr>
        <w:rPr>
          <w:lang w:eastAsia="fr-FR"/>
        </w:rPr>
      </w:pPr>
    </w:p>
    <w:p w14:paraId="6169CAB1" w14:textId="77777777" w:rsidR="005D5DB7" w:rsidRPr="006122EE" w:rsidRDefault="00542044" w:rsidP="00B1153E">
      <w:pPr>
        <w:spacing w:line="276" w:lineRule="auto"/>
        <w:rPr>
          <w:lang w:eastAsia="fr-FR"/>
        </w:rPr>
      </w:pPr>
      <w:r w:rsidRPr="006122EE">
        <w:rPr>
          <w:lang w:eastAsia="fr-FR"/>
        </w:rPr>
        <w:t>Similarly</w:t>
      </w:r>
      <w:r w:rsidR="00E540A0" w:rsidRPr="006122EE">
        <w:rPr>
          <w:lang w:eastAsia="fr-FR"/>
        </w:rPr>
        <w:t xml:space="preserve">, the estimated yield of Ethanol is 77.5 litres per ton of cane and 40 tons of cane would be realized from 1 </w:t>
      </w:r>
      <w:r w:rsidRPr="006122EE">
        <w:rPr>
          <w:lang w:eastAsia="fr-FR"/>
        </w:rPr>
        <w:t>hectare</w:t>
      </w:r>
      <w:r w:rsidR="00E540A0" w:rsidRPr="006122EE">
        <w:rPr>
          <w:lang w:eastAsia="fr-FR"/>
        </w:rPr>
        <w:t xml:space="preserve"> of land under rain-fed, compared to 100 tons of cane per </w:t>
      </w:r>
      <w:r w:rsidRPr="006122EE">
        <w:rPr>
          <w:lang w:eastAsia="fr-FR"/>
        </w:rPr>
        <w:t>hectare</w:t>
      </w:r>
      <w:r w:rsidR="00E540A0" w:rsidRPr="006122EE">
        <w:rPr>
          <w:lang w:eastAsia="fr-FR"/>
        </w:rPr>
        <w:t xml:space="preserve"> if it is irrigated cane</w:t>
      </w:r>
      <w:r w:rsidR="00E540A0" w:rsidRPr="006122EE">
        <w:rPr>
          <w:rStyle w:val="FootnoteReference"/>
          <w:lang w:eastAsia="fr-FR"/>
        </w:rPr>
        <w:footnoteReference w:id="89"/>
      </w:r>
      <w:r w:rsidR="0004325E" w:rsidRPr="006122EE">
        <w:rPr>
          <w:lang w:eastAsia="fr-FR"/>
        </w:rPr>
        <w:t xml:space="preserve">. </w:t>
      </w:r>
      <w:r w:rsidRPr="006122EE">
        <w:rPr>
          <w:lang w:eastAsia="fr-FR"/>
        </w:rPr>
        <w:t>Irrigated</w:t>
      </w:r>
      <w:r w:rsidR="00DA658F" w:rsidRPr="006122EE">
        <w:rPr>
          <w:lang w:eastAsia="fr-FR"/>
        </w:rPr>
        <w:t xml:space="preserve"> plantations through 2030 would allow </w:t>
      </w:r>
      <w:r w:rsidRPr="006122EE">
        <w:rPr>
          <w:lang w:eastAsia="fr-FR"/>
        </w:rPr>
        <w:t>an increase of the</w:t>
      </w:r>
      <w:r w:rsidR="00DA658F" w:rsidRPr="006122EE">
        <w:rPr>
          <w:lang w:eastAsia="fr-FR"/>
        </w:rPr>
        <w:t xml:space="preserve"> production without using </w:t>
      </w:r>
      <w:r w:rsidR="006A5149" w:rsidRPr="006122EE">
        <w:rPr>
          <w:lang w:eastAsia="fr-FR"/>
        </w:rPr>
        <w:t xml:space="preserve">additional </w:t>
      </w:r>
      <w:r w:rsidR="00DA658F" w:rsidRPr="006122EE">
        <w:rPr>
          <w:lang w:eastAsia="fr-FR"/>
        </w:rPr>
        <w:t xml:space="preserve">land, and would </w:t>
      </w:r>
      <w:r w:rsidR="00300164" w:rsidRPr="006122EE">
        <w:rPr>
          <w:lang w:eastAsia="fr-FR"/>
        </w:rPr>
        <w:t>reduce the risks from droughts caused by climate change</w:t>
      </w:r>
      <w:r w:rsidR="00DA658F" w:rsidRPr="006122EE">
        <w:rPr>
          <w:lang w:eastAsia="fr-FR"/>
        </w:rPr>
        <w:t>.</w:t>
      </w:r>
    </w:p>
    <w:p w14:paraId="3291C1FE" w14:textId="77777777" w:rsidR="00365564" w:rsidRPr="006122EE" w:rsidRDefault="003E32AB" w:rsidP="00B1153E">
      <w:pPr>
        <w:spacing w:line="276" w:lineRule="auto"/>
        <w:rPr>
          <w:lang w:eastAsia="fr-FR"/>
        </w:rPr>
      </w:pPr>
      <w:r w:rsidRPr="006122EE">
        <w:rPr>
          <w:lang w:eastAsia="fr-FR"/>
        </w:rPr>
        <w:t xml:space="preserve">The Malawi </w:t>
      </w:r>
      <w:r w:rsidR="005D5DB7" w:rsidRPr="006122EE">
        <w:rPr>
          <w:lang w:eastAsia="fr-FR"/>
        </w:rPr>
        <w:t>biofuel</w:t>
      </w:r>
      <w:r w:rsidRPr="006122EE">
        <w:rPr>
          <w:lang w:eastAsia="fr-FR"/>
        </w:rPr>
        <w:t xml:space="preserve"> strategy must </w:t>
      </w:r>
      <w:r w:rsidR="006A5149" w:rsidRPr="006122EE">
        <w:rPr>
          <w:lang w:eastAsia="fr-FR"/>
        </w:rPr>
        <w:t xml:space="preserve">then </w:t>
      </w:r>
      <w:r w:rsidRPr="006122EE">
        <w:rPr>
          <w:lang w:eastAsia="fr-FR"/>
        </w:rPr>
        <w:t>take into account the trade-off between irrigation and land</w:t>
      </w:r>
      <w:r w:rsidR="00880A34" w:rsidRPr="006122EE">
        <w:rPr>
          <w:lang w:eastAsia="fr-FR"/>
        </w:rPr>
        <w:t xml:space="preserve"> space</w:t>
      </w:r>
      <w:r w:rsidR="006A5149" w:rsidRPr="006122EE">
        <w:rPr>
          <w:lang w:eastAsia="fr-FR"/>
        </w:rPr>
        <w:t xml:space="preserve">, and determine the strategy to follow between using </w:t>
      </w:r>
      <w:r w:rsidR="008E0541" w:rsidRPr="006122EE">
        <w:rPr>
          <w:lang w:eastAsia="fr-FR"/>
        </w:rPr>
        <w:t>additional</w:t>
      </w:r>
      <w:r w:rsidR="006A5149" w:rsidRPr="006122EE">
        <w:rPr>
          <w:lang w:eastAsia="fr-FR"/>
        </w:rPr>
        <w:t xml:space="preserve"> land and irrigate plantations</w:t>
      </w:r>
      <w:r w:rsidRPr="006122EE">
        <w:rPr>
          <w:lang w:eastAsia="fr-FR"/>
        </w:rPr>
        <w:t>.</w:t>
      </w:r>
    </w:p>
    <w:p w14:paraId="1CCBF103" w14:textId="77777777" w:rsidR="008E702F" w:rsidRPr="006122EE" w:rsidRDefault="00236273" w:rsidP="00B1153E">
      <w:pPr>
        <w:spacing w:line="276" w:lineRule="auto"/>
      </w:pPr>
      <w:r w:rsidRPr="006122EE">
        <w:rPr>
          <w:lang w:eastAsia="fr-FR"/>
        </w:rPr>
        <w:t>Another</w:t>
      </w:r>
      <w:r w:rsidR="008E702F" w:rsidRPr="006122EE">
        <w:rPr>
          <w:lang w:eastAsia="fr-FR"/>
        </w:rPr>
        <w:t xml:space="preserve"> major environmental impact identified in Part 1 when increasing biofuels production is water scarcity</w:t>
      </w:r>
      <w:r w:rsidR="00880A34" w:rsidRPr="006122EE">
        <w:rPr>
          <w:lang w:eastAsia="fr-FR"/>
        </w:rPr>
        <w:t xml:space="preserve">, especially if jatropha </w:t>
      </w:r>
      <w:r w:rsidR="005D5DB7" w:rsidRPr="006122EE">
        <w:rPr>
          <w:lang w:eastAsia="fr-FR"/>
        </w:rPr>
        <w:t xml:space="preserve">and sugarcane </w:t>
      </w:r>
      <w:r w:rsidR="00880A34" w:rsidRPr="006122EE">
        <w:rPr>
          <w:lang w:eastAsia="fr-FR"/>
        </w:rPr>
        <w:t>fields are irrigated</w:t>
      </w:r>
      <w:r w:rsidR="008E702F" w:rsidRPr="006122EE">
        <w:rPr>
          <w:lang w:eastAsia="fr-FR"/>
        </w:rPr>
        <w:t xml:space="preserve">. There will be a need to provide a framework to this production increase in order to monitor water consumption. The methodology </w:t>
      </w:r>
      <w:r w:rsidR="008E702F" w:rsidRPr="006122EE">
        <w:t>Water footprint can be applied to assess the impact of water consumption in growing energy crops and help evaluating the impact of supporting biofuels production. Or another way to do, easier to implement, is to evaluate the water consumption of production processes and supply chains (how much water in total is needed to grow crops, how many cubic meters are needed for each unit produced). Most efficient production processes can be identified and supported.</w:t>
      </w:r>
    </w:p>
    <w:p w14:paraId="56E9BB5B" w14:textId="77777777" w:rsidR="005F27B0" w:rsidRPr="006122EE" w:rsidRDefault="005F27B0" w:rsidP="00B1153E">
      <w:pPr>
        <w:pStyle w:val="Style1"/>
        <w:spacing w:line="276" w:lineRule="auto"/>
      </w:pPr>
      <w:r w:rsidRPr="006122EE">
        <w:t>Other energy sources</w:t>
      </w:r>
    </w:p>
    <w:p w14:paraId="5FC585E5" w14:textId="77777777" w:rsidR="005F27B0" w:rsidRPr="00866D96" w:rsidRDefault="005F27B0" w:rsidP="00B1153E">
      <w:pPr>
        <w:pStyle w:val="CSubtitle2"/>
        <w:spacing w:line="276" w:lineRule="auto"/>
        <w:rPr>
          <w:noProof w:val="0"/>
          <w:lang w:val="en-GB"/>
        </w:rPr>
      </w:pPr>
      <w:r w:rsidRPr="00866D96">
        <w:rPr>
          <w:noProof w:val="0"/>
          <w:lang w:val="en-GB"/>
        </w:rPr>
        <w:t>Promote electric vehicles</w:t>
      </w:r>
    </w:p>
    <w:p w14:paraId="37AE9B5A" w14:textId="77777777" w:rsidR="005F27B0" w:rsidRPr="006122EE" w:rsidRDefault="005F27B0" w:rsidP="00B1153E">
      <w:pPr>
        <w:spacing w:line="276" w:lineRule="auto"/>
        <w:rPr>
          <w:lang w:eastAsia="en-US"/>
        </w:rPr>
      </w:pPr>
      <w:r w:rsidRPr="006122EE">
        <w:t xml:space="preserve">Globally, the trends on the global market indicate a switch towards electric vehicles. Actions should be implemented to increase the share of electric vehicles, particularly in relation to electric buses and/or trams (already exists in large scale in Algeria, Egypt and Tunisia). In the longer term, incentives should be provided for the introduction of electric vehicles. Although the introduction of electric transportation are in line with the level of access to electricity in urban areas any deficits in overall supply of electricity in the country should be considered to assess the overall sustainability of this action. </w:t>
      </w:r>
    </w:p>
    <w:p w14:paraId="408A9A85" w14:textId="77777777" w:rsidR="005F27B0" w:rsidRPr="00866D96" w:rsidRDefault="005F27B0" w:rsidP="00B1153E">
      <w:pPr>
        <w:pStyle w:val="CSubtitle2"/>
        <w:spacing w:line="276" w:lineRule="auto"/>
        <w:rPr>
          <w:noProof w:val="0"/>
          <w:lang w:val="en-GB"/>
        </w:rPr>
      </w:pPr>
      <w:r w:rsidRPr="00866D96">
        <w:rPr>
          <w:noProof w:val="0"/>
          <w:lang w:val="en-GB"/>
        </w:rPr>
        <w:t xml:space="preserve">Promote biogas in transportation </w:t>
      </w:r>
    </w:p>
    <w:p w14:paraId="2056BD74" w14:textId="77777777" w:rsidR="005F27B0" w:rsidRPr="006122EE" w:rsidRDefault="00096EFE" w:rsidP="00B1153E">
      <w:pPr>
        <w:spacing w:line="276" w:lineRule="auto"/>
      </w:pPr>
      <w:r w:rsidRPr="006122EE">
        <w:rPr>
          <w:lang w:eastAsia="fr-FR"/>
        </w:rPr>
        <w:t xml:space="preserve">Conduct research on </w:t>
      </w:r>
      <w:r w:rsidR="00542044" w:rsidRPr="006122EE">
        <w:rPr>
          <w:lang w:eastAsia="fr-FR"/>
        </w:rPr>
        <w:t xml:space="preserve">the </w:t>
      </w:r>
      <w:r w:rsidRPr="006122EE">
        <w:rPr>
          <w:lang w:eastAsia="fr-FR"/>
        </w:rPr>
        <w:t>feasibility of</w:t>
      </w:r>
      <w:r w:rsidR="00542044" w:rsidRPr="006122EE">
        <w:rPr>
          <w:lang w:eastAsia="fr-FR"/>
        </w:rPr>
        <w:t xml:space="preserve"> the use</w:t>
      </w:r>
      <w:r w:rsidRPr="006122EE">
        <w:rPr>
          <w:lang w:eastAsia="fr-FR"/>
        </w:rPr>
        <w:t xml:space="preserve"> biogas as a vehicle fuel. The study should determine the potential, infrastructure requirements, standards and suitability of vehicles. </w:t>
      </w:r>
      <w:r w:rsidR="005F27B0" w:rsidRPr="006122EE">
        <w:rPr>
          <w:lang w:eastAsia="fr-FR"/>
        </w:rPr>
        <w:t xml:space="preserve">The introduction of biogas in transportation should </w:t>
      </w:r>
      <w:r w:rsidRPr="006122EE">
        <w:rPr>
          <w:lang w:eastAsia="fr-FR"/>
        </w:rPr>
        <w:t xml:space="preserve">then </w:t>
      </w:r>
      <w:r w:rsidR="005F27B0" w:rsidRPr="006122EE">
        <w:rPr>
          <w:lang w:eastAsia="fr-FR"/>
        </w:rPr>
        <w:t>be considered</w:t>
      </w:r>
      <w:r w:rsidRPr="006122EE">
        <w:rPr>
          <w:lang w:eastAsia="fr-FR"/>
        </w:rPr>
        <w:t>, in accordance with the result of the study previously mentioned</w:t>
      </w:r>
      <w:r w:rsidR="005F27B0" w:rsidRPr="006122EE">
        <w:rPr>
          <w:lang w:eastAsia="fr-FR"/>
        </w:rPr>
        <w:t xml:space="preserve">. This would require an assessment of the efficiency of the supply of this fuel and the supply of </w:t>
      </w:r>
      <w:r w:rsidR="005F27B0" w:rsidRPr="006122EE">
        <w:rPr>
          <w:rFonts w:eastAsiaTheme="minorEastAsia"/>
        </w:rPr>
        <w:t xml:space="preserve">bi-fuel and dual-fuel vehicles. </w:t>
      </w:r>
      <w:r w:rsidR="005F27B0" w:rsidRPr="006122EE">
        <w:rPr>
          <w:lang w:eastAsia="fr-FR"/>
        </w:rPr>
        <w:t xml:space="preserve"> </w:t>
      </w:r>
    </w:p>
    <w:p w14:paraId="3AAEDC83" w14:textId="77777777" w:rsidR="005F27B0" w:rsidRPr="00866D96" w:rsidRDefault="005F27B0" w:rsidP="00B1153E">
      <w:pPr>
        <w:pStyle w:val="CSubtitle2"/>
        <w:spacing w:line="276" w:lineRule="auto"/>
        <w:rPr>
          <w:noProof w:val="0"/>
          <w:lang w:val="en-GB"/>
        </w:rPr>
      </w:pPr>
      <w:r w:rsidRPr="00866D96">
        <w:rPr>
          <w:noProof w:val="0"/>
          <w:lang w:val="en-GB"/>
        </w:rPr>
        <w:t>Research and development, and education</w:t>
      </w:r>
    </w:p>
    <w:p w14:paraId="614E7178" w14:textId="77777777" w:rsidR="005F27B0" w:rsidRPr="006122EE" w:rsidRDefault="005F27B0" w:rsidP="00B1153E">
      <w:pPr>
        <w:spacing w:line="276" w:lineRule="auto"/>
      </w:pPr>
      <w:r w:rsidRPr="006122EE">
        <w:t xml:space="preserve">Capitalise on research and development and experience in other countries on other feedstocks (other than jatropha &amp; sugarcane). </w:t>
      </w:r>
    </w:p>
    <w:p w14:paraId="1963E74E" w14:textId="77777777" w:rsidR="005F27B0" w:rsidRPr="006122EE" w:rsidRDefault="005F27B0" w:rsidP="00B1153E">
      <w:pPr>
        <w:pStyle w:val="BTitle3"/>
        <w:numPr>
          <w:ilvl w:val="2"/>
          <w:numId w:val="26"/>
        </w:numPr>
        <w:spacing w:line="276" w:lineRule="auto"/>
        <w:ind w:left="1429"/>
        <w:rPr>
          <w:noProof w:val="0"/>
          <w:lang w:val="en-GB"/>
        </w:rPr>
      </w:pPr>
      <w:bookmarkStart w:id="449" w:name="_Toc481614938"/>
      <w:r w:rsidRPr="006122EE">
        <w:rPr>
          <w:noProof w:val="0"/>
          <w:lang w:val="en-GB"/>
        </w:rPr>
        <w:t>Which (global) High-Impact Opportunities are relevant?</w:t>
      </w:r>
      <w:bookmarkEnd w:id="449"/>
    </w:p>
    <w:p w14:paraId="28AD6597" w14:textId="77777777" w:rsidR="00852B61" w:rsidRPr="006122EE" w:rsidRDefault="005F27B0" w:rsidP="00B1153E">
      <w:pPr>
        <w:spacing w:line="276" w:lineRule="auto"/>
      </w:pPr>
      <w:r w:rsidRPr="006122EE">
        <w:rPr>
          <w:b/>
        </w:rPr>
        <w:t>Sustainable Bioenergy</w:t>
      </w:r>
      <w:r w:rsidRPr="006122EE">
        <w:t>: developing the biofuels production and consumption, especially for transportation in Malawi, will lead to the advancement of sustainable production on the ground supporting rural development, workers’ rights, biodiversity protection and reduction of greenhouse gas emissions in line with international best practice outlined in the Roundtable on Sustainable Biofuels standards.</w:t>
      </w:r>
    </w:p>
    <w:p w14:paraId="1F1F2BEC" w14:textId="77777777" w:rsidR="00C33A28" w:rsidRPr="00866D96" w:rsidRDefault="00DF6714" w:rsidP="00B1153E">
      <w:pPr>
        <w:pStyle w:val="BTitle3"/>
        <w:spacing w:line="276" w:lineRule="auto"/>
        <w:rPr>
          <w:noProof w:val="0"/>
          <w:lang w:val="en-GB"/>
        </w:rPr>
      </w:pPr>
      <w:bookmarkStart w:id="450" w:name="_Toc481614939"/>
      <w:r w:rsidRPr="00866D96">
        <w:rPr>
          <w:noProof w:val="0"/>
          <w:lang w:val="en-GB"/>
        </w:rPr>
        <w:t>Priority a</w:t>
      </w:r>
      <w:r w:rsidR="00852B61" w:rsidRPr="00866D96">
        <w:rPr>
          <w:noProof w:val="0"/>
          <w:lang w:val="en-GB"/>
        </w:rPr>
        <w:t xml:space="preserve">ctions </w:t>
      </w:r>
      <w:r w:rsidR="00096EFE" w:rsidRPr="00866D96">
        <w:rPr>
          <w:noProof w:val="0"/>
          <w:lang w:val="en-GB"/>
        </w:rPr>
        <w:t>synthesis</w:t>
      </w:r>
      <w:bookmarkEnd w:id="450"/>
      <w:r w:rsidR="00096EFE" w:rsidRPr="00866D96">
        <w:rPr>
          <w:noProof w:val="0"/>
          <w:lang w:val="en-GB"/>
        </w:rPr>
        <w:t xml:space="preserve"> </w:t>
      </w:r>
    </w:p>
    <w:p w14:paraId="09E4BCF4" w14:textId="77777777" w:rsidR="00C33A28" w:rsidRPr="006122EE" w:rsidRDefault="00C33A28" w:rsidP="00B1153E">
      <w:pPr>
        <w:spacing w:line="276" w:lineRule="auto"/>
      </w:pPr>
      <w:r w:rsidRPr="006122EE">
        <w:t xml:space="preserve">A summary of the priority actions proposed in the </w:t>
      </w:r>
      <w:r w:rsidR="00FE7056" w:rsidRPr="006122EE">
        <w:rPr>
          <w:lang w:eastAsia="en-US"/>
        </w:rPr>
        <w:t>SE4ALL</w:t>
      </w:r>
      <w:r w:rsidRPr="006122EE">
        <w:t xml:space="preserve"> initiative is presented in the table below.</w:t>
      </w:r>
      <w:r w:rsidR="006A0690" w:rsidRPr="006122EE">
        <w:t xml:space="preserve"> As the actions do not entail the acquisition of infrastructure but refer to policy measures, their cost of implementation will mainly entail administrative costs. A separate assessment will be required to estimate the required employment and the corresponding costs.</w:t>
      </w:r>
    </w:p>
    <w:p w14:paraId="2731834E" w14:textId="77777777" w:rsidR="00C33A28" w:rsidRPr="00866D96" w:rsidRDefault="00C33A28" w:rsidP="00C33A28">
      <w:pPr>
        <w:rPr>
          <w:rFonts w:eastAsia="Times New Roman" w:cs="Arial"/>
          <w:color w:val="auto"/>
          <w:lang w:eastAsia="en-US"/>
        </w:rPr>
      </w:pPr>
    </w:p>
    <w:p w14:paraId="318716B0" w14:textId="77777777" w:rsidR="00C33A28" w:rsidRPr="00866D96" w:rsidRDefault="00C33A28" w:rsidP="00C33A28">
      <w:pPr>
        <w:rPr>
          <w:rFonts w:eastAsia="Times New Roman" w:cs="Arial"/>
          <w:color w:val="auto"/>
          <w:lang w:eastAsia="en-US"/>
        </w:rPr>
        <w:sectPr w:rsidR="00C33A28" w:rsidRPr="00866D96" w:rsidSect="00312C85">
          <w:footerReference w:type="even" r:id="rId49"/>
          <w:pgSz w:w="11899" w:h="16838" w:code="9"/>
          <w:pgMar w:top="851" w:right="1134" w:bottom="851" w:left="1134" w:header="680" w:footer="794" w:gutter="227"/>
          <w:cols w:space="708"/>
          <w:docGrid w:linePitch="272"/>
        </w:sectPr>
      </w:pPr>
    </w:p>
    <w:p w14:paraId="267E1F21" w14:textId="77777777" w:rsidR="00C33A28" w:rsidRPr="006122EE" w:rsidRDefault="00C33A28" w:rsidP="00C33A28">
      <w:pPr>
        <w:pStyle w:val="Caption"/>
      </w:pPr>
      <w:bookmarkStart w:id="451" w:name="_Toc481615023"/>
      <w:r w:rsidRPr="006122EE">
        <w:t xml:space="preserve">Table </w:t>
      </w:r>
      <w:r w:rsidR="00DC7D8C">
        <w:fldChar w:fldCharType="begin"/>
      </w:r>
      <w:r w:rsidR="00DC7D8C">
        <w:instrText xml:space="preserve"> SEQ Table \* ARABIC </w:instrText>
      </w:r>
      <w:r w:rsidR="00DC7D8C">
        <w:fldChar w:fldCharType="separate"/>
      </w:r>
      <w:r w:rsidR="00866D96">
        <w:rPr>
          <w:noProof/>
        </w:rPr>
        <w:t>38</w:t>
      </w:r>
      <w:r w:rsidR="00DC7D8C">
        <w:rPr>
          <w:noProof/>
        </w:rPr>
        <w:fldChar w:fldCharType="end"/>
      </w:r>
      <w:r w:rsidRPr="006122EE">
        <w:t>: Alternative fuels priority actions</w:t>
      </w:r>
      <w:bookmarkEnd w:id="451"/>
    </w:p>
    <w:tbl>
      <w:tblPr>
        <w:tblStyle w:val="GridTable4-Accent33"/>
        <w:tblW w:w="5000" w:type="pct"/>
        <w:tblLayout w:type="fixed"/>
        <w:tblLook w:val="04A0" w:firstRow="1" w:lastRow="0" w:firstColumn="1" w:lastColumn="0" w:noHBand="0" w:noVBand="1"/>
      </w:tblPr>
      <w:tblGrid>
        <w:gridCol w:w="1555"/>
        <w:gridCol w:w="3972"/>
        <w:gridCol w:w="1416"/>
        <w:gridCol w:w="1558"/>
        <w:gridCol w:w="3993"/>
        <w:gridCol w:w="2632"/>
      </w:tblGrid>
      <w:tr w:rsidR="00C33A28" w:rsidRPr="006122EE" w14:paraId="40DBEE08" w14:textId="77777777" w:rsidTr="00866D96">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14" w:type="pct"/>
            <w:noWrap/>
          </w:tcPr>
          <w:p w14:paraId="4F7CE983" w14:textId="77777777" w:rsidR="00C33A28" w:rsidRPr="006122EE" w:rsidRDefault="00C33A28" w:rsidP="00852B61">
            <w:pPr>
              <w:spacing w:before="0" w:after="0" w:line="240" w:lineRule="auto"/>
              <w:jc w:val="left"/>
              <w:rPr>
                <w:rFonts w:eastAsia="Times New Roman" w:cs="Arial"/>
                <w:bCs w:val="0"/>
                <w:color w:val="FFFFFF"/>
                <w:szCs w:val="20"/>
                <w:lang w:eastAsia="fr-FR"/>
              </w:rPr>
            </w:pPr>
            <w:r w:rsidRPr="006122EE">
              <w:rPr>
                <w:rFonts w:eastAsia="Times New Roman" w:cs="Arial"/>
                <w:color w:val="FFFFFF"/>
                <w:szCs w:val="20"/>
                <w:lang w:eastAsia="fr-FR"/>
              </w:rPr>
              <w:t>Category</w:t>
            </w:r>
          </w:p>
        </w:tc>
        <w:tc>
          <w:tcPr>
            <w:tcW w:w="1313" w:type="pct"/>
            <w:noWrap/>
          </w:tcPr>
          <w:p w14:paraId="06172D18" w14:textId="77777777" w:rsidR="00C33A28" w:rsidRPr="006122EE" w:rsidRDefault="00C33A28"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Action</w:t>
            </w:r>
          </w:p>
        </w:tc>
        <w:tc>
          <w:tcPr>
            <w:tcW w:w="468" w:type="pct"/>
          </w:tcPr>
          <w:p w14:paraId="4229B7C7" w14:textId="77777777" w:rsidR="00C33A28" w:rsidRPr="006122EE" w:rsidRDefault="00C33A28"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Indicative time frame</w:t>
            </w:r>
          </w:p>
        </w:tc>
        <w:tc>
          <w:tcPr>
            <w:tcW w:w="515" w:type="pct"/>
          </w:tcPr>
          <w:p w14:paraId="557C20C3" w14:textId="77777777" w:rsidR="00C33A28" w:rsidRPr="006122EE" w:rsidRDefault="00C33A28"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Lead agency</w:t>
            </w:r>
          </w:p>
        </w:tc>
        <w:tc>
          <w:tcPr>
            <w:tcW w:w="1320" w:type="pct"/>
          </w:tcPr>
          <w:p w14:paraId="1601C005" w14:textId="77777777" w:rsidR="00C33A28" w:rsidRPr="006122EE" w:rsidRDefault="00C33A28"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Cooperating stakeholders</w:t>
            </w:r>
          </w:p>
        </w:tc>
        <w:tc>
          <w:tcPr>
            <w:tcW w:w="870" w:type="pct"/>
          </w:tcPr>
          <w:p w14:paraId="5C3037DD" w14:textId="77777777" w:rsidR="00C33A28" w:rsidRPr="006122EE" w:rsidRDefault="00C33A28" w:rsidP="00852B6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Estimated costs</w:t>
            </w:r>
          </w:p>
        </w:tc>
      </w:tr>
      <w:tr w:rsidR="00C33A28" w:rsidRPr="006122EE" w14:paraId="3A1E7A27"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 w:type="pct"/>
            <w:noWrap/>
          </w:tcPr>
          <w:p w14:paraId="50476D17" w14:textId="77777777" w:rsidR="00C33A28" w:rsidRPr="006122EE" w:rsidRDefault="00C33A28"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Policy framework</w:t>
            </w:r>
          </w:p>
        </w:tc>
        <w:tc>
          <w:tcPr>
            <w:tcW w:w="1313" w:type="pct"/>
            <w:noWrap/>
          </w:tcPr>
          <w:p w14:paraId="5F30F06F" w14:textId="77777777" w:rsidR="00C33A28" w:rsidRPr="006122EE" w:rsidRDefault="00C33A2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Establish a Biofuels Coordinating Committee. This committee can succeed the former Biofuels Advisory Committee</w:t>
            </w:r>
            <w:r w:rsidR="00315EB2" w:rsidRPr="006122EE">
              <w:rPr>
                <w:rFonts w:eastAsia="Times New Roman" w:cs="Arial"/>
                <w:color w:val="000000"/>
                <w:szCs w:val="20"/>
                <w:lang w:eastAsia="fr-FR"/>
              </w:rPr>
              <w:t>.</w:t>
            </w:r>
          </w:p>
        </w:tc>
        <w:tc>
          <w:tcPr>
            <w:tcW w:w="468" w:type="pct"/>
          </w:tcPr>
          <w:p w14:paraId="7384AD6F"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43FE76BB"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141DC412"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Government and all entities involved in this committee (see proposed list in Part II – Priority Actions)</w:t>
            </w:r>
          </w:p>
        </w:tc>
        <w:tc>
          <w:tcPr>
            <w:tcW w:w="870" w:type="pct"/>
          </w:tcPr>
          <w:p w14:paraId="54F79BBD"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C33A28" w:rsidRPr="006122EE" w14:paraId="34C5102C"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514" w:type="pct"/>
            <w:vMerge w:val="restart"/>
            <w:noWrap/>
          </w:tcPr>
          <w:p w14:paraId="3E40F180" w14:textId="77777777" w:rsidR="00C33A28" w:rsidRPr="006122EE" w:rsidRDefault="00C33A28"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Production level and use</w:t>
            </w:r>
          </w:p>
        </w:tc>
        <w:tc>
          <w:tcPr>
            <w:tcW w:w="1313" w:type="pct"/>
            <w:noWrap/>
          </w:tcPr>
          <w:p w14:paraId="5C7D9257"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Introduce incentives to support biofuel production.</w:t>
            </w:r>
          </w:p>
          <w:p w14:paraId="58640173" w14:textId="77777777" w:rsidR="00C33A28" w:rsidRPr="006122EE" w:rsidRDefault="00C33A28" w:rsidP="00726AF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p>
        </w:tc>
        <w:tc>
          <w:tcPr>
            <w:tcW w:w="468" w:type="pct"/>
          </w:tcPr>
          <w:p w14:paraId="0F987D8F"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Pr>
          <w:p w14:paraId="68159630"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1F2F94F8"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 Ministry of Finance, Economic Planning and Development,</w:t>
            </w:r>
          </w:p>
          <w:p w14:paraId="7F72A649"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Renewable Energy Association of Malawi,</w:t>
            </w:r>
          </w:p>
          <w:p w14:paraId="6C624790"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Private players in the biofuels industry (especially manufacturers)</w:t>
            </w:r>
          </w:p>
        </w:tc>
        <w:tc>
          <w:tcPr>
            <w:tcW w:w="870" w:type="pct"/>
          </w:tcPr>
          <w:p w14:paraId="116041B2"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C33A28" w:rsidRPr="006122EE" w14:paraId="47C49FD4"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 w:type="pct"/>
            <w:vMerge/>
            <w:noWrap/>
          </w:tcPr>
          <w:p w14:paraId="070A3EE8" w14:textId="77777777" w:rsidR="00C33A28" w:rsidRPr="006122EE" w:rsidRDefault="00C33A28" w:rsidP="00852B61">
            <w:pPr>
              <w:spacing w:before="0" w:after="0" w:line="240" w:lineRule="auto"/>
              <w:jc w:val="left"/>
              <w:rPr>
                <w:rFonts w:eastAsia="Times New Roman" w:cs="Arial"/>
                <w:color w:val="000000"/>
                <w:szCs w:val="20"/>
                <w:lang w:eastAsia="fr-FR"/>
              </w:rPr>
            </w:pPr>
          </w:p>
        </w:tc>
        <w:tc>
          <w:tcPr>
            <w:tcW w:w="1313" w:type="pct"/>
            <w:noWrap/>
          </w:tcPr>
          <w:p w14:paraId="2F1BF25F" w14:textId="77777777" w:rsidR="00C33A28" w:rsidRPr="006122EE" w:rsidRDefault="00C33A28" w:rsidP="00726AF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Promote the use of biofuels.</w:t>
            </w:r>
          </w:p>
        </w:tc>
        <w:tc>
          <w:tcPr>
            <w:tcW w:w="468" w:type="pct"/>
          </w:tcPr>
          <w:p w14:paraId="5E2DE0CE"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Pr>
          <w:p w14:paraId="211624D1"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698F2191"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MERA, Ministry of Finance, Economic Planning and Development, Ministry of Transport, Representatives of Motor Industry Association, Consumers Association of Malawi</w:t>
            </w:r>
          </w:p>
        </w:tc>
        <w:tc>
          <w:tcPr>
            <w:tcW w:w="870" w:type="pct"/>
          </w:tcPr>
          <w:p w14:paraId="3307A7FF"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C33A28" w:rsidRPr="006122EE" w14:paraId="64E5A770"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514" w:type="pct"/>
            <w:vMerge w:val="restart"/>
            <w:noWrap/>
          </w:tcPr>
          <w:p w14:paraId="5D3458B6" w14:textId="77777777" w:rsidR="00C33A28" w:rsidRPr="006122EE" w:rsidRDefault="00C33A28" w:rsidP="00852B61">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Other energy sources</w:t>
            </w:r>
          </w:p>
        </w:tc>
        <w:tc>
          <w:tcPr>
            <w:tcW w:w="1313" w:type="pct"/>
            <w:noWrap/>
          </w:tcPr>
          <w:p w14:paraId="3C3C3002"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Consider the introduction of electric vehicles in Malawi and promote the use of these vehicles. This action is linked to the overall energy access level in the country and reliability of energy supply.</w:t>
            </w:r>
          </w:p>
        </w:tc>
        <w:tc>
          <w:tcPr>
            <w:tcW w:w="468" w:type="pct"/>
          </w:tcPr>
          <w:p w14:paraId="6C0A9A29"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6DC90423"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53B0AC9F"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Ministry of Transport</w:t>
            </w:r>
          </w:p>
        </w:tc>
        <w:tc>
          <w:tcPr>
            <w:tcW w:w="870" w:type="pct"/>
          </w:tcPr>
          <w:p w14:paraId="3BDB3DFB"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C33A28" w:rsidRPr="006122EE" w14:paraId="7D380748" w14:textId="77777777" w:rsidTr="00866D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 w:type="pct"/>
            <w:vMerge/>
            <w:noWrap/>
          </w:tcPr>
          <w:p w14:paraId="59556B0C" w14:textId="77777777" w:rsidR="00C33A28" w:rsidRPr="006122EE" w:rsidRDefault="00C33A28" w:rsidP="00852B61">
            <w:pPr>
              <w:spacing w:before="0" w:after="0" w:line="240" w:lineRule="auto"/>
              <w:jc w:val="left"/>
              <w:rPr>
                <w:rFonts w:eastAsia="Times New Roman" w:cs="Arial"/>
                <w:color w:val="000000"/>
                <w:szCs w:val="20"/>
                <w:lang w:eastAsia="fr-FR"/>
              </w:rPr>
            </w:pPr>
          </w:p>
        </w:tc>
        <w:tc>
          <w:tcPr>
            <w:tcW w:w="1313" w:type="pct"/>
            <w:noWrap/>
          </w:tcPr>
          <w:p w14:paraId="3CF892C3" w14:textId="77777777" w:rsidR="00C33A28" w:rsidRPr="006122EE" w:rsidRDefault="00096EFE"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Conduct research on feasibility and c</w:t>
            </w:r>
            <w:r w:rsidR="00C33A28" w:rsidRPr="006122EE">
              <w:rPr>
                <w:rFonts w:eastAsia="Times New Roman" w:cs="Arial"/>
                <w:color w:val="000000"/>
                <w:szCs w:val="20"/>
                <w:lang w:eastAsia="fr-FR"/>
              </w:rPr>
              <w:t>onsider supply of biogas for transportation as well as supply of compatible vehicles (such as bi-fuel and dual-fuel vehicles).</w:t>
            </w:r>
          </w:p>
        </w:tc>
        <w:tc>
          <w:tcPr>
            <w:tcW w:w="468" w:type="pct"/>
          </w:tcPr>
          <w:p w14:paraId="27230FCB"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0721A721"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3115624C"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Ministry of Transport</w:t>
            </w:r>
            <w:r w:rsidR="003E4814" w:rsidRPr="006122EE">
              <w:rPr>
                <w:rFonts w:eastAsia="Times New Roman" w:cs="Arial"/>
                <w:color w:val="000000"/>
                <w:szCs w:val="20"/>
                <w:lang w:eastAsia="fr-FR"/>
              </w:rPr>
              <w:t>, MERA, NCST, universities, other research institutions, MBS</w:t>
            </w:r>
          </w:p>
        </w:tc>
        <w:tc>
          <w:tcPr>
            <w:tcW w:w="870" w:type="pct"/>
          </w:tcPr>
          <w:p w14:paraId="1C68D820" w14:textId="77777777" w:rsidR="00C33A28" w:rsidRPr="006122EE" w:rsidRDefault="00C33A28" w:rsidP="00852B6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C33A28" w:rsidRPr="006122EE" w14:paraId="01CEE5BF" w14:textId="77777777" w:rsidTr="00866D96">
        <w:trPr>
          <w:trHeight w:val="264"/>
        </w:trPr>
        <w:tc>
          <w:tcPr>
            <w:cnfStyle w:val="001000000000" w:firstRow="0" w:lastRow="0" w:firstColumn="1" w:lastColumn="0" w:oddVBand="0" w:evenVBand="0" w:oddHBand="0" w:evenHBand="0" w:firstRowFirstColumn="0" w:firstRowLastColumn="0" w:lastRowFirstColumn="0" w:lastRowLastColumn="0"/>
            <w:tcW w:w="514" w:type="pct"/>
            <w:vMerge/>
            <w:noWrap/>
          </w:tcPr>
          <w:p w14:paraId="697C562E" w14:textId="77777777" w:rsidR="00C33A28" w:rsidRPr="006122EE" w:rsidRDefault="00C33A28" w:rsidP="00852B61">
            <w:pPr>
              <w:spacing w:before="0" w:after="0" w:line="240" w:lineRule="auto"/>
              <w:jc w:val="left"/>
              <w:rPr>
                <w:rFonts w:eastAsia="Times New Roman" w:cs="Arial"/>
                <w:color w:val="000000"/>
                <w:szCs w:val="20"/>
                <w:lang w:eastAsia="fr-FR"/>
              </w:rPr>
            </w:pPr>
          </w:p>
        </w:tc>
        <w:tc>
          <w:tcPr>
            <w:tcW w:w="1313" w:type="pct"/>
            <w:noWrap/>
          </w:tcPr>
          <w:p w14:paraId="62031AD2"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Research and development on other feedstocks (other than jatropha and sugar cane).</w:t>
            </w:r>
          </w:p>
        </w:tc>
        <w:tc>
          <w:tcPr>
            <w:tcW w:w="468" w:type="pct"/>
          </w:tcPr>
          <w:p w14:paraId="2C28CAA6"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33F30C69"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Department of Energy</w:t>
            </w:r>
          </w:p>
        </w:tc>
        <w:tc>
          <w:tcPr>
            <w:tcW w:w="1320" w:type="pct"/>
          </w:tcPr>
          <w:p w14:paraId="0E2FE446"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Universities and other research institutions (University of Malawi – Polytechnic, University of Mzuzu – Department of Energy Studies)</w:t>
            </w:r>
          </w:p>
        </w:tc>
        <w:tc>
          <w:tcPr>
            <w:tcW w:w="870" w:type="pct"/>
          </w:tcPr>
          <w:p w14:paraId="5E5519E2" w14:textId="77777777" w:rsidR="00C33A28" w:rsidRPr="006122EE" w:rsidRDefault="00C33A28" w:rsidP="00852B6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bl>
    <w:p w14:paraId="7950806A" w14:textId="77777777" w:rsidR="00C33A28" w:rsidRPr="006122EE" w:rsidRDefault="00C33A28" w:rsidP="00726AF3"/>
    <w:p w14:paraId="205B4CE9" w14:textId="77777777" w:rsidR="00C33A28" w:rsidRPr="006122EE" w:rsidRDefault="00C33A28" w:rsidP="00C33A28">
      <w:pPr>
        <w:pStyle w:val="BTitle3"/>
        <w:numPr>
          <w:ilvl w:val="2"/>
          <w:numId w:val="26"/>
        </w:numPr>
        <w:ind w:left="1429"/>
        <w:rPr>
          <w:noProof w:val="0"/>
          <w:lang w:val="en-GB"/>
        </w:rPr>
        <w:sectPr w:rsidR="00C33A28" w:rsidRPr="006122EE" w:rsidSect="00C33A28">
          <w:footerReference w:type="default" r:id="rId50"/>
          <w:pgSz w:w="16838" w:h="11899" w:orient="landscape" w:code="9"/>
          <w:pgMar w:top="1134" w:right="851" w:bottom="1134" w:left="851" w:header="709" w:footer="709" w:gutter="227"/>
          <w:cols w:space="708"/>
          <w:docGrid w:linePitch="272"/>
        </w:sectPr>
      </w:pPr>
    </w:p>
    <w:p w14:paraId="69A24E80" w14:textId="77777777" w:rsidR="005F27B0" w:rsidRPr="00866D96" w:rsidRDefault="005F27B0" w:rsidP="006E363C">
      <w:pPr>
        <w:pStyle w:val="BTitle20"/>
        <w:rPr>
          <w:noProof w:val="0"/>
        </w:rPr>
      </w:pPr>
      <w:bookmarkStart w:id="452" w:name="_Toc470117777"/>
      <w:bookmarkStart w:id="453" w:name="_Toc470119133"/>
      <w:bookmarkStart w:id="454" w:name="_Toc441675677"/>
      <w:bookmarkStart w:id="455" w:name="_Toc441762753"/>
      <w:bookmarkStart w:id="456" w:name="_Toc441223661"/>
      <w:bookmarkStart w:id="457" w:name="_Toc441224228"/>
      <w:bookmarkStart w:id="458" w:name="_Toc441223662"/>
      <w:bookmarkStart w:id="459" w:name="_Toc441224229"/>
      <w:bookmarkStart w:id="460" w:name="_Toc441675681"/>
      <w:bookmarkStart w:id="461" w:name="_Toc441762757"/>
      <w:bookmarkStart w:id="462" w:name="_Toc441675682"/>
      <w:bookmarkStart w:id="463" w:name="_Toc441762758"/>
      <w:bookmarkStart w:id="464" w:name="_Toc441675683"/>
      <w:bookmarkStart w:id="465" w:name="_Toc441762759"/>
      <w:bookmarkStart w:id="466" w:name="_Toc441675684"/>
      <w:bookmarkStart w:id="467" w:name="_Toc441762760"/>
      <w:bookmarkStart w:id="468" w:name="_Toc441675688"/>
      <w:bookmarkStart w:id="469" w:name="_Toc441762764"/>
      <w:bookmarkStart w:id="470" w:name="_Toc441675689"/>
      <w:bookmarkStart w:id="471" w:name="_Toc441762765"/>
      <w:bookmarkStart w:id="472" w:name="_Toc441675691"/>
      <w:bookmarkStart w:id="473" w:name="_Toc441762767"/>
      <w:bookmarkStart w:id="474" w:name="_Toc441675692"/>
      <w:bookmarkStart w:id="475" w:name="_Toc441762768"/>
      <w:bookmarkStart w:id="476" w:name="_Toc441675693"/>
      <w:bookmarkStart w:id="477" w:name="_Toc441762769"/>
      <w:bookmarkStart w:id="478" w:name="_Toc441675695"/>
      <w:bookmarkStart w:id="479" w:name="_Toc441762771"/>
      <w:bookmarkStart w:id="480" w:name="_Toc441675697"/>
      <w:bookmarkStart w:id="481" w:name="_Toc441762773"/>
      <w:bookmarkStart w:id="482" w:name="_Toc441675702"/>
      <w:bookmarkStart w:id="483" w:name="_Toc441762778"/>
      <w:bookmarkStart w:id="484" w:name="_Toc441675703"/>
      <w:bookmarkStart w:id="485" w:name="_Toc441762779"/>
      <w:bookmarkStart w:id="486" w:name="_Toc441675704"/>
      <w:bookmarkStart w:id="487" w:name="_Toc441762780"/>
      <w:bookmarkStart w:id="488" w:name="_Toc441675705"/>
      <w:bookmarkStart w:id="489" w:name="_Toc441762781"/>
      <w:bookmarkStart w:id="490" w:name="_Toc441675706"/>
      <w:bookmarkStart w:id="491" w:name="_Toc441762782"/>
      <w:bookmarkStart w:id="492" w:name="_Toc441675707"/>
      <w:bookmarkStart w:id="493" w:name="_Toc441762783"/>
      <w:bookmarkStart w:id="494" w:name="_Toc441675708"/>
      <w:bookmarkStart w:id="495" w:name="_Toc441762784"/>
      <w:bookmarkStart w:id="496" w:name="_Toc441675709"/>
      <w:bookmarkStart w:id="497" w:name="_Toc441762785"/>
      <w:bookmarkStart w:id="498" w:name="_Toc441675710"/>
      <w:bookmarkStart w:id="499" w:name="_Toc441762786"/>
      <w:bookmarkStart w:id="500" w:name="_Toc441675711"/>
      <w:bookmarkStart w:id="501" w:name="_Toc441762787"/>
      <w:bookmarkStart w:id="502" w:name="_Toc441675712"/>
      <w:bookmarkStart w:id="503" w:name="_Toc441762788"/>
      <w:bookmarkStart w:id="504" w:name="_Toc441675713"/>
      <w:bookmarkStart w:id="505" w:name="_Toc441762789"/>
      <w:bookmarkStart w:id="506" w:name="_Toc441675714"/>
      <w:bookmarkStart w:id="507" w:name="_Toc441762790"/>
      <w:bookmarkStart w:id="508" w:name="_Toc441675715"/>
      <w:bookmarkStart w:id="509" w:name="_Toc441762791"/>
      <w:bookmarkStart w:id="510" w:name="_Toc441675716"/>
      <w:bookmarkStart w:id="511" w:name="_Toc441762792"/>
      <w:bookmarkStart w:id="512" w:name="_Toc441675718"/>
      <w:bookmarkStart w:id="513" w:name="_Toc441762794"/>
      <w:bookmarkStart w:id="514" w:name="_Toc441675719"/>
      <w:bookmarkStart w:id="515" w:name="_Toc441762795"/>
      <w:bookmarkStart w:id="516" w:name="_Toc441675721"/>
      <w:bookmarkStart w:id="517" w:name="_Toc441762797"/>
      <w:bookmarkStart w:id="518" w:name="_Toc441675725"/>
      <w:bookmarkStart w:id="519" w:name="_Toc441762801"/>
      <w:bookmarkStart w:id="520" w:name="_Toc441675728"/>
      <w:bookmarkStart w:id="521" w:name="_Toc441762804"/>
      <w:bookmarkStart w:id="522" w:name="_Toc441675730"/>
      <w:bookmarkStart w:id="523" w:name="_Toc441762806"/>
      <w:bookmarkStart w:id="524" w:name="_Toc441675731"/>
      <w:bookmarkStart w:id="525" w:name="_Toc441762807"/>
      <w:bookmarkStart w:id="526" w:name="_Toc441675735"/>
      <w:bookmarkStart w:id="527" w:name="_Toc441762811"/>
      <w:bookmarkStart w:id="528" w:name="_Toc441675736"/>
      <w:bookmarkStart w:id="529" w:name="_Toc441762812"/>
      <w:bookmarkStart w:id="530" w:name="_Toc441675737"/>
      <w:bookmarkStart w:id="531" w:name="_Toc441762813"/>
      <w:bookmarkStart w:id="532" w:name="_Toc441675749"/>
      <w:bookmarkStart w:id="533" w:name="_Toc441762825"/>
      <w:bookmarkStart w:id="534" w:name="_Toc441675753"/>
      <w:bookmarkStart w:id="535" w:name="_Toc441762829"/>
      <w:bookmarkStart w:id="536" w:name="_Toc441675757"/>
      <w:bookmarkStart w:id="537" w:name="_Toc441762833"/>
      <w:bookmarkStart w:id="538" w:name="_Toc441675758"/>
      <w:bookmarkStart w:id="539" w:name="_Toc441762834"/>
      <w:bookmarkStart w:id="540" w:name="_Toc441675761"/>
      <w:bookmarkStart w:id="541" w:name="_Toc441762837"/>
      <w:bookmarkStart w:id="542" w:name="_Toc441675763"/>
      <w:bookmarkStart w:id="543" w:name="_Toc441762839"/>
      <w:bookmarkStart w:id="544" w:name="_Toc48161494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866D96">
        <w:rPr>
          <w:noProof w:val="0"/>
        </w:rPr>
        <w:t>Transportation – Urban transport</w:t>
      </w:r>
      <w:bookmarkEnd w:id="544"/>
    </w:p>
    <w:p w14:paraId="12AA65C3" w14:textId="77777777" w:rsidR="005F27B0" w:rsidRPr="006122EE" w:rsidRDefault="005F27B0" w:rsidP="00B1153E">
      <w:pPr>
        <w:spacing w:line="276" w:lineRule="auto"/>
        <w:rPr>
          <w:color w:val="000000"/>
        </w:rPr>
      </w:pPr>
      <w:r w:rsidRPr="006122EE">
        <w:rPr>
          <w:lang w:eastAsia="en-US"/>
        </w:rPr>
        <w:t>Malawian cities do not have the same degree of congestion and energy waste that many other African cities have. But experience shows that as countries develop economically, motorization increases and problems can develop if no planning measures are put in place in advance. Malawi has an opportunity to not repeat the mistakes of other urban areas. It can also learn from how other cities have addressed these problems. Currently, petroleum imports, which are used largely in motor vehicles, are increasing. Substituting biofuels for the fossil fuels will help moderate the increasing imports. But the country has an opportunity to also reduce those imports through improvement in the efficiency of its urban transport systems. The paragraphs below describe the priority action areas in relation to the implementation of the urban transportation targets.</w:t>
      </w:r>
    </w:p>
    <w:p w14:paraId="2E0E947A" w14:textId="77777777" w:rsidR="005F27B0" w:rsidRPr="006122EE" w:rsidRDefault="005F27B0" w:rsidP="00B1153E">
      <w:pPr>
        <w:pStyle w:val="BTitle3"/>
        <w:spacing w:line="276" w:lineRule="auto"/>
        <w:rPr>
          <w:noProof w:val="0"/>
          <w:lang w:val="en-GB"/>
        </w:rPr>
      </w:pPr>
      <w:bookmarkStart w:id="545" w:name="_Ref448176462"/>
      <w:bookmarkStart w:id="546" w:name="_Toc481614941"/>
      <w:r w:rsidRPr="006122EE">
        <w:rPr>
          <w:noProof w:val="0"/>
          <w:lang w:val="en-GB"/>
        </w:rPr>
        <w:t>What are the actions and funding levels needed to achieve the overarching objective in urban transport?</w:t>
      </w:r>
      <w:bookmarkEnd w:id="545"/>
      <w:bookmarkEnd w:id="546"/>
      <w:r w:rsidRPr="006122EE">
        <w:rPr>
          <w:noProof w:val="0"/>
          <w:lang w:val="en-GB"/>
        </w:rPr>
        <w:t xml:space="preserve"> </w:t>
      </w:r>
    </w:p>
    <w:p w14:paraId="0062CD5D" w14:textId="77777777" w:rsidR="005F27B0" w:rsidRPr="006122EE" w:rsidRDefault="005F27B0" w:rsidP="00B1153E">
      <w:pPr>
        <w:pStyle w:val="Style1"/>
        <w:spacing w:line="276" w:lineRule="auto"/>
      </w:pPr>
      <w:r w:rsidRPr="006122EE">
        <w:t>Harmonise decision making</w:t>
      </w:r>
    </w:p>
    <w:p w14:paraId="696D0F5F" w14:textId="77777777" w:rsidR="00B1153E" w:rsidRDefault="005F27B0" w:rsidP="00B1153E">
      <w:pPr>
        <w:spacing w:line="276" w:lineRule="auto"/>
      </w:pPr>
      <w:r w:rsidRPr="006122EE">
        <w:rPr>
          <w:lang w:eastAsia="fr-FR"/>
        </w:rPr>
        <w:t xml:space="preserve">The planning and implementation of the measures described above requires the participation and harmonisation of several authorities at different levels (i.e. local, regional and national). </w:t>
      </w:r>
      <w:r w:rsidRPr="006122EE">
        <w:t>Enforcement responsibilities will be harmonized under one responsible ministry (i.e. the Ministry of Transport and Public Works), which will oversee an Inter-Ministerial Committee with authority to develop and implement the transport planning measures discussed above. This body should be integrated in the existing Join Transport Sector Review (JTSR) annual meetings and Joint Technical Committee that have the role to monitor the performance of the transport sector</w:t>
      </w:r>
      <w:r w:rsidR="008E17ED" w:rsidRPr="006122EE">
        <w:t>.</w:t>
      </w:r>
    </w:p>
    <w:p w14:paraId="17F39E43" w14:textId="77777777" w:rsidR="00B1153E" w:rsidRDefault="00B1153E">
      <w:pPr>
        <w:spacing w:before="0" w:after="0" w:line="240" w:lineRule="auto"/>
        <w:jc w:val="left"/>
      </w:pPr>
      <w:r>
        <w:br w:type="page"/>
      </w:r>
    </w:p>
    <w:p w14:paraId="780B1DAB" w14:textId="77777777" w:rsidR="005F27B0" w:rsidRPr="006122EE" w:rsidRDefault="005F27B0" w:rsidP="00B1153E">
      <w:pPr>
        <w:spacing w:line="276" w:lineRule="auto"/>
      </w:pPr>
    </w:p>
    <w:p w14:paraId="5D7E2533" w14:textId="77777777" w:rsidR="005F27B0" w:rsidRPr="006122EE" w:rsidRDefault="005F27B0" w:rsidP="005F27B0">
      <w:pPr>
        <w:pStyle w:val="Caption"/>
      </w:pPr>
      <w:bookmarkStart w:id="547" w:name="_Toc481615024"/>
      <w:r w:rsidRPr="006122EE">
        <w:t xml:space="preserve">Table </w:t>
      </w:r>
      <w:r w:rsidR="00DC7D8C">
        <w:fldChar w:fldCharType="begin"/>
      </w:r>
      <w:r w:rsidR="00DC7D8C">
        <w:instrText xml:space="preserve"> SEQ Table \* ARABIC </w:instrText>
      </w:r>
      <w:r w:rsidR="00DC7D8C">
        <w:fldChar w:fldCharType="separate"/>
      </w:r>
      <w:r w:rsidR="00866D96">
        <w:rPr>
          <w:noProof/>
        </w:rPr>
        <w:t>39</w:t>
      </w:r>
      <w:r w:rsidR="00DC7D8C">
        <w:rPr>
          <w:noProof/>
        </w:rPr>
        <w:fldChar w:fldCharType="end"/>
      </w:r>
      <w:r w:rsidRPr="006122EE">
        <w:t>: Composition of the Urban Transportation Coordinating Committee</w:t>
      </w:r>
      <w:bookmarkEnd w:id="547"/>
    </w:p>
    <w:tbl>
      <w:tblPr>
        <w:tblW w:w="0" w:type="auto"/>
        <w:tblBorders>
          <w:top w:val="single" w:sz="4" w:space="0" w:color="52CEFF"/>
          <w:left w:val="single" w:sz="4" w:space="0" w:color="52CEFF"/>
          <w:bottom w:val="single" w:sz="4" w:space="0" w:color="52CEFF"/>
          <w:right w:val="single" w:sz="4" w:space="0" w:color="52CEFF"/>
          <w:insideH w:val="single" w:sz="4" w:space="0" w:color="52CEFF"/>
          <w:insideV w:val="single" w:sz="4" w:space="0" w:color="52CEFF"/>
        </w:tblBorders>
        <w:tblLook w:val="04A0" w:firstRow="1" w:lastRow="0" w:firstColumn="1" w:lastColumn="0" w:noHBand="0" w:noVBand="1"/>
      </w:tblPr>
      <w:tblGrid>
        <w:gridCol w:w="4699"/>
        <w:gridCol w:w="4695"/>
      </w:tblGrid>
      <w:tr w:rsidR="005F27B0" w:rsidRPr="006122EE" w14:paraId="77F0A711" w14:textId="77777777" w:rsidTr="003D424E">
        <w:trPr>
          <w:cantSplit/>
          <w:trHeight w:val="387"/>
          <w:tblHeader/>
        </w:trPr>
        <w:tc>
          <w:tcPr>
            <w:tcW w:w="4772" w:type="dxa"/>
            <w:tcBorders>
              <w:top w:val="single" w:sz="4" w:space="0" w:color="00A1DE"/>
              <w:left w:val="single" w:sz="4" w:space="0" w:color="00A1DE"/>
              <w:bottom w:val="single" w:sz="4" w:space="0" w:color="00A1DE"/>
              <w:right w:val="nil"/>
            </w:tcBorders>
            <w:shd w:val="clear" w:color="auto" w:fill="00A1DE"/>
            <w:vAlign w:val="center"/>
          </w:tcPr>
          <w:p w14:paraId="4B660DF0" w14:textId="77777777" w:rsidR="005F27B0" w:rsidRPr="006122EE" w:rsidRDefault="005F27B0" w:rsidP="00BC204F">
            <w:pPr>
              <w:spacing w:before="0" w:after="0"/>
              <w:jc w:val="center"/>
              <w:rPr>
                <w:b/>
                <w:color w:val="FFFFFF"/>
              </w:rPr>
            </w:pPr>
            <w:r w:rsidRPr="006122EE">
              <w:rPr>
                <w:b/>
                <w:color w:val="FFFFFF"/>
              </w:rPr>
              <w:t>Organisation</w:t>
            </w:r>
          </w:p>
        </w:tc>
        <w:tc>
          <w:tcPr>
            <w:tcW w:w="4772" w:type="dxa"/>
            <w:tcBorders>
              <w:top w:val="single" w:sz="4" w:space="0" w:color="00A1DE"/>
              <w:left w:val="nil"/>
              <w:bottom w:val="single" w:sz="4" w:space="0" w:color="00A1DE"/>
              <w:right w:val="single" w:sz="4" w:space="0" w:color="00A1DE"/>
            </w:tcBorders>
            <w:shd w:val="clear" w:color="auto" w:fill="00A1DE"/>
            <w:vAlign w:val="center"/>
          </w:tcPr>
          <w:p w14:paraId="2531860F" w14:textId="77777777" w:rsidR="005F27B0" w:rsidRPr="006122EE" w:rsidRDefault="005F27B0" w:rsidP="00BC204F">
            <w:pPr>
              <w:spacing w:before="0" w:after="0"/>
              <w:jc w:val="center"/>
              <w:rPr>
                <w:b/>
                <w:color w:val="FFFFFF"/>
              </w:rPr>
            </w:pPr>
            <w:r w:rsidRPr="006122EE">
              <w:rPr>
                <w:b/>
                <w:color w:val="FFFFFF"/>
              </w:rPr>
              <w:t>Role</w:t>
            </w:r>
          </w:p>
        </w:tc>
      </w:tr>
      <w:tr w:rsidR="005F27B0" w:rsidRPr="006122EE" w14:paraId="796238DA" w14:textId="77777777" w:rsidTr="003D424E">
        <w:trPr>
          <w:cantSplit/>
        </w:trPr>
        <w:tc>
          <w:tcPr>
            <w:tcW w:w="4772" w:type="dxa"/>
            <w:shd w:val="clear" w:color="auto" w:fill="C5EEFF"/>
            <w:vAlign w:val="center"/>
          </w:tcPr>
          <w:p w14:paraId="66462B2A" w14:textId="77777777" w:rsidR="005F27B0" w:rsidRPr="006122EE" w:rsidRDefault="005F27B0" w:rsidP="00BC204F">
            <w:pPr>
              <w:spacing w:before="0" w:after="0"/>
              <w:jc w:val="left"/>
              <w:rPr>
                <w:b/>
                <w:bCs/>
              </w:rPr>
            </w:pPr>
            <w:r w:rsidRPr="006122EE">
              <w:rPr>
                <w:b/>
                <w:bCs/>
              </w:rPr>
              <w:t>Ministry of Natural Resources, Energy and Mining</w:t>
            </w:r>
          </w:p>
        </w:tc>
        <w:tc>
          <w:tcPr>
            <w:tcW w:w="4772" w:type="dxa"/>
            <w:shd w:val="clear" w:color="auto" w:fill="C5EEFF"/>
            <w:vAlign w:val="center"/>
          </w:tcPr>
          <w:p w14:paraId="2CF2CAFE" w14:textId="77777777" w:rsidR="005F27B0" w:rsidRPr="006122EE" w:rsidRDefault="005F27B0" w:rsidP="00BC204F">
            <w:pPr>
              <w:spacing w:before="0" w:after="0"/>
              <w:jc w:val="left"/>
            </w:pPr>
            <w:r w:rsidRPr="006122EE">
              <w:t>Provide energy efficiency targets, monitor progress, provision of technical advice. Integration of environmental concerns in transportation (e.g. climate change, air pollution, land use)</w:t>
            </w:r>
          </w:p>
        </w:tc>
      </w:tr>
      <w:tr w:rsidR="005F27B0" w:rsidRPr="006122EE" w14:paraId="48DCBBED" w14:textId="77777777" w:rsidTr="003D424E">
        <w:trPr>
          <w:cantSplit/>
        </w:trPr>
        <w:tc>
          <w:tcPr>
            <w:tcW w:w="4772" w:type="dxa"/>
            <w:shd w:val="clear" w:color="auto" w:fill="auto"/>
            <w:vAlign w:val="center"/>
          </w:tcPr>
          <w:p w14:paraId="482C0772" w14:textId="77777777" w:rsidR="005F27B0" w:rsidRPr="006122EE" w:rsidRDefault="005F27B0" w:rsidP="00BC204F">
            <w:pPr>
              <w:spacing w:before="0" w:after="0"/>
              <w:jc w:val="left"/>
              <w:rPr>
                <w:b/>
                <w:bCs/>
              </w:rPr>
            </w:pPr>
            <w:r w:rsidRPr="006122EE">
              <w:rPr>
                <w:b/>
                <w:bCs/>
              </w:rPr>
              <w:t>Ministry of Finance and Economic Development</w:t>
            </w:r>
          </w:p>
        </w:tc>
        <w:tc>
          <w:tcPr>
            <w:tcW w:w="4772" w:type="dxa"/>
            <w:shd w:val="clear" w:color="auto" w:fill="auto"/>
            <w:vAlign w:val="center"/>
          </w:tcPr>
          <w:p w14:paraId="5C266AD1" w14:textId="77777777" w:rsidR="005F27B0" w:rsidRPr="006122EE" w:rsidRDefault="005F27B0" w:rsidP="00BC204F">
            <w:pPr>
              <w:spacing w:before="0" w:after="0"/>
              <w:jc w:val="left"/>
            </w:pPr>
            <w:r w:rsidRPr="006122EE">
              <w:t>Funding infrastructure and maintenance and assisting on third party funding from international organisations</w:t>
            </w:r>
          </w:p>
        </w:tc>
      </w:tr>
      <w:tr w:rsidR="005F27B0" w:rsidRPr="006122EE" w14:paraId="0220F6C1" w14:textId="77777777" w:rsidTr="003D424E">
        <w:trPr>
          <w:cantSplit/>
        </w:trPr>
        <w:tc>
          <w:tcPr>
            <w:tcW w:w="4772" w:type="dxa"/>
            <w:shd w:val="clear" w:color="auto" w:fill="C5EEFF"/>
            <w:vAlign w:val="center"/>
          </w:tcPr>
          <w:p w14:paraId="5722516E" w14:textId="77777777" w:rsidR="005F27B0" w:rsidRPr="006122EE" w:rsidRDefault="005F27B0" w:rsidP="00BC204F">
            <w:pPr>
              <w:spacing w:before="0" w:after="0"/>
              <w:jc w:val="left"/>
              <w:rPr>
                <w:b/>
                <w:bCs/>
              </w:rPr>
            </w:pPr>
            <w:r w:rsidRPr="006122EE">
              <w:rPr>
                <w:b/>
                <w:bCs/>
              </w:rPr>
              <w:t>Ministry of Justice and Constitutional Affairs</w:t>
            </w:r>
          </w:p>
        </w:tc>
        <w:tc>
          <w:tcPr>
            <w:tcW w:w="4772" w:type="dxa"/>
            <w:shd w:val="clear" w:color="auto" w:fill="C5EEFF"/>
            <w:vAlign w:val="center"/>
          </w:tcPr>
          <w:p w14:paraId="5A9ADD19" w14:textId="77777777" w:rsidR="005F27B0" w:rsidRPr="006122EE" w:rsidRDefault="005F27B0" w:rsidP="00BC204F">
            <w:pPr>
              <w:spacing w:before="0" w:after="0"/>
              <w:jc w:val="left"/>
            </w:pPr>
            <w:r w:rsidRPr="006122EE">
              <w:t>Definition of fines and other measures to increase energy efficiency in transportation (e.g. the integration of emission standards in national legislation)</w:t>
            </w:r>
          </w:p>
        </w:tc>
      </w:tr>
      <w:tr w:rsidR="005F27B0" w:rsidRPr="006122EE" w14:paraId="6BB53494" w14:textId="77777777" w:rsidTr="003D424E">
        <w:trPr>
          <w:cantSplit/>
        </w:trPr>
        <w:tc>
          <w:tcPr>
            <w:tcW w:w="4772" w:type="dxa"/>
            <w:shd w:val="clear" w:color="auto" w:fill="auto"/>
            <w:vAlign w:val="center"/>
          </w:tcPr>
          <w:p w14:paraId="45A70874" w14:textId="77777777" w:rsidR="005F27B0" w:rsidRPr="006122EE" w:rsidRDefault="005F27B0" w:rsidP="00BC204F">
            <w:pPr>
              <w:spacing w:before="0" w:after="0"/>
              <w:jc w:val="left"/>
              <w:rPr>
                <w:b/>
                <w:bCs/>
              </w:rPr>
            </w:pPr>
            <w:r w:rsidRPr="006122EE">
              <w:rPr>
                <w:b/>
                <w:bCs/>
              </w:rPr>
              <w:t>Ministry of Local Government and Rural Development</w:t>
            </w:r>
          </w:p>
        </w:tc>
        <w:tc>
          <w:tcPr>
            <w:tcW w:w="4772" w:type="dxa"/>
            <w:shd w:val="clear" w:color="auto" w:fill="auto"/>
            <w:vAlign w:val="center"/>
          </w:tcPr>
          <w:p w14:paraId="33FC28C7" w14:textId="77777777" w:rsidR="005F27B0" w:rsidRPr="006122EE" w:rsidRDefault="005F27B0" w:rsidP="00BC204F">
            <w:pPr>
              <w:spacing w:before="0" w:after="0"/>
              <w:jc w:val="left"/>
            </w:pPr>
            <w:r w:rsidRPr="006122EE">
              <w:t>Definition of the role of city councils in the development and maintenance of public transportation</w:t>
            </w:r>
          </w:p>
        </w:tc>
      </w:tr>
      <w:tr w:rsidR="00790DF9" w:rsidRPr="006122EE" w14:paraId="2541B17C" w14:textId="77777777" w:rsidTr="003D424E">
        <w:trPr>
          <w:cantSplit/>
          <w:trHeight w:val="762"/>
        </w:trPr>
        <w:tc>
          <w:tcPr>
            <w:tcW w:w="4772" w:type="dxa"/>
            <w:shd w:val="clear" w:color="auto" w:fill="C5EEFF"/>
            <w:vAlign w:val="center"/>
          </w:tcPr>
          <w:p w14:paraId="21AF0D40" w14:textId="77777777" w:rsidR="00790DF9" w:rsidRPr="006122EE" w:rsidRDefault="00790DF9" w:rsidP="00BC204F">
            <w:pPr>
              <w:spacing w:before="0" w:after="0"/>
              <w:jc w:val="left"/>
              <w:rPr>
                <w:b/>
                <w:bCs/>
              </w:rPr>
            </w:pPr>
            <w:r w:rsidRPr="006122EE">
              <w:rPr>
                <w:b/>
                <w:bCs/>
              </w:rPr>
              <w:t>Ministry of Lands, Housing and Urban Development</w:t>
            </w:r>
          </w:p>
        </w:tc>
        <w:tc>
          <w:tcPr>
            <w:tcW w:w="4772" w:type="dxa"/>
            <w:shd w:val="clear" w:color="auto" w:fill="C5EEFF"/>
            <w:vAlign w:val="center"/>
          </w:tcPr>
          <w:p w14:paraId="539C10EA" w14:textId="77777777" w:rsidR="00790DF9" w:rsidRPr="006122EE" w:rsidRDefault="00B410CA" w:rsidP="00BC204F">
            <w:pPr>
              <w:spacing w:before="0" w:after="0"/>
              <w:jc w:val="left"/>
            </w:pPr>
            <w:r w:rsidRPr="006122EE">
              <w:t>Allocation of land for the development of the required infrastructure and overall land-planning.</w:t>
            </w:r>
          </w:p>
        </w:tc>
      </w:tr>
      <w:tr w:rsidR="005F27B0" w:rsidRPr="006122EE" w14:paraId="7B07407D" w14:textId="77777777" w:rsidTr="003D424E">
        <w:trPr>
          <w:cantSplit/>
          <w:trHeight w:val="762"/>
        </w:trPr>
        <w:tc>
          <w:tcPr>
            <w:tcW w:w="4772" w:type="dxa"/>
            <w:shd w:val="clear" w:color="auto" w:fill="auto"/>
            <w:vAlign w:val="center"/>
          </w:tcPr>
          <w:p w14:paraId="644298AB" w14:textId="77777777" w:rsidR="005F27B0" w:rsidRPr="006122EE" w:rsidRDefault="005F27B0" w:rsidP="00BC204F">
            <w:pPr>
              <w:spacing w:before="0" w:after="0"/>
              <w:jc w:val="left"/>
              <w:rPr>
                <w:b/>
                <w:bCs/>
              </w:rPr>
            </w:pPr>
            <w:r w:rsidRPr="006122EE">
              <w:rPr>
                <w:b/>
                <w:bCs/>
              </w:rPr>
              <w:t>City Councils (i.e. Municipal or Town Councils)</w:t>
            </w:r>
          </w:p>
        </w:tc>
        <w:tc>
          <w:tcPr>
            <w:tcW w:w="4772" w:type="dxa"/>
            <w:shd w:val="clear" w:color="auto" w:fill="auto"/>
            <w:vAlign w:val="center"/>
          </w:tcPr>
          <w:p w14:paraId="69E7C1EB" w14:textId="77777777" w:rsidR="005F27B0" w:rsidRPr="006122EE" w:rsidRDefault="005F27B0" w:rsidP="00BC204F">
            <w:pPr>
              <w:spacing w:before="0" w:after="0"/>
              <w:jc w:val="left"/>
            </w:pPr>
            <w:r w:rsidRPr="006122EE">
              <w:t xml:space="preserve">Provide insight on the major issues in their administrative areas </w:t>
            </w:r>
          </w:p>
        </w:tc>
      </w:tr>
      <w:tr w:rsidR="005F27B0" w:rsidRPr="006122EE" w14:paraId="1CAF83E0" w14:textId="77777777" w:rsidTr="003D424E">
        <w:trPr>
          <w:cantSplit/>
          <w:trHeight w:val="762"/>
        </w:trPr>
        <w:tc>
          <w:tcPr>
            <w:tcW w:w="4772" w:type="dxa"/>
            <w:shd w:val="clear" w:color="auto" w:fill="C5EEFF" w:themeFill="accent3" w:themeFillTint="33"/>
            <w:vAlign w:val="center"/>
          </w:tcPr>
          <w:p w14:paraId="6041FFBB" w14:textId="77777777" w:rsidR="005F27B0" w:rsidRPr="006122EE" w:rsidRDefault="005F27B0" w:rsidP="00BC204F">
            <w:pPr>
              <w:spacing w:before="0" w:after="0"/>
              <w:jc w:val="left"/>
              <w:rPr>
                <w:b/>
                <w:bCs/>
              </w:rPr>
            </w:pPr>
            <w:r w:rsidRPr="006122EE">
              <w:rPr>
                <w:b/>
                <w:bCs/>
              </w:rPr>
              <w:t>Roads Authority</w:t>
            </w:r>
          </w:p>
        </w:tc>
        <w:tc>
          <w:tcPr>
            <w:tcW w:w="4772" w:type="dxa"/>
            <w:shd w:val="clear" w:color="auto" w:fill="C5EEFF" w:themeFill="accent3" w:themeFillTint="33"/>
            <w:vAlign w:val="center"/>
          </w:tcPr>
          <w:p w14:paraId="5EFCA0BE" w14:textId="77777777" w:rsidR="005F27B0" w:rsidRPr="006122EE" w:rsidRDefault="005F27B0" w:rsidP="00BC204F">
            <w:pPr>
              <w:spacing w:before="0" w:after="0"/>
              <w:jc w:val="left"/>
            </w:pPr>
            <w:r w:rsidRPr="006122EE">
              <w:t>Allocation of revenues from tolls from the development of infrastructure in urban areas</w:t>
            </w:r>
          </w:p>
        </w:tc>
      </w:tr>
      <w:tr w:rsidR="005F27B0" w:rsidRPr="006122EE" w14:paraId="6C293FF1" w14:textId="77777777" w:rsidTr="003D424E">
        <w:trPr>
          <w:cantSplit/>
        </w:trPr>
        <w:tc>
          <w:tcPr>
            <w:tcW w:w="4772" w:type="dxa"/>
            <w:shd w:val="clear" w:color="auto" w:fill="auto"/>
            <w:vAlign w:val="center"/>
          </w:tcPr>
          <w:p w14:paraId="1462DC9A" w14:textId="77777777" w:rsidR="005F27B0" w:rsidRPr="006122EE" w:rsidRDefault="005F27B0" w:rsidP="00BC204F">
            <w:pPr>
              <w:spacing w:before="0" w:after="0"/>
              <w:jc w:val="left"/>
              <w:rPr>
                <w:b/>
                <w:bCs/>
              </w:rPr>
            </w:pPr>
            <w:r w:rsidRPr="006122EE">
              <w:rPr>
                <w:b/>
                <w:bCs/>
              </w:rPr>
              <w:t>Road Traffic Directorate</w:t>
            </w:r>
          </w:p>
        </w:tc>
        <w:tc>
          <w:tcPr>
            <w:tcW w:w="4772" w:type="dxa"/>
            <w:shd w:val="clear" w:color="auto" w:fill="auto"/>
            <w:vAlign w:val="center"/>
          </w:tcPr>
          <w:p w14:paraId="2FB5CA93" w14:textId="77777777" w:rsidR="005F27B0" w:rsidRPr="006122EE" w:rsidRDefault="005F27B0" w:rsidP="00BC204F">
            <w:pPr>
              <w:spacing w:before="0" w:after="0"/>
              <w:jc w:val="left"/>
            </w:pPr>
            <w:r w:rsidRPr="006122EE">
              <w:t>Provision of statistics on the number, type and age of vehicles and integration of emission levels in the registry. Integration and enforcement of the emission standard in national legislation</w:t>
            </w:r>
          </w:p>
        </w:tc>
      </w:tr>
      <w:tr w:rsidR="005F27B0" w:rsidRPr="006122EE" w14:paraId="7285F2A1" w14:textId="77777777" w:rsidTr="003D424E">
        <w:trPr>
          <w:cantSplit/>
        </w:trPr>
        <w:tc>
          <w:tcPr>
            <w:tcW w:w="4772" w:type="dxa"/>
            <w:shd w:val="clear" w:color="auto" w:fill="C5EEFF" w:themeFill="accent3" w:themeFillTint="33"/>
            <w:vAlign w:val="center"/>
          </w:tcPr>
          <w:p w14:paraId="0586F8E4" w14:textId="77777777" w:rsidR="005F27B0" w:rsidRPr="006122EE" w:rsidRDefault="005F27B0" w:rsidP="00BC204F">
            <w:pPr>
              <w:spacing w:before="0" w:after="0"/>
              <w:jc w:val="left"/>
              <w:rPr>
                <w:b/>
                <w:bCs/>
              </w:rPr>
            </w:pPr>
            <w:r w:rsidRPr="006122EE">
              <w:rPr>
                <w:b/>
                <w:bCs/>
              </w:rPr>
              <w:t>Malawi Revenue Authority</w:t>
            </w:r>
          </w:p>
        </w:tc>
        <w:tc>
          <w:tcPr>
            <w:tcW w:w="4772" w:type="dxa"/>
            <w:shd w:val="clear" w:color="auto" w:fill="C5EEFF" w:themeFill="accent3" w:themeFillTint="33"/>
            <w:vAlign w:val="center"/>
          </w:tcPr>
          <w:p w14:paraId="2606EB84" w14:textId="77777777" w:rsidR="005F27B0" w:rsidRPr="006122EE" w:rsidRDefault="005F27B0" w:rsidP="00BC204F">
            <w:pPr>
              <w:spacing w:before="0" w:after="0"/>
              <w:jc w:val="left"/>
            </w:pPr>
            <w:r w:rsidRPr="006122EE">
              <w:t>Revenue collection</w:t>
            </w:r>
          </w:p>
        </w:tc>
      </w:tr>
      <w:tr w:rsidR="005F27B0" w:rsidRPr="006122EE" w14:paraId="7F66811C" w14:textId="77777777" w:rsidTr="003D424E">
        <w:trPr>
          <w:cantSplit/>
        </w:trPr>
        <w:tc>
          <w:tcPr>
            <w:tcW w:w="4772" w:type="dxa"/>
            <w:shd w:val="clear" w:color="auto" w:fill="auto"/>
            <w:vAlign w:val="center"/>
          </w:tcPr>
          <w:p w14:paraId="17B9F5DD" w14:textId="77777777" w:rsidR="005F27B0" w:rsidRPr="006122EE" w:rsidRDefault="005F27B0" w:rsidP="00BC204F">
            <w:pPr>
              <w:spacing w:before="0" w:after="0"/>
              <w:jc w:val="left"/>
              <w:rPr>
                <w:b/>
                <w:bCs/>
              </w:rPr>
            </w:pPr>
            <w:r w:rsidRPr="006122EE">
              <w:rPr>
                <w:b/>
                <w:bCs/>
              </w:rPr>
              <w:t>Malawi Energy Regulatory Authority</w:t>
            </w:r>
          </w:p>
        </w:tc>
        <w:tc>
          <w:tcPr>
            <w:tcW w:w="4772" w:type="dxa"/>
            <w:shd w:val="clear" w:color="auto" w:fill="auto"/>
            <w:vAlign w:val="center"/>
          </w:tcPr>
          <w:p w14:paraId="5419DE00" w14:textId="77777777" w:rsidR="005F27B0" w:rsidRPr="006122EE" w:rsidRDefault="005F27B0" w:rsidP="00BC204F">
            <w:pPr>
              <w:spacing w:before="0" w:after="0"/>
              <w:jc w:val="left"/>
            </w:pPr>
            <w:r w:rsidRPr="006122EE">
              <w:t>Administration of the fuel levy</w:t>
            </w:r>
          </w:p>
        </w:tc>
      </w:tr>
      <w:tr w:rsidR="005F27B0" w:rsidRPr="006122EE" w14:paraId="1156E61F" w14:textId="77777777" w:rsidTr="003D424E">
        <w:trPr>
          <w:cantSplit/>
        </w:trPr>
        <w:tc>
          <w:tcPr>
            <w:tcW w:w="4772" w:type="dxa"/>
            <w:shd w:val="clear" w:color="auto" w:fill="C5EEFF" w:themeFill="accent3" w:themeFillTint="33"/>
            <w:vAlign w:val="center"/>
          </w:tcPr>
          <w:p w14:paraId="1A740A95" w14:textId="77777777" w:rsidR="005F27B0" w:rsidRPr="006122EE" w:rsidRDefault="005F27B0" w:rsidP="00BC204F">
            <w:pPr>
              <w:spacing w:before="0" w:after="0"/>
              <w:jc w:val="left"/>
              <w:rPr>
                <w:b/>
                <w:bCs/>
              </w:rPr>
            </w:pPr>
            <w:r w:rsidRPr="006122EE">
              <w:rPr>
                <w:b/>
                <w:bCs/>
              </w:rPr>
              <w:t>Universities and other research  institutions</w:t>
            </w:r>
          </w:p>
        </w:tc>
        <w:tc>
          <w:tcPr>
            <w:tcW w:w="4772" w:type="dxa"/>
            <w:shd w:val="clear" w:color="auto" w:fill="C5EEFF" w:themeFill="accent3" w:themeFillTint="33"/>
            <w:vAlign w:val="center"/>
          </w:tcPr>
          <w:p w14:paraId="70C6AFE5" w14:textId="77777777" w:rsidR="005F27B0" w:rsidRPr="006122EE" w:rsidRDefault="005F27B0" w:rsidP="00BC204F">
            <w:pPr>
              <w:spacing w:before="0" w:after="0"/>
              <w:jc w:val="left"/>
            </w:pPr>
            <w:r w:rsidRPr="006122EE">
              <w:t>Definition of needs in research and development</w:t>
            </w:r>
          </w:p>
        </w:tc>
      </w:tr>
      <w:tr w:rsidR="005F27B0" w:rsidRPr="006122EE" w14:paraId="32F5A205" w14:textId="77777777" w:rsidTr="003D424E">
        <w:trPr>
          <w:cantSplit/>
        </w:trPr>
        <w:tc>
          <w:tcPr>
            <w:tcW w:w="4772" w:type="dxa"/>
            <w:shd w:val="clear" w:color="auto" w:fill="auto"/>
            <w:vAlign w:val="center"/>
          </w:tcPr>
          <w:p w14:paraId="4DC6E58A" w14:textId="77777777" w:rsidR="005F27B0" w:rsidRPr="006122EE" w:rsidRDefault="005F27B0" w:rsidP="00BC204F">
            <w:pPr>
              <w:spacing w:before="0" w:after="0"/>
              <w:jc w:val="left"/>
              <w:rPr>
                <w:b/>
                <w:bCs/>
              </w:rPr>
            </w:pPr>
            <w:r w:rsidRPr="006122EE">
              <w:rPr>
                <w:b/>
                <w:bCs/>
              </w:rPr>
              <w:t>Private sector transport operator representatives (e.g. Minibus Owners Association of Malawi and Bus Owners Association, Central Eastern African Railways)</w:t>
            </w:r>
          </w:p>
        </w:tc>
        <w:tc>
          <w:tcPr>
            <w:tcW w:w="4772" w:type="dxa"/>
            <w:shd w:val="clear" w:color="auto" w:fill="auto"/>
            <w:vAlign w:val="center"/>
          </w:tcPr>
          <w:p w14:paraId="6260B466" w14:textId="77777777" w:rsidR="005F27B0" w:rsidRPr="006122EE" w:rsidRDefault="005F27B0" w:rsidP="00BC204F">
            <w:pPr>
              <w:spacing w:before="0" w:after="0"/>
              <w:jc w:val="left"/>
            </w:pPr>
            <w:r w:rsidRPr="006122EE">
              <w:t>Key stakeholders and investors.</w:t>
            </w:r>
          </w:p>
        </w:tc>
      </w:tr>
      <w:tr w:rsidR="004E4513" w:rsidRPr="006122EE" w14:paraId="3B042F7A" w14:textId="77777777" w:rsidTr="003D424E">
        <w:trPr>
          <w:cantSplit/>
        </w:trPr>
        <w:tc>
          <w:tcPr>
            <w:tcW w:w="4772" w:type="dxa"/>
            <w:shd w:val="clear" w:color="auto" w:fill="C5EEFF"/>
            <w:vAlign w:val="center"/>
          </w:tcPr>
          <w:p w14:paraId="1455620D" w14:textId="77777777" w:rsidR="004E4513" w:rsidRPr="006122EE" w:rsidRDefault="004E4513" w:rsidP="00BC204F">
            <w:pPr>
              <w:spacing w:before="0" w:after="0"/>
              <w:jc w:val="left"/>
              <w:rPr>
                <w:b/>
                <w:bCs/>
              </w:rPr>
            </w:pPr>
            <w:r w:rsidRPr="006122EE">
              <w:rPr>
                <w:b/>
                <w:bCs/>
              </w:rPr>
              <w:t>National Commission for Science and Technology</w:t>
            </w:r>
          </w:p>
        </w:tc>
        <w:tc>
          <w:tcPr>
            <w:tcW w:w="4772" w:type="dxa"/>
            <w:shd w:val="clear" w:color="auto" w:fill="C5EEFF"/>
            <w:vAlign w:val="center"/>
          </w:tcPr>
          <w:p w14:paraId="2A9F4419" w14:textId="77777777" w:rsidR="004E4513" w:rsidRPr="006122EE" w:rsidRDefault="004E4513" w:rsidP="00BC204F">
            <w:pPr>
              <w:spacing w:before="0" w:after="0"/>
              <w:jc w:val="left"/>
            </w:pPr>
            <w:r w:rsidRPr="006122EE">
              <w:t>Provision of advice on technological aspects (e.g. type of buses, synchronised traffic signals etc)</w:t>
            </w:r>
          </w:p>
        </w:tc>
      </w:tr>
      <w:tr w:rsidR="005F27B0" w:rsidRPr="006122EE" w14:paraId="3FB7FC86" w14:textId="77777777" w:rsidTr="003D424E">
        <w:trPr>
          <w:cantSplit/>
        </w:trPr>
        <w:tc>
          <w:tcPr>
            <w:tcW w:w="4772" w:type="dxa"/>
            <w:shd w:val="clear" w:color="auto" w:fill="auto"/>
            <w:vAlign w:val="center"/>
          </w:tcPr>
          <w:p w14:paraId="2A9E1E3C" w14:textId="77777777" w:rsidR="005F27B0" w:rsidRPr="006122EE" w:rsidRDefault="005F27B0" w:rsidP="00BC204F">
            <w:pPr>
              <w:spacing w:before="0" w:after="0"/>
              <w:jc w:val="left"/>
              <w:rPr>
                <w:b/>
                <w:bCs/>
              </w:rPr>
            </w:pPr>
            <w:r w:rsidRPr="006122EE">
              <w:rPr>
                <w:b/>
                <w:bCs/>
              </w:rPr>
              <w:t>Non-governmental organisations</w:t>
            </w:r>
          </w:p>
        </w:tc>
        <w:tc>
          <w:tcPr>
            <w:tcW w:w="4772" w:type="dxa"/>
            <w:shd w:val="clear" w:color="auto" w:fill="auto"/>
            <w:vAlign w:val="center"/>
          </w:tcPr>
          <w:p w14:paraId="0EFA9F25" w14:textId="77777777" w:rsidR="005F27B0" w:rsidRPr="006122EE" w:rsidRDefault="005F27B0" w:rsidP="00BC204F">
            <w:pPr>
              <w:spacing w:before="0" w:after="0"/>
              <w:jc w:val="left"/>
            </w:pPr>
            <w:r w:rsidRPr="006122EE">
              <w:t>Provision of advice on good practices (e.g. from international experience) and depending on the specialisation of the NGOs provision of expertise on specific environmental and social concerns.</w:t>
            </w:r>
          </w:p>
        </w:tc>
      </w:tr>
    </w:tbl>
    <w:p w14:paraId="105F6F5C" w14:textId="77777777" w:rsidR="00B1153E" w:rsidRDefault="00B1153E" w:rsidP="005F27B0">
      <w:pPr>
        <w:rPr>
          <w:lang w:eastAsia="fr-FR"/>
        </w:rPr>
      </w:pPr>
    </w:p>
    <w:p w14:paraId="383FC542" w14:textId="77777777" w:rsidR="005F27B0" w:rsidRPr="006122EE" w:rsidRDefault="005F27B0" w:rsidP="00B1153E">
      <w:pPr>
        <w:spacing w:line="276" w:lineRule="auto"/>
      </w:pPr>
      <w:r w:rsidRPr="006122EE">
        <w:rPr>
          <w:lang w:eastAsia="fr-FR"/>
        </w:rPr>
        <w:t>One of the tasks of the Transportation Coordination Committee will be to harmonize management of roads to avoid overlaps and gaps among the responsible institutions, i.e. Roads Authority</w:t>
      </w:r>
      <w:r w:rsidR="008E17ED" w:rsidRPr="006122EE">
        <w:rPr>
          <w:lang w:eastAsia="fr-FR"/>
        </w:rPr>
        <w:t xml:space="preserve">. </w:t>
      </w:r>
      <w:r w:rsidRPr="006122EE">
        <w:rPr>
          <w:lang w:eastAsia="fr-FR"/>
        </w:rPr>
        <w:t>Harmonisation will be required on the design and maintenance of roads to reduce congestions and on the management of funds (e.g. those collected through tolls and fines).</w:t>
      </w:r>
    </w:p>
    <w:p w14:paraId="017F4E98" w14:textId="77777777" w:rsidR="005F27B0" w:rsidRPr="006122EE" w:rsidRDefault="005F27B0" w:rsidP="00B1153E">
      <w:pPr>
        <w:pStyle w:val="Style1"/>
        <w:spacing w:line="276" w:lineRule="auto"/>
      </w:pPr>
      <w:r w:rsidRPr="006122EE">
        <w:t>Mass transit system</w:t>
      </w:r>
    </w:p>
    <w:p w14:paraId="0BF6D9FD" w14:textId="77777777" w:rsidR="004E31E8" w:rsidRPr="006122EE" w:rsidRDefault="004E31E8" w:rsidP="00B1153E">
      <w:pPr>
        <w:spacing w:line="276" w:lineRule="auto"/>
        <w:rPr>
          <w:lang w:eastAsia="fr-FR"/>
        </w:rPr>
      </w:pPr>
      <w:r w:rsidRPr="006122EE">
        <w:t xml:space="preserve">Mass transit vehicles carry a far higher number of passengers compared to private vehicles, making them an efficient user of road space ultimately helping decongest the cities. </w:t>
      </w:r>
      <w:r w:rsidRPr="006122EE">
        <w:rPr>
          <w:lang w:eastAsia="fr-FR"/>
        </w:rPr>
        <w:t>A city bus with a carrying capacity of about 108 passengers replaces almost 7 mini-buses of 16 seater passenger capacity. The mini-buses will use 23-25 litres of diesel for a 20 km journey and a city bus will use between 8 and 10 litters of diesel (based on a trial using a city bus in a mixed traffic system)</w:t>
      </w:r>
      <w:r w:rsidRPr="006122EE">
        <w:rPr>
          <w:rStyle w:val="FootnoteReference"/>
          <w:lang w:eastAsia="fr-FR"/>
        </w:rPr>
        <w:footnoteReference w:id="90"/>
      </w:r>
      <w:r w:rsidRPr="006122EE">
        <w:rPr>
          <w:lang w:eastAsia="fr-FR"/>
        </w:rPr>
        <w:t>. In addition, a study conducted in Uganda, found that in terms of fuel consumption and CO</w:t>
      </w:r>
      <w:r w:rsidRPr="006122EE">
        <w:rPr>
          <w:vertAlign w:val="subscript"/>
          <w:lang w:eastAsia="fr-FR"/>
        </w:rPr>
        <w:t>2</w:t>
      </w:r>
      <w:r w:rsidRPr="006122EE">
        <w:rPr>
          <w:lang w:eastAsia="fr-FR"/>
        </w:rPr>
        <w:t xml:space="preserve"> emissions, one bus with a capacity of 80 people replaces 3 mini-buses, 14 private vehicles</w:t>
      </w:r>
      <w:r w:rsidRPr="006122EE">
        <w:rPr>
          <w:rStyle w:val="FootnoteReference"/>
          <w:lang w:eastAsia="fr-FR"/>
        </w:rPr>
        <w:footnoteReference w:id="91"/>
      </w:r>
      <w:r w:rsidRPr="006122EE">
        <w:rPr>
          <w:lang w:eastAsia="fr-FR"/>
        </w:rPr>
        <w:t xml:space="preserve"> or 80 motorcycles. The efficiency will increase further if proper bus schedules are implemented together measures on Travel Demand Management.</w:t>
      </w:r>
    </w:p>
    <w:p w14:paraId="18157E4E" w14:textId="77777777" w:rsidR="004E31E8" w:rsidRPr="006122EE" w:rsidRDefault="004E31E8" w:rsidP="00B1153E">
      <w:pPr>
        <w:spacing w:line="276" w:lineRule="auto"/>
      </w:pPr>
      <w:r w:rsidRPr="006122EE">
        <w:t>In terms of gender equality, many women carry heavy loads of goods for long distances. This occurs mainly in rural areas but also in urban and sub-urban areas. Comparably with private vehicles, buses would serve as a more affordable mean of transportation and would contribute in the mitigation of this practice. In addition, a mass transport system would improve the accessibility of pregnant women and women with small children to retail and healthcare facilities.</w:t>
      </w:r>
    </w:p>
    <w:p w14:paraId="0B9B2894" w14:textId="77777777" w:rsidR="004E31E8" w:rsidRPr="006122EE" w:rsidRDefault="004E31E8" w:rsidP="00B1153E">
      <w:pPr>
        <w:spacing w:line="276" w:lineRule="auto"/>
      </w:pPr>
      <w:r w:rsidRPr="006122EE">
        <w:t xml:space="preserve">Public transportation has also a large potential to foster agglomeration through the development of urban clusters. These clusters boost the development of new business, jobs and consequently wages and economic activity. Overall, public transportation improves and expands access to education, goods and services. </w:t>
      </w:r>
    </w:p>
    <w:p w14:paraId="5A70745E" w14:textId="77777777" w:rsidR="005F27B0" w:rsidRPr="006122EE" w:rsidRDefault="005F27B0" w:rsidP="00B1153E">
      <w:pPr>
        <w:spacing w:line="276" w:lineRule="auto"/>
      </w:pPr>
      <w:r w:rsidRPr="006122EE">
        <w:t>In order to achieve the target on the fuel consumption per km, the following action areas will be undertaken.</w:t>
      </w:r>
    </w:p>
    <w:p w14:paraId="272D1DFE" w14:textId="77777777" w:rsidR="005F27B0" w:rsidRPr="00866D96" w:rsidRDefault="005F27B0" w:rsidP="00B1153E">
      <w:pPr>
        <w:pStyle w:val="CSubtitle2"/>
        <w:spacing w:line="276" w:lineRule="auto"/>
        <w:rPr>
          <w:noProof w:val="0"/>
          <w:lang w:val="en-GB"/>
        </w:rPr>
      </w:pPr>
      <w:r w:rsidRPr="00866D96">
        <w:rPr>
          <w:noProof w:val="0"/>
          <w:lang w:val="en-GB"/>
        </w:rPr>
        <w:t>Phase out mini-buses and create a public road transportation system</w:t>
      </w:r>
    </w:p>
    <w:p w14:paraId="08E4615C" w14:textId="77777777" w:rsidR="005F27B0" w:rsidRPr="006122EE" w:rsidRDefault="005F27B0" w:rsidP="00B1153E">
      <w:pPr>
        <w:spacing w:line="276" w:lineRule="auto"/>
        <w:rPr>
          <w:lang w:eastAsia="fr-FR"/>
        </w:rPr>
      </w:pPr>
      <w:r w:rsidRPr="006122EE">
        <w:rPr>
          <w:lang w:eastAsia="fr-FR"/>
        </w:rPr>
        <w:t xml:space="preserve">It is inconceivable and unrealistic to set an immediate ban of mini-vans as at present they consist of the backbone of public transport in urban areas in Malawi. </w:t>
      </w:r>
      <w:r w:rsidR="00F85917" w:rsidRPr="006122EE">
        <w:rPr>
          <w:lang w:eastAsia="fr-FR"/>
        </w:rPr>
        <w:t xml:space="preserve">Therefore, a public transportation should be developed in 2 phases: </w:t>
      </w:r>
      <w:r w:rsidR="007E38CB" w:rsidRPr="006122EE">
        <w:rPr>
          <w:lang w:eastAsia="fr-FR"/>
        </w:rPr>
        <w:t>First, t</w:t>
      </w:r>
      <w:r w:rsidRPr="006122EE">
        <w:rPr>
          <w:lang w:eastAsia="fr-FR"/>
        </w:rPr>
        <w:t xml:space="preserve">here is a need to start the process to </w:t>
      </w:r>
      <w:r w:rsidR="000253D4" w:rsidRPr="006122EE">
        <w:rPr>
          <w:lang w:eastAsia="fr-FR"/>
        </w:rPr>
        <w:t xml:space="preserve">gradually </w:t>
      </w:r>
      <w:r w:rsidRPr="006122EE">
        <w:rPr>
          <w:lang w:eastAsia="fr-FR"/>
        </w:rPr>
        <w:t>phase out mini-buses with the capacity of less than 26 seats by not licensing new ones</w:t>
      </w:r>
      <w:r w:rsidR="007E38CB" w:rsidRPr="006122EE">
        <w:rPr>
          <w:lang w:eastAsia="fr-FR"/>
        </w:rPr>
        <w:t>; second and in parallel with the first phase</w:t>
      </w:r>
      <w:r w:rsidRPr="006122EE">
        <w:rPr>
          <w:lang w:eastAsia="fr-FR"/>
        </w:rPr>
        <w:t>, measures to support the acquisition of city buses will set the basis for the development of a mass transportation system</w:t>
      </w:r>
      <w:r w:rsidR="008E17ED" w:rsidRPr="006122EE">
        <w:rPr>
          <w:lang w:eastAsia="fr-FR"/>
        </w:rPr>
        <w:t xml:space="preserve">. </w:t>
      </w:r>
    </w:p>
    <w:p w14:paraId="3C77AFDC" w14:textId="77777777" w:rsidR="005F27B0" w:rsidRPr="006122EE" w:rsidRDefault="007E38CB" w:rsidP="00B1153E">
      <w:pPr>
        <w:spacing w:line="276" w:lineRule="auto"/>
        <w:rPr>
          <w:lang w:eastAsia="fr-FR"/>
        </w:rPr>
      </w:pPr>
      <w:r w:rsidRPr="006122EE">
        <w:rPr>
          <w:lang w:eastAsia="fr-FR"/>
        </w:rPr>
        <w:t>In relation to the phase-out of the mini-buses</w:t>
      </w:r>
      <w:r w:rsidR="005F27B0" w:rsidRPr="006122EE">
        <w:rPr>
          <w:lang w:eastAsia="fr-FR"/>
        </w:rPr>
        <w:t xml:space="preserve">, at the intermediate level (i.e. by 2020) the following </w:t>
      </w:r>
      <w:r w:rsidR="000253D4" w:rsidRPr="006122EE">
        <w:rPr>
          <w:lang w:eastAsia="fr-FR"/>
        </w:rPr>
        <w:t>subsequent steps</w:t>
      </w:r>
      <w:r w:rsidRPr="006122EE">
        <w:rPr>
          <w:lang w:eastAsia="fr-FR"/>
        </w:rPr>
        <w:t xml:space="preserve"> should be established</w:t>
      </w:r>
      <w:r w:rsidR="005F27B0" w:rsidRPr="006122EE">
        <w:rPr>
          <w:lang w:eastAsia="fr-FR"/>
        </w:rPr>
        <w:t>:</w:t>
      </w:r>
    </w:p>
    <w:p w14:paraId="56A24F8E" w14:textId="77777777" w:rsidR="005F27B0" w:rsidRPr="00866D96" w:rsidRDefault="005F27B0" w:rsidP="00B1153E">
      <w:pPr>
        <w:pStyle w:val="DBulletlevel1"/>
        <w:spacing w:line="276" w:lineRule="auto"/>
        <w:rPr>
          <w:noProof w:val="0"/>
        </w:rPr>
      </w:pPr>
      <w:r w:rsidRPr="00866D96">
        <w:rPr>
          <w:noProof w:val="0"/>
        </w:rPr>
        <w:t>Curb on all unregistered vehicles which is a significant proportion of the mini-bus population</w:t>
      </w:r>
      <w:r w:rsidR="008E17ED" w:rsidRPr="00866D96">
        <w:rPr>
          <w:noProof w:val="0"/>
        </w:rPr>
        <w:t>.</w:t>
      </w:r>
    </w:p>
    <w:p w14:paraId="2BD2E31D" w14:textId="77777777" w:rsidR="000253D4" w:rsidRPr="00866D96" w:rsidRDefault="000253D4" w:rsidP="00B1153E">
      <w:pPr>
        <w:pStyle w:val="DBulletlevel1"/>
        <w:spacing w:line="276" w:lineRule="auto"/>
        <w:rPr>
          <w:noProof w:val="0"/>
        </w:rPr>
      </w:pPr>
      <w:r w:rsidRPr="00866D96">
        <w:rPr>
          <w:noProof w:val="0"/>
        </w:rPr>
        <w:t xml:space="preserve">Stop the registration and licensing of </w:t>
      </w:r>
      <w:r w:rsidR="00F77EC0" w:rsidRPr="00866D96">
        <w:rPr>
          <w:noProof w:val="0"/>
        </w:rPr>
        <w:t>new mini-buses.</w:t>
      </w:r>
    </w:p>
    <w:p w14:paraId="545F91EC" w14:textId="77777777" w:rsidR="00F77EC0" w:rsidRPr="00866D96" w:rsidRDefault="005F27B0" w:rsidP="00B1153E">
      <w:pPr>
        <w:pStyle w:val="DBulletlevel1"/>
        <w:spacing w:line="276" w:lineRule="auto"/>
        <w:rPr>
          <w:noProof w:val="0"/>
        </w:rPr>
      </w:pPr>
      <w:r w:rsidRPr="00866D96">
        <w:rPr>
          <w:noProof w:val="0"/>
        </w:rPr>
        <w:t xml:space="preserve">Support the </w:t>
      </w:r>
      <w:r w:rsidR="00F77EC0" w:rsidRPr="00866D96">
        <w:rPr>
          <w:noProof w:val="0"/>
        </w:rPr>
        <w:t xml:space="preserve">development of cooperatives to consolidate current </w:t>
      </w:r>
      <w:r w:rsidRPr="00866D96">
        <w:rPr>
          <w:noProof w:val="0"/>
        </w:rPr>
        <w:t>operators</w:t>
      </w:r>
      <w:r w:rsidR="00F77EC0" w:rsidRPr="00866D96">
        <w:rPr>
          <w:noProof w:val="0"/>
        </w:rPr>
        <w:t xml:space="preserve"> into companies.</w:t>
      </w:r>
    </w:p>
    <w:p w14:paraId="716DE206" w14:textId="77777777" w:rsidR="008E5F96" w:rsidRPr="00866D96" w:rsidRDefault="008E5F96" w:rsidP="00B1153E">
      <w:pPr>
        <w:pStyle w:val="DBulletlevel1"/>
        <w:spacing w:line="276" w:lineRule="auto"/>
        <w:rPr>
          <w:noProof w:val="0"/>
        </w:rPr>
      </w:pPr>
      <w:r w:rsidRPr="00866D96">
        <w:rPr>
          <w:noProof w:val="0"/>
        </w:rPr>
        <w:t>Franchising of routes: mini-buses must not be allowed to operate on these routes and strict enforcement is required.</w:t>
      </w:r>
    </w:p>
    <w:p w14:paraId="1F84F179" w14:textId="77777777" w:rsidR="005F27B0" w:rsidRPr="00866D96" w:rsidRDefault="005F27B0" w:rsidP="00B1153E">
      <w:pPr>
        <w:pStyle w:val="DBulletlevel1"/>
        <w:spacing w:line="276" w:lineRule="auto"/>
        <w:rPr>
          <w:noProof w:val="0"/>
        </w:rPr>
      </w:pPr>
      <w:r w:rsidRPr="00866D96">
        <w:rPr>
          <w:noProof w:val="0"/>
        </w:rPr>
        <w:t xml:space="preserve">Support the </w:t>
      </w:r>
      <w:r w:rsidR="00F77EC0" w:rsidRPr="00866D96">
        <w:rPr>
          <w:noProof w:val="0"/>
        </w:rPr>
        <w:t>cooperatives</w:t>
      </w:r>
      <w:r w:rsidRPr="00866D96">
        <w:rPr>
          <w:noProof w:val="0"/>
        </w:rPr>
        <w:t xml:space="preserve"> in buying large and efficient buses (e.g. though tax reductions or subsidies)</w:t>
      </w:r>
      <w:r w:rsidR="008E17ED" w:rsidRPr="00866D96">
        <w:rPr>
          <w:noProof w:val="0"/>
        </w:rPr>
        <w:t>.</w:t>
      </w:r>
    </w:p>
    <w:p w14:paraId="4A307B02" w14:textId="77777777" w:rsidR="005F27B0" w:rsidRPr="00866D96" w:rsidRDefault="005F27B0" w:rsidP="00B1153E">
      <w:pPr>
        <w:pStyle w:val="DBulletlevel1"/>
        <w:numPr>
          <w:ilvl w:val="0"/>
          <w:numId w:val="0"/>
        </w:numPr>
        <w:spacing w:line="276" w:lineRule="auto"/>
        <w:rPr>
          <w:rFonts w:eastAsia="Times"/>
          <w:noProof w:val="0"/>
        </w:rPr>
      </w:pPr>
      <w:r w:rsidRPr="00866D96">
        <w:rPr>
          <w:rFonts w:eastAsia="Times"/>
          <w:noProof w:val="0"/>
        </w:rPr>
        <w:t xml:space="preserve">The </w:t>
      </w:r>
      <w:r w:rsidR="00AF48CC" w:rsidRPr="006122EE">
        <w:rPr>
          <w:rFonts w:eastAsia="Times"/>
          <w:noProof w:val="0"/>
        </w:rPr>
        <w:t>encouragement</w:t>
      </w:r>
      <w:r w:rsidR="008E5F96" w:rsidRPr="00866D96">
        <w:rPr>
          <w:rFonts w:eastAsia="Times"/>
          <w:noProof w:val="0"/>
        </w:rPr>
        <w:t xml:space="preserve"> of the</w:t>
      </w:r>
      <w:r w:rsidRPr="00866D96">
        <w:rPr>
          <w:rFonts w:eastAsia="Times"/>
          <w:noProof w:val="0"/>
        </w:rPr>
        <w:t xml:space="preserve"> current operators of mini-buses to participate in cooperatives that invest in city buses</w:t>
      </w:r>
      <w:r w:rsidR="008E5F96" w:rsidRPr="00866D96">
        <w:rPr>
          <w:rFonts w:eastAsia="Times"/>
          <w:noProof w:val="0"/>
        </w:rPr>
        <w:t xml:space="preserve"> is a crucial step</w:t>
      </w:r>
      <w:r w:rsidRPr="00866D96">
        <w:rPr>
          <w:rFonts w:eastAsia="Times"/>
          <w:noProof w:val="0"/>
        </w:rPr>
        <w:t xml:space="preserve">. This approach that has been applied successfully in other </w:t>
      </w:r>
      <w:r w:rsidR="00CA711C" w:rsidRPr="00866D96">
        <w:rPr>
          <w:rFonts w:eastAsia="Times"/>
          <w:noProof w:val="0"/>
        </w:rPr>
        <w:t xml:space="preserve">cities </w:t>
      </w:r>
      <w:r w:rsidRPr="00866D96">
        <w:rPr>
          <w:rFonts w:eastAsia="Times"/>
          <w:noProof w:val="0"/>
        </w:rPr>
        <w:t xml:space="preserve">(e.g. </w:t>
      </w:r>
      <w:r w:rsidR="00CA711C" w:rsidRPr="00866D96">
        <w:rPr>
          <w:rFonts w:eastAsia="Times"/>
          <w:noProof w:val="0"/>
        </w:rPr>
        <w:t>Nairobi and Dar es Salaam</w:t>
      </w:r>
      <w:r w:rsidRPr="00866D96">
        <w:rPr>
          <w:rFonts w:eastAsia="Times"/>
          <w:noProof w:val="0"/>
        </w:rPr>
        <w:t xml:space="preserve">) ensures that any damages on the investments of the current operators of mini-buses are minimised. </w:t>
      </w:r>
    </w:p>
    <w:p w14:paraId="40EBE394" w14:textId="77777777" w:rsidR="005F27B0" w:rsidRPr="006122EE" w:rsidRDefault="00790DF9" w:rsidP="00B1153E">
      <w:pPr>
        <w:spacing w:line="276" w:lineRule="auto"/>
      </w:pPr>
      <w:r w:rsidRPr="00866D96">
        <w:t xml:space="preserve">Simultaneously to the phasing out of mini-buses </w:t>
      </w:r>
      <w:r w:rsidRPr="006122EE">
        <w:rPr>
          <w:lang w:eastAsia="fr-FR"/>
        </w:rPr>
        <w:t>and also by</w:t>
      </w:r>
      <w:r w:rsidR="005F27B0" w:rsidRPr="006122EE">
        <w:rPr>
          <w:lang w:eastAsia="fr-FR"/>
        </w:rPr>
        <w:t xml:space="preserve"> 2020, a mass transport system shall be established at least in the 3 largest cities (Lilongwe, Blantyre, Mzuzu) through PPPs or private initiatives. The NTP is already providing freedom to the industry to set tariffs and has removed restrictions on entry in the passenger as well as freight transportation.. This objective can be reached through the following measures:</w:t>
      </w:r>
    </w:p>
    <w:p w14:paraId="3486752A" w14:textId="77777777" w:rsidR="004E4513" w:rsidRPr="00866D96" w:rsidRDefault="004E4513" w:rsidP="00B1153E">
      <w:pPr>
        <w:pStyle w:val="DBulletlevel1"/>
        <w:spacing w:line="276" w:lineRule="auto"/>
        <w:rPr>
          <w:noProof w:val="0"/>
        </w:rPr>
      </w:pPr>
      <w:r w:rsidRPr="00866D96">
        <w:rPr>
          <w:noProof w:val="0"/>
        </w:rPr>
        <w:t>Undertake detailed studies to analyse the current transportation system (mapping of transport modes, infrastructure, population distribution etc) to inform the nature of intervention that will need to be implemented (e.g. allocation of bus lanes).</w:t>
      </w:r>
    </w:p>
    <w:p w14:paraId="2549A247" w14:textId="77777777" w:rsidR="00790DF9" w:rsidRPr="00866D96" w:rsidRDefault="00790DF9" w:rsidP="00B1153E">
      <w:pPr>
        <w:pStyle w:val="DBulletlevel1"/>
        <w:spacing w:line="276" w:lineRule="auto"/>
        <w:rPr>
          <w:noProof w:val="0"/>
        </w:rPr>
      </w:pPr>
      <w:r w:rsidRPr="00866D96">
        <w:rPr>
          <w:noProof w:val="0"/>
        </w:rPr>
        <w:t>Develop pilot bus systems (i.e. one route in one city) to guide the development of comprehensive transportation system.</w:t>
      </w:r>
    </w:p>
    <w:p w14:paraId="14E3455A" w14:textId="77777777" w:rsidR="005F27B0" w:rsidRPr="00866D96" w:rsidRDefault="005F27B0" w:rsidP="00B1153E">
      <w:pPr>
        <w:pStyle w:val="DBulletlevel1"/>
        <w:spacing w:line="276" w:lineRule="auto"/>
        <w:rPr>
          <w:noProof w:val="0"/>
        </w:rPr>
      </w:pPr>
      <w:r w:rsidRPr="00866D96">
        <w:rPr>
          <w:noProof w:val="0"/>
        </w:rPr>
        <w:t>Phase in a comprehensive public transportation system in major cities with a combination of large and small capacity buses to Bllantyre, Lilongwe and Mzuzu including the establishment of dedicated bus lanes on the corridors with the highest ridership levels. The design of such systems should be built on lessons from similar developments on other African cities (e.g. Accra, Lagos and Dar es Salaam)</w:t>
      </w:r>
      <w:r w:rsidR="008E17ED" w:rsidRPr="00866D96">
        <w:rPr>
          <w:noProof w:val="0"/>
        </w:rPr>
        <w:t>.</w:t>
      </w:r>
    </w:p>
    <w:p w14:paraId="6DE85314" w14:textId="77777777" w:rsidR="005F27B0" w:rsidRPr="00866D96" w:rsidRDefault="005F27B0" w:rsidP="00B1153E">
      <w:pPr>
        <w:pStyle w:val="DBulletlevel1"/>
        <w:spacing w:line="276" w:lineRule="auto"/>
        <w:rPr>
          <w:noProof w:val="0"/>
        </w:rPr>
      </w:pPr>
      <w:r w:rsidRPr="00866D96" w:rsidDel="00EA598D">
        <w:rPr>
          <w:noProof w:val="0"/>
        </w:rPr>
        <w:t xml:space="preserve"> </w:t>
      </w:r>
      <w:r w:rsidRPr="00866D96">
        <w:rPr>
          <w:noProof w:val="0"/>
        </w:rPr>
        <w:t>Prohibit the entrance of mini-buses in city centres and other areas with high congestion</w:t>
      </w:r>
      <w:r w:rsidR="008E17ED" w:rsidRPr="00866D96">
        <w:rPr>
          <w:noProof w:val="0"/>
        </w:rPr>
        <w:t>.</w:t>
      </w:r>
    </w:p>
    <w:p w14:paraId="04C807C0" w14:textId="77777777" w:rsidR="005F27B0" w:rsidRPr="006122EE" w:rsidRDefault="005F27B0" w:rsidP="00B1153E">
      <w:pPr>
        <w:spacing w:line="276" w:lineRule="auto"/>
        <w:rPr>
          <w:lang w:eastAsia="fr-FR"/>
        </w:rPr>
      </w:pPr>
      <w:r w:rsidRPr="006122EE">
        <w:rPr>
          <w:lang w:eastAsia="fr-FR"/>
        </w:rPr>
        <w:t xml:space="preserve">To optimise the efficiency of the mass transport system, the design should be based on robust traffic data, particularly the findings of the NTMP. Furthermore, a monitoring mechanism run by the Ministry of Transport should be established to identify and resolve issues on the running routes and to plan the development of new ones. </w:t>
      </w:r>
    </w:p>
    <w:p w14:paraId="08DE105E" w14:textId="77777777" w:rsidR="005F27B0" w:rsidRPr="00866D96" w:rsidRDefault="005F27B0" w:rsidP="00B1153E">
      <w:pPr>
        <w:pStyle w:val="CSubtitle2"/>
        <w:spacing w:line="276" w:lineRule="auto"/>
        <w:rPr>
          <w:noProof w:val="0"/>
          <w:lang w:val="en-GB"/>
        </w:rPr>
      </w:pPr>
      <w:r w:rsidRPr="00866D96">
        <w:rPr>
          <w:noProof w:val="0"/>
          <w:lang w:val="en-GB"/>
        </w:rPr>
        <w:t xml:space="preserve">Funding of the transportation system </w:t>
      </w:r>
    </w:p>
    <w:p w14:paraId="4A26A1CB" w14:textId="77777777" w:rsidR="005F27B0" w:rsidRPr="006122EE" w:rsidRDefault="005F27B0" w:rsidP="00B1153E">
      <w:pPr>
        <w:spacing w:line="276" w:lineRule="auto"/>
      </w:pPr>
      <w:r w:rsidRPr="006122EE">
        <w:t xml:space="preserve">The development of a mass transportation system requires a significant funding even if all transport services in the Malawi are provided by the private sector. The funding will be required for the development of basic infrastructure such as bus stops, road barriers, bus garages etc., and for the system planning, demand projections, fare analysis, etc. While passenger fares will provide a large proportion of the system revenues, additional funding, especially during the start-up years, will be needed and will be requested from: </w:t>
      </w:r>
    </w:p>
    <w:p w14:paraId="4719B2B3" w14:textId="77777777" w:rsidR="005F27B0" w:rsidRPr="00866D96" w:rsidRDefault="005F27B0" w:rsidP="00B1153E">
      <w:pPr>
        <w:pStyle w:val="DBulletlevel1"/>
        <w:spacing w:line="276" w:lineRule="auto"/>
        <w:rPr>
          <w:noProof w:val="0"/>
        </w:rPr>
      </w:pPr>
      <w:r w:rsidRPr="00866D96">
        <w:rPr>
          <w:noProof w:val="0"/>
        </w:rPr>
        <w:t>Mobilising funding from international organisations (e.g. UNIDO, UNEP, EU, World Bank) and individual countries</w:t>
      </w:r>
      <w:r w:rsidR="008E17ED" w:rsidRPr="00866D96">
        <w:rPr>
          <w:noProof w:val="0"/>
        </w:rPr>
        <w:t>.</w:t>
      </w:r>
    </w:p>
    <w:p w14:paraId="3FE96195" w14:textId="77777777" w:rsidR="005F27B0" w:rsidRPr="00866D96" w:rsidRDefault="005F27B0" w:rsidP="00B1153E">
      <w:pPr>
        <w:pStyle w:val="DBulletlevel1"/>
        <w:spacing w:line="276" w:lineRule="auto"/>
        <w:rPr>
          <w:noProof w:val="0"/>
        </w:rPr>
      </w:pPr>
      <w:r w:rsidRPr="00866D96">
        <w:rPr>
          <w:noProof w:val="0"/>
        </w:rPr>
        <w:t>Use of the levy on second-hand vehicles, coupled with an imposition of a levy on fuel sales and highway tolls to supporting mass transit and other transport-related activities</w:t>
      </w:r>
      <w:r w:rsidR="008E17ED" w:rsidRPr="00866D96">
        <w:rPr>
          <w:noProof w:val="0"/>
        </w:rPr>
        <w:t>.</w:t>
      </w:r>
    </w:p>
    <w:p w14:paraId="775161D3" w14:textId="77777777" w:rsidR="005F27B0" w:rsidRPr="00866D96" w:rsidRDefault="005F27B0" w:rsidP="00B1153E">
      <w:pPr>
        <w:pStyle w:val="DBulletlevel1"/>
        <w:spacing w:line="276" w:lineRule="auto"/>
        <w:rPr>
          <w:noProof w:val="0"/>
        </w:rPr>
      </w:pPr>
      <w:r w:rsidRPr="00866D96">
        <w:rPr>
          <w:noProof w:val="0"/>
        </w:rPr>
        <w:t>Reduction of importation taxes of large buses</w:t>
      </w:r>
      <w:r w:rsidR="008E17ED" w:rsidRPr="00866D96">
        <w:rPr>
          <w:noProof w:val="0"/>
        </w:rPr>
        <w:t>.</w:t>
      </w:r>
    </w:p>
    <w:p w14:paraId="0822CD8C" w14:textId="77777777" w:rsidR="005F27B0" w:rsidRPr="00866D96" w:rsidRDefault="005F27B0" w:rsidP="00B1153E">
      <w:pPr>
        <w:pStyle w:val="DBulletlevel1"/>
        <w:spacing w:line="276" w:lineRule="auto"/>
        <w:rPr>
          <w:noProof w:val="0"/>
        </w:rPr>
      </w:pPr>
      <w:r w:rsidRPr="00866D96">
        <w:rPr>
          <w:noProof w:val="0"/>
        </w:rPr>
        <w:t>Direct funding from the state budget and private investors</w:t>
      </w:r>
      <w:r w:rsidR="008E17ED" w:rsidRPr="00866D96">
        <w:rPr>
          <w:noProof w:val="0"/>
        </w:rPr>
        <w:t>.</w:t>
      </w:r>
    </w:p>
    <w:p w14:paraId="3A342AEF" w14:textId="77777777" w:rsidR="005F27B0" w:rsidRPr="00866D96" w:rsidRDefault="005F27B0" w:rsidP="00B1153E">
      <w:pPr>
        <w:pStyle w:val="DBulletlevel1"/>
        <w:spacing w:line="276" w:lineRule="auto"/>
        <w:rPr>
          <w:noProof w:val="0"/>
        </w:rPr>
      </w:pPr>
      <w:r w:rsidRPr="00866D96">
        <w:rPr>
          <w:noProof w:val="0"/>
        </w:rPr>
        <w:t>Provision of concession to associations and other private sector investors</w:t>
      </w:r>
      <w:r w:rsidR="008E17ED" w:rsidRPr="00866D96">
        <w:rPr>
          <w:noProof w:val="0"/>
        </w:rPr>
        <w:t>.</w:t>
      </w:r>
    </w:p>
    <w:p w14:paraId="7E5FD9B4" w14:textId="77777777" w:rsidR="005F27B0" w:rsidRPr="00866D96" w:rsidRDefault="005F27B0" w:rsidP="00B1153E">
      <w:pPr>
        <w:pStyle w:val="DBulletlevel1"/>
        <w:numPr>
          <w:ilvl w:val="0"/>
          <w:numId w:val="0"/>
        </w:numPr>
        <w:spacing w:line="276" w:lineRule="auto"/>
        <w:rPr>
          <w:noProof w:val="0"/>
        </w:rPr>
      </w:pPr>
      <w:r w:rsidRPr="00866D96">
        <w:rPr>
          <w:noProof w:val="0"/>
        </w:rPr>
        <w:t>The development of a mass transport system should be supported by the Transport Sector Investment Programme (TSIP).</w:t>
      </w:r>
      <w:r w:rsidR="00193BC4" w:rsidRPr="00866D96">
        <w:rPr>
          <w:noProof w:val="0"/>
        </w:rPr>
        <w:t xml:space="preserve"> The involv</w:t>
      </w:r>
      <w:r w:rsidR="00AF48CC">
        <w:rPr>
          <w:noProof w:val="0"/>
        </w:rPr>
        <w:t>e</w:t>
      </w:r>
      <w:r w:rsidR="00193BC4" w:rsidRPr="00866D96">
        <w:rPr>
          <w:noProof w:val="0"/>
        </w:rPr>
        <w:t>ment of international investors should also be encouraged, particularly those who have a track record in projects in other developing countries.</w:t>
      </w:r>
    </w:p>
    <w:p w14:paraId="3E2FC826" w14:textId="77777777" w:rsidR="005F27B0" w:rsidRPr="006122EE" w:rsidRDefault="005F27B0" w:rsidP="00B1153E">
      <w:pPr>
        <w:pStyle w:val="Style1"/>
        <w:spacing w:line="276" w:lineRule="auto"/>
      </w:pPr>
      <w:r w:rsidRPr="006122EE">
        <w:t xml:space="preserve">Increase the average fuel efficiency of vehicles </w:t>
      </w:r>
    </w:p>
    <w:p w14:paraId="4A1E3A16" w14:textId="77777777" w:rsidR="005F27B0" w:rsidRPr="006122EE" w:rsidRDefault="005F27B0" w:rsidP="00B1153E">
      <w:pPr>
        <w:spacing w:line="276" w:lineRule="auto"/>
        <w:rPr>
          <w:lang w:eastAsia="en-US"/>
        </w:rPr>
      </w:pPr>
      <w:r w:rsidRPr="006122EE">
        <w:t xml:space="preserve">The fuel efficiency of Malawi’s private vehicle fleet is low due to the old age of the vehicles, poor maintenance and high level of congestion. The priority actions to increase the fuel economy are described below.   </w:t>
      </w:r>
    </w:p>
    <w:p w14:paraId="04A7477F" w14:textId="77777777" w:rsidR="005F27B0" w:rsidRPr="006122EE" w:rsidRDefault="005F27B0" w:rsidP="00B1153E">
      <w:pPr>
        <w:pStyle w:val="CSubtitle2"/>
        <w:spacing w:line="276" w:lineRule="auto"/>
        <w:rPr>
          <w:noProof w:val="0"/>
          <w:lang w:val="en-GB"/>
        </w:rPr>
      </w:pPr>
      <w:r w:rsidRPr="006122EE">
        <w:rPr>
          <w:noProof w:val="0"/>
          <w:lang w:val="en-GB"/>
        </w:rPr>
        <w:t>Use of labels and standards</w:t>
      </w:r>
    </w:p>
    <w:p w14:paraId="206E7D06" w14:textId="77777777" w:rsidR="005F27B0" w:rsidRPr="006122EE" w:rsidRDefault="005F27B0" w:rsidP="00B1153E">
      <w:pPr>
        <w:spacing w:line="276" w:lineRule="auto"/>
      </w:pPr>
      <w:r w:rsidRPr="006122EE">
        <w:t>The integration of EU minimum emission standards for all registered vehicles is an effective priority action that would ensure a significant reduction of fuel consumption and CO</w:t>
      </w:r>
      <w:r w:rsidRPr="006122EE">
        <w:rPr>
          <w:vertAlign w:val="subscript"/>
        </w:rPr>
        <w:t>2</w:t>
      </w:r>
      <w:r w:rsidRPr="006122EE">
        <w:t xml:space="preserve"> emissions. Such standards exist mostly in developed countries, such as the USA, Japan, and the EU and less developed, for example the BRICS (Brazil, Russia, India, China and South Africa) and Mauritius. Emission standards are linked directly to fuel efficiency, as cleaner and more efficient vehicles are promoted in the market. Additional environmental benefits arising from a cleaner environment are added to the financial gains from the fuel savings. </w:t>
      </w:r>
    </w:p>
    <w:p w14:paraId="49BF1743" w14:textId="77777777" w:rsidR="005F27B0" w:rsidRPr="006122EE" w:rsidRDefault="005F27B0" w:rsidP="00B1153E">
      <w:pPr>
        <w:spacing w:line="276" w:lineRule="auto"/>
      </w:pPr>
      <w:r w:rsidRPr="006122EE">
        <w:t xml:space="preserve">An immediate and full harmonisation with the EU standards might not be realistic due to the old age of the country’s fleet. Instead, the adoption of the standards will be implemented gradually, by 2020, by adopting old standards as a first step. </w:t>
      </w:r>
      <w:r w:rsidRPr="006122EE">
        <w:rPr>
          <w:lang w:eastAsia="fr-FR"/>
        </w:rPr>
        <w:t>Further benefits on fuel efficiency will be achieved by reducing the import duty of energy efficient, bi-fuel, dual-fuel and hybrid vehicles.</w:t>
      </w:r>
    </w:p>
    <w:p w14:paraId="42EC3523" w14:textId="77777777" w:rsidR="005F27B0" w:rsidRPr="006122EE" w:rsidRDefault="005F27B0" w:rsidP="00B1153E">
      <w:pPr>
        <w:spacing w:line="276" w:lineRule="auto"/>
        <w:rPr>
          <w:bCs/>
          <w:color w:val="auto"/>
          <w:lang w:eastAsia="en-US"/>
        </w:rPr>
      </w:pPr>
      <w:r w:rsidRPr="006122EE">
        <w:t xml:space="preserve">The Ministry of Transport and Public Works (MoTPW) should be responsible for the adoption of the standards and the Road Traffic Directorate should use them to ban vehicles that do not fulfil them. The imposition of standards will be coupled with </w:t>
      </w:r>
      <w:r w:rsidRPr="006122EE">
        <w:rPr>
          <w:bCs/>
          <w:color w:val="auto"/>
          <w:lang w:eastAsia="en-US"/>
        </w:rPr>
        <w:t xml:space="preserve">strengthening the capacity of competent authorities to measure and monitor vehicle emissions. </w:t>
      </w:r>
    </w:p>
    <w:p w14:paraId="7ABF6AB6" w14:textId="77777777" w:rsidR="005F27B0" w:rsidRPr="006122EE" w:rsidRDefault="005F27B0" w:rsidP="00B1153E">
      <w:pPr>
        <w:pStyle w:val="DBulletlevel1"/>
        <w:numPr>
          <w:ilvl w:val="0"/>
          <w:numId w:val="0"/>
        </w:numPr>
        <w:spacing w:line="276" w:lineRule="auto"/>
        <w:rPr>
          <w:noProof w:val="0"/>
        </w:rPr>
      </w:pPr>
      <w:r w:rsidRPr="00866D96">
        <w:rPr>
          <w:noProof w:val="0"/>
        </w:rPr>
        <w:t>The use of labels and standards should be coupled with the strengthening of the import law that charges higher levies for older vehicles and larger engines. This levy should be variable and its level should depends on the age and size of the engine of the vehicle</w:t>
      </w:r>
      <w:r w:rsidRPr="00866D96">
        <w:rPr>
          <w:rStyle w:val="FootnoteReference"/>
          <w:noProof w:val="0"/>
          <w:lang w:eastAsia="en-US"/>
        </w:rPr>
        <w:footnoteReference w:id="92"/>
      </w:r>
      <w:r w:rsidRPr="00866D96">
        <w:rPr>
          <w:noProof w:val="0"/>
        </w:rPr>
        <w:t>.</w:t>
      </w:r>
    </w:p>
    <w:p w14:paraId="1C6DB0A5" w14:textId="77777777" w:rsidR="005F27B0" w:rsidRPr="006122EE" w:rsidRDefault="005F27B0" w:rsidP="00B1153E">
      <w:pPr>
        <w:pStyle w:val="CSubtitle2"/>
        <w:spacing w:line="276" w:lineRule="auto"/>
        <w:rPr>
          <w:noProof w:val="0"/>
          <w:lang w:val="en-GB"/>
        </w:rPr>
      </w:pPr>
      <w:r w:rsidRPr="006122EE">
        <w:rPr>
          <w:noProof w:val="0"/>
          <w:lang w:val="en-GB"/>
        </w:rPr>
        <w:t>Promote appropriate car maintenance</w:t>
      </w:r>
    </w:p>
    <w:p w14:paraId="371E6C67" w14:textId="77777777" w:rsidR="005F27B0" w:rsidRPr="006122EE" w:rsidRDefault="00A66CA0" w:rsidP="00B1153E">
      <w:pPr>
        <w:spacing w:line="276" w:lineRule="auto"/>
        <w:rPr>
          <w:lang w:eastAsia="fr-FR"/>
        </w:rPr>
      </w:pPr>
      <w:r w:rsidRPr="006122EE">
        <w:rPr>
          <w:lang w:eastAsia="fr-FR"/>
        </w:rPr>
        <w:t>The enforcement of</w:t>
      </w:r>
      <w:r w:rsidR="005F27B0" w:rsidRPr="006122EE">
        <w:rPr>
          <w:lang w:eastAsia="fr-FR"/>
        </w:rPr>
        <w:t xml:space="preserve"> vehicle inspection rules to ensure motor vehicles are well-maintained is crucial in order to reduce pollution and fuel consumption. Currently</w:t>
      </w:r>
      <w:r w:rsidRPr="006122EE">
        <w:rPr>
          <w:lang w:eastAsia="fr-FR"/>
        </w:rPr>
        <w:t>,</w:t>
      </w:r>
      <w:r w:rsidR="005F27B0" w:rsidRPr="006122EE">
        <w:rPr>
          <w:lang w:eastAsia="fr-FR"/>
        </w:rPr>
        <w:t xml:space="preserve"> there is a lack of control over vehicle maintenance standards, which leads to further deterioration of the performance of the vehicle. To this end, by 2018 the capacity of the </w:t>
      </w:r>
      <w:r w:rsidR="005F27B0" w:rsidRPr="006122EE">
        <w:t>MoTPW</w:t>
      </w:r>
      <w:r w:rsidR="005F27B0" w:rsidRPr="006122EE">
        <w:rPr>
          <w:lang w:eastAsia="fr-FR"/>
        </w:rPr>
        <w:t xml:space="preserve"> should be enforced. </w:t>
      </w:r>
      <w:r w:rsidRPr="006122EE">
        <w:rPr>
          <w:lang w:eastAsia="fr-FR"/>
        </w:rPr>
        <w:t xml:space="preserve">Inspections should be mandatory on a periodic basis. Inspection stickers that cannot be counterfeited should be </w:t>
      </w:r>
      <w:r w:rsidR="0087073E" w:rsidRPr="006122EE">
        <w:rPr>
          <w:lang w:eastAsia="fr-FR"/>
        </w:rPr>
        <w:t>af</w:t>
      </w:r>
      <w:r w:rsidRPr="006122EE">
        <w:rPr>
          <w:lang w:eastAsia="fr-FR"/>
        </w:rPr>
        <w:t xml:space="preserve">fixed to each vehicle after it has passed inspection. </w:t>
      </w:r>
    </w:p>
    <w:p w14:paraId="253189AE" w14:textId="77777777" w:rsidR="005F27B0" w:rsidRPr="006122EE" w:rsidRDefault="005F27B0" w:rsidP="00B1153E">
      <w:pPr>
        <w:spacing w:line="276" w:lineRule="auto"/>
        <w:rPr>
          <w:bCs/>
          <w:color w:val="auto"/>
          <w:lang w:eastAsia="en-US"/>
        </w:rPr>
      </w:pPr>
      <w:r w:rsidRPr="006122EE">
        <w:rPr>
          <w:lang w:eastAsia="fr-FR"/>
        </w:rPr>
        <w:t>The responsible body for the a</w:t>
      </w:r>
      <w:r w:rsidR="00A66CA0" w:rsidRPr="006122EE">
        <w:rPr>
          <w:lang w:eastAsia="fr-FR"/>
        </w:rPr>
        <w:t>doption of this measure is the transport ministry</w:t>
      </w:r>
      <w:r w:rsidRPr="006122EE">
        <w:rPr>
          <w:lang w:eastAsia="fr-FR"/>
        </w:rPr>
        <w:t xml:space="preserve">. </w:t>
      </w:r>
      <w:r w:rsidRPr="006122EE">
        <w:rPr>
          <w:bCs/>
          <w:color w:val="auto"/>
          <w:lang w:eastAsia="en-US"/>
        </w:rPr>
        <w:t xml:space="preserve">The funds can be collected through tollgate fees and fines. </w:t>
      </w:r>
    </w:p>
    <w:p w14:paraId="787B9F04" w14:textId="77777777" w:rsidR="005F27B0" w:rsidRPr="00866D96" w:rsidRDefault="005F27B0" w:rsidP="00B1153E">
      <w:pPr>
        <w:pStyle w:val="CSubtitle2"/>
        <w:spacing w:line="276" w:lineRule="auto"/>
        <w:rPr>
          <w:noProof w:val="0"/>
          <w:color w:val="3C8A2E"/>
          <w:lang w:val="en-GB"/>
        </w:rPr>
      </w:pPr>
      <w:r w:rsidRPr="006122EE">
        <w:rPr>
          <w:noProof w:val="0"/>
          <w:lang w:val="en-GB"/>
        </w:rPr>
        <w:t>Improve road capacity and maintenance</w:t>
      </w:r>
    </w:p>
    <w:p w14:paraId="39904F3E" w14:textId="77777777" w:rsidR="005F27B0" w:rsidRPr="006122EE" w:rsidRDefault="005F27B0" w:rsidP="00B1153E">
      <w:pPr>
        <w:spacing w:line="276" w:lineRule="auto"/>
        <w:rPr>
          <w:color w:val="000000"/>
          <w:lang w:eastAsia="fr-FR"/>
        </w:rPr>
      </w:pPr>
      <w:r w:rsidRPr="006122EE">
        <w:rPr>
          <w:lang w:eastAsia="fr-FR"/>
        </w:rPr>
        <w:t>The poor condition of the urban roads, increases congestion. In parallel, the planning and design of roads, does not allow a future expansion of the roads to accommodate the increasing traffic. As also stipulated in the NTP, the design of the residential areas should accommodate the provision of adequate infrastructure. Such design should not only include roads, but also parking, pavements (i.e. to prevent pedestrians walking on the street) and ring roads to lower the congestion levels, especially in the Central Business District (CBD) areas.</w:t>
      </w:r>
    </w:p>
    <w:p w14:paraId="703CE1DA" w14:textId="77777777" w:rsidR="005F27B0" w:rsidRPr="00866D96" w:rsidRDefault="005F27B0" w:rsidP="00B1153E">
      <w:pPr>
        <w:pStyle w:val="CSubtitle2"/>
        <w:spacing w:line="276" w:lineRule="auto"/>
        <w:rPr>
          <w:noProof w:val="0"/>
          <w:lang w:val="en-GB"/>
        </w:rPr>
      </w:pPr>
      <w:r w:rsidRPr="00866D96">
        <w:rPr>
          <w:noProof w:val="0"/>
          <w:lang w:val="en-GB"/>
        </w:rPr>
        <w:t xml:space="preserve">Develop urban and suburban rail transportation system </w:t>
      </w:r>
    </w:p>
    <w:p w14:paraId="6AB14A59" w14:textId="77777777" w:rsidR="005F27B0" w:rsidRPr="006122EE" w:rsidRDefault="005F27B0" w:rsidP="00B1153E">
      <w:pPr>
        <w:spacing w:line="276" w:lineRule="auto"/>
        <w:rPr>
          <w:lang w:eastAsia="fr-FR"/>
        </w:rPr>
      </w:pPr>
      <w:r w:rsidRPr="006122EE">
        <w:rPr>
          <w:lang w:eastAsia="fr-FR"/>
        </w:rPr>
        <w:t xml:space="preserve">The possibility of reintroducing rail passenger transportation for urban and suburban transportation should be assessed. The railways which are currently crossing parts of Lilongwe and Blantyre could be extended to introduce passenger carriages. The introduction of a metro system would have the highest benefits especially in terms of decongesting heavily dense areas but the cost would be excessively high. </w:t>
      </w:r>
    </w:p>
    <w:p w14:paraId="2E7E36BD" w14:textId="77777777" w:rsidR="005F27B0" w:rsidRPr="006122EE" w:rsidRDefault="005F27B0" w:rsidP="00B1153E">
      <w:pPr>
        <w:spacing w:line="276" w:lineRule="auto"/>
        <w:rPr>
          <w:lang w:eastAsia="fr-FR"/>
        </w:rPr>
      </w:pPr>
      <w:r w:rsidRPr="006122EE">
        <w:rPr>
          <w:lang w:eastAsia="fr-FR"/>
        </w:rPr>
        <w:t>The use of rail transport for long-distance movement of freight and passengers is generally more energy efficient than the alternatives (e.g. trucks, buses, cars, airplanes). By 2020, the possibility of upgrading the rail passenger transportation system for urban and suburban transportation should be assessed, both from a technical and economic perspective. Fares and ridership would have to be high enough to cover at least the operating costs, if not a share of the capital costs as well. The best course of action will likely be to concentrate on establishing an efficient bus-based mass transit system in the largest cities, and then only consider light rail for the bus corridors with the greatest ridership.</w:t>
      </w:r>
    </w:p>
    <w:p w14:paraId="3B06B48C" w14:textId="77777777" w:rsidR="005F27B0" w:rsidRPr="006122EE" w:rsidRDefault="005F27B0" w:rsidP="00B1153E">
      <w:pPr>
        <w:pStyle w:val="Style1"/>
        <w:spacing w:line="276" w:lineRule="auto"/>
      </w:pPr>
      <w:r w:rsidRPr="006122EE">
        <w:t xml:space="preserve">Support the development of non-motorised transport </w:t>
      </w:r>
    </w:p>
    <w:p w14:paraId="0B492811" w14:textId="77777777" w:rsidR="005F27B0" w:rsidRPr="006122EE" w:rsidRDefault="005F27B0" w:rsidP="00B1153E">
      <w:pPr>
        <w:spacing w:line="276" w:lineRule="auto"/>
      </w:pPr>
      <w:r w:rsidRPr="006122EE">
        <w:t xml:space="preserve">The development of non-motorised transport </w:t>
      </w:r>
      <w:r w:rsidRPr="006122EE">
        <w:rPr>
          <w:lang w:eastAsia="fr-FR"/>
        </w:rPr>
        <w:tab/>
      </w:r>
      <w:r w:rsidRPr="006122EE">
        <w:rPr>
          <w:lang w:eastAsia="fr-FR"/>
        </w:rPr>
        <w:tab/>
      </w:r>
      <w:r w:rsidRPr="006122EE">
        <w:rPr>
          <w:lang w:eastAsia="fr-FR"/>
        </w:rPr>
        <w:tab/>
      </w:r>
      <w:r w:rsidRPr="006122EE">
        <w:rPr>
          <w:lang w:eastAsia="fr-FR"/>
        </w:rPr>
        <w:tab/>
        <w:t xml:space="preserve">covers the following two modes of transportation is focused on the increased use of </w:t>
      </w:r>
      <w:r w:rsidRPr="006122EE">
        <w:t>bikes and short-haul bikes. A higher use of non-motorised should be established by 2025, through the following:</w:t>
      </w:r>
    </w:p>
    <w:p w14:paraId="1092D96A" w14:textId="77777777" w:rsidR="005F27B0" w:rsidRPr="00866D96" w:rsidRDefault="005F27B0" w:rsidP="00B1153E">
      <w:pPr>
        <w:pStyle w:val="DBulletlevel1"/>
        <w:spacing w:line="276" w:lineRule="auto"/>
        <w:rPr>
          <w:noProof w:val="0"/>
        </w:rPr>
      </w:pPr>
      <w:r w:rsidRPr="00866D96">
        <w:rPr>
          <w:noProof w:val="0"/>
        </w:rPr>
        <w:t>Increase the safety of their use through the development of bike lanes (also stipulated by the NTP)</w:t>
      </w:r>
      <w:r w:rsidR="008E17ED" w:rsidRPr="00866D96">
        <w:rPr>
          <w:noProof w:val="0"/>
        </w:rPr>
        <w:t>.</w:t>
      </w:r>
    </w:p>
    <w:p w14:paraId="6CAB64B0" w14:textId="77777777" w:rsidR="005F27B0" w:rsidRPr="00866D96" w:rsidRDefault="005F27B0" w:rsidP="00B1153E">
      <w:pPr>
        <w:pStyle w:val="DBulletlevel1"/>
        <w:spacing w:line="276" w:lineRule="auto"/>
        <w:rPr>
          <w:noProof w:val="0"/>
        </w:rPr>
      </w:pPr>
      <w:r w:rsidRPr="00866D96">
        <w:rPr>
          <w:noProof w:val="0"/>
        </w:rPr>
        <w:t>Raise awareness by establishing a bicycle commuting campaign to increase the social acceptability of the biking</w:t>
      </w:r>
      <w:r w:rsidR="008E17ED" w:rsidRPr="00866D96">
        <w:rPr>
          <w:noProof w:val="0"/>
        </w:rPr>
        <w:t>.</w:t>
      </w:r>
    </w:p>
    <w:p w14:paraId="0642A216" w14:textId="77777777" w:rsidR="005F27B0" w:rsidRPr="00866D96" w:rsidRDefault="005F27B0" w:rsidP="00B1153E">
      <w:pPr>
        <w:pStyle w:val="DBulletlevel1"/>
        <w:spacing w:line="276" w:lineRule="auto"/>
        <w:rPr>
          <w:noProof w:val="0"/>
        </w:rPr>
      </w:pPr>
      <w:r w:rsidRPr="00866D96">
        <w:rPr>
          <w:noProof w:val="0"/>
        </w:rPr>
        <w:t>Establish bikeshare programs (e.g. as the scheme currently in development in Johannesburg)</w:t>
      </w:r>
      <w:r w:rsidR="008E17ED" w:rsidRPr="00866D96">
        <w:rPr>
          <w:noProof w:val="0"/>
        </w:rPr>
        <w:t>.</w:t>
      </w:r>
    </w:p>
    <w:p w14:paraId="4550DA11" w14:textId="77777777" w:rsidR="005F27B0" w:rsidRPr="00866D96" w:rsidRDefault="005F27B0" w:rsidP="00B1153E">
      <w:pPr>
        <w:pStyle w:val="DBulletlevel1"/>
        <w:spacing w:line="276" w:lineRule="auto"/>
        <w:rPr>
          <w:noProof w:val="0"/>
        </w:rPr>
      </w:pPr>
      <w:r w:rsidRPr="00866D96">
        <w:rPr>
          <w:noProof w:val="0"/>
        </w:rPr>
        <w:t>Provide incentives to employers for bicycle commuting (starting with national and municipal governments</w:t>
      </w:r>
      <w:r w:rsidR="008E17ED" w:rsidRPr="00866D96">
        <w:rPr>
          <w:noProof w:val="0"/>
        </w:rPr>
        <w:t>).</w:t>
      </w:r>
    </w:p>
    <w:p w14:paraId="49CAA13B" w14:textId="77777777" w:rsidR="005F27B0" w:rsidRPr="00866D96" w:rsidRDefault="005F27B0" w:rsidP="00B1153E">
      <w:pPr>
        <w:pStyle w:val="DBulletlevel1"/>
        <w:spacing w:line="276" w:lineRule="auto"/>
        <w:rPr>
          <w:noProof w:val="0"/>
        </w:rPr>
      </w:pPr>
      <w:r w:rsidRPr="00866D96">
        <w:rPr>
          <w:noProof w:val="0"/>
        </w:rPr>
        <w:t>Provide secure bicycle parking</w:t>
      </w:r>
      <w:r w:rsidR="008E17ED" w:rsidRPr="00866D96">
        <w:rPr>
          <w:noProof w:val="0"/>
        </w:rPr>
        <w:t>.</w:t>
      </w:r>
    </w:p>
    <w:p w14:paraId="7D983337" w14:textId="77777777" w:rsidR="005F27B0" w:rsidRPr="006122EE" w:rsidRDefault="005F27B0" w:rsidP="00B1153E">
      <w:pPr>
        <w:spacing w:line="276" w:lineRule="auto"/>
      </w:pPr>
      <w:r w:rsidRPr="006122EE">
        <w:t>The responsible body for the adoption of measures for an increased use of non-motorised transport is the Ministry of Transport. At the local level, a bicycle office with a staff person in each municipal government should be established to initiate and coordinate the above activities.</w:t>
      </w:r>
    </w:p>
    <w:p w14:paraId="52F1BC91" w14:textId="77777777" w:rsidR="005F27B0" w:rsidRPr="006122EE" w:rsidRDefault="005F27B0" w:rsidP="00B1153E">
      <w:pPr>
        <w:pStyle w:val="Style1"/>
        <w:spacing w:line="276" w:lineRule="auto"/>
      </w:pPr>
      <w:r w:rsidRPr="006122EE">
        <w:rPr>
          <w:lang w:eastAsia="en-US"/>
        </w:rPr>
        <w:t xml:space="preserve">Establish </w:t>
      </w:r>
      <w:r w:rsidRPr="006122EE">
        <w:t xml:space="preserve">Travel Demand Management </w:t>
      </w:r>
    </w:p>
    <w:p w14:paraId="1EDBDC9F" w14:textId="77777777" w:rsidR="005F27B0" w:rsidRPr="006122EE" w:rsidRDefault="005F27B0" w:rsidP="00B1153E">
      <w:pPr>
        <w:spacing w:line="276" w:lineRule="auto"/>
        <w:rPr>
          <w:lang w:eastAsia="fr-FR"/>
        </w:rPr>
      </w:pPr>
      <w:r w:rsidRPr="006122EE">
        <w:rPr>
          <w:lang w:eastAsia="fr-FR"/>
        </w:rPr>
        <w:t>This category of measures refers to action that affect both directly and indirectly the demand of transportation. These actions aim to shift citizens towards the use of public transportation and at the same time minimise the need for travel. They are in line with the NTP which calls for the development of an appropriate traffic management and suitable urban planning and design.</w:t>
      </w:r>
    </w:p>
    <w:p w14:paraId="73AB8059" w14:textId="77777777" w:rsidR="005F27B0" w:rsidRPr="00866D96" w:rsidRDefault="005F27B0" w:rsidP="00B1153E">
      <w:pPr>
        <w:pStyle w:val="CSubtitle2"/>
        <w:spacing w:line="276" w:lineRule="auto"/>
        <w:rPr>
          <w:noProof w:val="0"/>
          <w:lang w:val="en-GB"/>
        </w:rPr>
      </w:pPr>
      <w:r w:rsidRPr="00866D96">
        <w:rPr>
          <w:noProof w:val="0"/>
          <w:lang w:val="en-GB"/>
        </w:rPr>
        <w:t>Land use planning policies</w:t>
      </w:r>
    </w:p>
    <w:p w14:paraId="1567C634" w14:textId="77777777" w:rsidR="005F27B0" w:rsidRPr="006122EE" w:rsidRDefault="005F27B0" w:rsidP="00B1153E">
      <w:pPr>
        <w:spacing w:line="276" w:lineRule="auto"/>
        <w:rPr>
          <w:lang w:eastAsia="fr-FR"/>
        </w:rPr>
      </w:pPr>
      <w:r w:rsidRPr="006122EE">
        <w:rPr>
          <w:lang w:eastAsia="fr-FR"/>
        </w:rPr>
        <w:t>Currently, land use planning does not facilitate local economic development by reducing trips and making these trips more energy efficient. Transport land use integration is a Travel Demand Management tool that should be implemented to achieve urban transport sustainability. Effective transport land use integration minimises travel costs and reduces congestion as the number of vehicles travelling to the central commercial areas are reduced. Specifically, the following actions should be undertaken by 2020:</w:t>
      </w:r>
    </w:p>
    <w:p w14:paraId="492B73B6" w14:textId="77777777" w:rsidR="005F27B0" w:rsidRPr="00866D96" w:rsidRDefault="005F27B0" w:rsidP="00B1153E">
      <w:pPr>
        <w:pStyle w:val="DBulletlevel1"/>
        <w:spacing w:line="276" w:lineRule="auto"/>
        <w:rPr>
          <w:noProof w:val="0"/>
        </w:rPr>
      </w:pPr>
      <w:r w:rsidRPr="00866D96">
        <w:rPr>
          <w:noProof w:val="0"/>
        </w:rPr>
        <w:t>Local authorities need to implement land use planning policies that integrate residential and employment areas to minimise the need for transport</w:t>
      </w:r>
      <w:r w:rsidR="008E17ED" w:rsidRPr="00866D96">
        <w:rPr>
          <w:noProof w:val="0"/>
        </w:rPr>
        <w:t>.</w:t>
      </w:r>
    </w:p>
    <w:p w14:paraId="2302D726" w14:textId="77777777" w:rsidR="005F27B0" w:rsidRPr="00866D96" w:rsidRDefault="005F27B0" w:rsidP="00B1153E">
      <w:pPr>
        <w:pStyle w:val="DBulletlevel1"/>
        <w:spacing w:line="276" w:lineRule="auto"/>
        <w:rPr>
          <w:noProof w:val="0"/>
        </w:rPr>
      </w:pPr>
      <w:r w:rsidRPr="00866D96">
        <w:rPr>
          <w:noProof w:val="0"/>
        </w:rPr>
        <w:t>High density, mixed use development: cities to undertake short, medium and long term urban transport planning as an integrated element of the overall city planning</w:t>
      </w:r>
      <w:r w:rsidR="008E17ED" w:rsidRPr="00866D96">
        <w:rPr>
          <w:noProof w:val="0"/>
        </w:rPr>
        <w:t>.</w:t>
      </w:r>
    </w:p>
    <w:p w14:paraId="3F0491F7" w14:textId="77777777" w:rsidR="005F27B0" w:rsidRPr="00866D96" w:rsidRDefault="005F27B0" w:rsidP="00B1153E">
      <w:pPr>
        <w:pStyle w:val="DBulletlevel1"/>
        <w:spacing w:line="276" w:lineRule="auto"/>
        <w:rPr>
          <w:noProof w:val="0"/>
        </w:rPr>
      </w:pPr>
      <w:r w:rsidRPr="00866D96">
        <w:rPr>
          <w:noProof w:val="0"/>
        </w:rPr>
        <w:t>Strengthen the capacity of competent authorities to meet the needs of technical and non-technical skills for the consideration of transportation in land use planning, including on the areas of climate resilient transport planning and infrastructure</w:t>
      </w:r>
      <w:r w:rsidR="008E17ED" w:rsidRPr="00866D96">
        <w:rPr>
          <w:noProof w:val="0"/>
        </w:rPr>
        <w:t>.</w:t>
      </w:r>
    </w:p>
    <w:p w14:paraId="2D607D4F" w14:textId="77777777" w:rsidR="005F27B0" w:rsidRPr="006122EE" w:rsidRDefault="005F27B0" w:rsidP="00B1153E">
      <w:pPr>
        <w:pStyle w:val="CSubtitle2"/>
        <w:spacing w:line="276" w:lineRule="auto"/>
        <w:rPr>
          <w:noProof w:val="0"/>
          <w:lang w:val="en-GB"/>
        </w:rPr>
      </w:pPr>
      <w:r w:rsidRPr="006122EE">
        <w:rPr>
          <w:noProof w:val="0"/>
          <w:lang w:val="en-GB"/>
        </w:rPr>
        <w:t>Improve efficiency of traffic flow</w:t>
      </w:r>
    </w:p>
    <w:p w14:paraId="69B40B99" w14:textId="77777777" w:rsidR="005F27B0" w:rsidRPr="006122EE" w:rsidRDefault="005F27B0" w:rsidP="00B1153E">
      <w:pPr>
        <w:spacing w:line="276" w:lineRule="auto"/>
        <w:rPr>
          <w:lang w:eastAsia="fr-FR"/>
        </w:rPr>
      </w:pPr>
      <w:r w:rsidRPr="006122EE">
        <w:rPr>
          <w:lang w:eastAsia="fr-FR"/>
        </w:rPr>
        <w:t xml:space="preserve">Improved traffic flow reduces idling time and increases energy efficiency. Traffic flow can be enhanced through a range of measures, from synchronized traffic lights to staggered working hours. These measures, some of which are specified in the NTP, include the following: </w:t>
      </w:r>
    </w:p>
    <w:p w14:paraId="3B2DECDC" w14:textId="77777777" w:rsidR="008E69B8" w:rsidRPr="00866D96" w:rsidRDefault="008E69B8" w:rsidP="00B1153E">
      <w:pPr>
        <w:pStyle w:val="DBulletlevel1"/>
        <w:spacing w:line="276" w:lineRule="auto"/>
        <w:rPr>
          <w:noProof w:val="0"/>
        </w:rPr>
      </w:pPr>
      <w:r w:rsidRPr="00866D96">
        <w:rPr>
          <w:noProof w:val="0"/>
        </w:rPr>
        <w:t>Support the development of non-motorized transport.</w:t>
      </w:r>
    </w:p>
    <w:p w14:paraId="6BE48C8F" w14:textId="77777777" w:rsidR="008E69B8" w:rsidRPr="00866D96" w:rsidRDefault="008E69B8" w:rsidP="00B1153E">
      <w:pPr>
        <w:pStyle w:val="DBulletlevel1"/>
        <w:spacing w:line="276" w:lineRule="auto"/>
        <w:rPr>
          <w:noProof w:val="0"/>
        </w:rPr>
      </w:pPr>
      <w:r w:rsidRPr="00866D96">
        <w:rPr>
          <w:noProof w:val="0"/>
        </w:rPr>
        <w:t>Parking supply restrictions: This can be achieved either by limiting the physical supply of parking space in the central area or charging parking space to discourage private vehicles entering the central business district.</w:t>
      </w:r>
    </w:p>
    <w:p w14:paraId="39F14595" w14:textId="77777777" w:rsidR="008E69B8" w:rsidRPr="00866D96" w:rsidRDefault="008E69B8" w:rsidP="00B1153E">
      <w:pPr>
        <w:pStyle w:val="DBulletlevel1"/>
        <w:spacing w:line="276" w:lineRule="auto"/>
        <w:rPr>
          <w:noProof w:val="0"/>
        </w:rPr>
      </w:pPr>
      <w:r w:rsidRPr="00866D96">
        <w:rPr>
          <w:noProof w:val="0"/>
        </w:rPr>
        <w:t>Develop synchronised traffic signals: intelligent traffic light control algorithm (“Adaptive Traffic Control system”) that works on GPS and other data (pilots in Johannesburg).</w:t>
      </w:r>
    </w:p>
    <w:p w14:paraId="780733E0" w14:textId="77777777" w:rsidR="008E69B8" w:rsidRPr="00866D96" w:rsidRDefault="008E69B8" w:rsidP="00B1153E">
      <w:pPr>
        <w:pStyle w:val="DBulletlevel1"/>
        <w:spacing w:line="276" w:lineRule="auto"/>
        <w:rPr>
          <w:noProof w:val="0"/>
        </w:rPr>
      </w:pPr>
      <w:r w:rsidRPr="00866D96">
        <w:rPr>
          <w:noProof w:val="0"/>
        </w:rPr>
        <w:t xml:space="preserve">Integrate traffic flow concerns in land use planning, by preventing heavy vehicles in densely populated areas, promote mixed use planning to minimise the need of traffic, plan for pedestrians and street vendors to minimise conflict with vehicular traffic etc. </w:t>
      </w:r>
    </w:p>
    <w:p w14:paraId="475E14E8" w14:textId="77777777" w:rsidR="008E69B8" w:rsidRPr="00866D96" w:rsidRDefault="008E69B8" w:rsidP="00B1153E">
      <w:pPr>
        <w:pStyle w:val="DBulletlevel1"/>
        <w:spacing w:line="276" w:lineRule="auto"/>
        <w:rPr>
          <w:noProof w:val="0"/>
        </w:rPr>
      </w:pPr>
      <w:r w:rsidRPr="00866D96">
        <w:rPr>
          <w:noProof w:val="0"/>
        </w:rPr>
        <w:t>Promote Eco-driving: smarter and more fuel-efficient driving techniques.</w:t>
      </w:r>
    </w:p>
    <w:p w14:paraId="7F54DDEC" w14:textId="77777777" w:rsidR="008E69B8" w:rsidRPr="00866D96" w:rsidRDefault="008E69B8" w:rsidP="00B1153E">
      <w:pPr>
        <w:pStyle w:val="DBulletlevel1"/>
        <w:spacing w:line="276" w:lineRule="auto"/>
        <w:rPr>
          <w:noProof w:val="0"/>
        </w:rPr>
      </w:pPr>
      <w:r w:rsidRPr="00866D96">
        <w:rPr>
          <w:noProof w:val="0"/>
        </w:rPr>
        <w:t>Embark on awareness campaigns on the benefits of public transportation, non-motorised transport and other aspects of sustainable transportation.</w:t>
      </w:r>
    </w:p>
    <w:p w14:paraId="75D2982C" w14:textId="77777777" w:rsidR="005F27B0" w:rsidRPr="006122EE" w:rsidRDefault="005F27B0" w:rsidP="00B1153E">
      <w:pPr>
        <w:pStyle w:val="CSubtitle2"/>
        <w:spacing w:line="276" w:lineRule="auto"/>
        <w:rPr>
          <w:noProof w:val="0"/>
          <w:color w:val="3C8A2E"/>
          <w:lang w:val="en-GB"/>
        </w:rPr>
      </w:pPr>
      <w:r w:rsidRPr="006122EE">
        <w:rPr>
          <w:noProof w:val="0"/>
          <w:color w:val="3C8A2E"/>
          <w:lang w:val="en-GB"/>
        </w:rPr>
        <w:t xml:space="preserve">Capacity building, education and raising awareness </w:t>
      </w:r>
    </w:p>
    <w:p w14:paraId="2B24D07D" w14:textId="77777777" w:rsidR="005F27B0" w:rsidRPr="006122EE" w:rsidRDefault="005F27B0" w:rsidP="00B1153E">
      <w:pPr>
        <w:spacing w:line="276" w:lineRule="auto"/>
        <w:rPr>
          <w:lang w:eastAsia="en-US"/>
        </w:rPr>
      </w:pPr>
      <w:r w:rsidRPr="006122EE">
        <w:rPr>
          <w:lang w:eastAsia="en-US"/>
        </w:rPr>
        <w:t xml:space="preserve">The planning and implementation of measures to increase the fuel-efficiency of transportation will be enhanced if coupled with educational and awareness raising actions. Such actions should be continuous and targeted both at decision-makers and the society as a whole. By 2018, the following actions should be promoted by the </w:t>
      </w:r>
      <w:r w:rsidRPr="006122EE">
        <w:t>MoTPW in collaboration with other members of Urban Transportation Coordinating Committee</w:t>
      </w:r>
      <w:r w:rsidRPr="006122EE">
        <w:rPr>
          <w:lang w:eastAsia="en-US"/>
        </w:rPr>
        <w:t>:</w:t>
      </w:r>
    </w:p>
    <w:p w14:paraId="3E5F12AB" w14:textId="77777777" w:rsidR="005F27B0" w:rsidRPr="00866D96" w:rsidRDefault="005F27B0" w:rsidP="00B1153E">
      <w:pPr>
        <w:pStyle w:val="DBulletlevel1"/>
        <w:spacing w:line="276" w:lineRule="auto"/>
        <w:rPr>
          <w:noProof w:val="0"/>
        </w:rPr>
      </w:pPr>
      <w:r w:rsidRPr="00866D96">
        <w:rPr>
          <w:noProof w:val="0"/>
        </w:rPr>
        <w:t>Promote eco-driving: smarter and more fuel-efficient driving techniques and culture that are fuel efficient;</w:t>
      </w:r>
    </w:p>
    <w:p w14:paraId="605BF9FE" w14:textId="77777777" w:rsidR="005F27B0" w:rsidRPr="00866D96" w:rsidRDefault="005F27B0" w:rsidP="00B1153E">
      <w:pPr>
        <w:pStyle w:val="DBulletlevel1"/>
        <w:spacing w:line="276" w:lineRule="auto"/>
        <w:rPr>
          <w:noProof w:val="0"/>
        </w:rPr>
      </w:pPr>
      <w:r w:rsidRPr="00866D96">
        <w:rPr>
          <w:noProof w:val="0"/>
        </w:rPr>
        <w:t>Embark on awareness campaigns on the benefits of public transportation, non-motorised transport and other aspects of sustainable transportation;</w:t>
      </w:r>
    </w:p>
    <w:p w14:paraId="4392773D" w14:textId="77777777" w:rsidR="00A8593C" w:rsidRPr="00866D96" w:rsidRDefault="005F27B0" w:rsidP="00B1153E">
      <w:pPr>
        <w:pStyle w:val="DBulletlevel1"/>
        <w:spacing w:line="276" w:lineRule="auto"/>
        <w:rPr>
          <w:noProof w:val="0"/>
        </w:rPr>
      </w:pPr>
      <w:r w:rsidRPr="00866D96">
        <w:rPr>
          <w:noProof w:val="0"/>
        </w:rPr>
        <w:t>As stipulated by the NTP,</w:t>
      </w:r>
      <w:r w:rsidR="00AF48CC">
        <w:rPr>
          <w:noProof w:val="0"/>
        </w:rPr>
        <w:t xml:space="preserve"> </w:t>
      </w:r>
      <w:r w:rsidRPr="00866D96">
        <w:rPr>
          <w:noProof w:val="0"/>
        </w:rPr>
        <w:t xml:space="preserve">strengthen the capacity of competent authorities to meet the needs of technical and non-technical skills, including on the areas of climate resilient transport planning and infrastructure. The possibility to establish training programmes for capacity </w:t>
      </w:r>
      <w:r w:rsidR="00AF48CC" w:rsidRPr="006122EE">
        <w:rPr>
          <w:noProof w:val="0"/>
        </w:rPr>
        <w:t>building</w:t>
      </w:r>
      <w:r w:rsidRPr="00866D96">
        <w:rPr>
          <w:noProof w:val="0"/>
        </w:rPr>
        <w:t xml:space="preserve"> in the private service providers should be also envisaged.</w:t>
      </w:r>
    </w:p>
    <w:p w14:paraId="64F54390" w14:textId="77777777" w:rsidR="005F27B0" w:rsidRPr="006122EE" w:rsidRDefault="005F27B0" w:rsidP="00B1153E">
      <w:pPr>
        <w:pStyle w:val="BTitle3"/>
        <w:spacing w:line="276" w:lineRule="auto"/>
        <w:rPr>
          <w:noProof w:val="0"/>
          <w:lang w:val="en-GB"/>
        </w:rPr>
      </w:pPr>
      <w:bookmarkStart w:id="548" w:name="_Toc470117780"/>
      <w:bookmarkStart w:id="549" w:name="_Toc470119136"/>
      <w:bookmarkStart w:id="550" w:name="_Toc481614942"/>
      <w:bookmarkEnd w:id="548"/>
      <w:bookmarkEnd w:id="549"/>
      <w:r w:rsidRPr="006122EE">
        <w:rPr>
          <w:noProof w:val="0"/>
          <w:lang w:val="en-GB"/>
        </w:rPr>
        <w:t>Which (global) High-Impact Opportunities are relevant?</w:t>
      </w:r>
      <w:bookmarkEnd w:id="550"/>
    </w:p>
    <w:p w14:paraId="302DD470" w14:textId="77777777" w:rsidR="00A8593C" w:rsidRPr="006122EE" w:rsidRDefault="005F27B0" w:rsidP="00B1153E">
      <w:pPr>
        <w:spacing w:line="276" w:lineRule="auto"/>
      </w:pPr>
      <w:r w:rsidRPr="006122EE">
        <w:rPr>
          <w:b/>
        </w:rPr>
        <w:t>Transport and Motor Vehicle Fuel Efficiency Accelerator</w:t>
      </w:r>
      <w:r w:rsidR="00A8593C" w:rsidRPr="006122EE">
        <w:rPr>
          <w:b/>
        </w:rPr>
        <w:t>:</w:t>
      </w:r>
      <w:r w:rsidR="00A8593C" w:rsidRPr="006122EE">
        <w:t xml:space="preserve"> Transport and Motor Vehicle Fuel Efficiency Accelerator: The energy efficiency of vehicles is impacted both directly and indirectly by this set of priority actions. Direct effects include the improvement of the energy efficiency of private vehicles through the introduction of labels and standards and the improvement of car maintenance. The development of a mass public transportation also increases the fuel efficiency as the fuel consumption for each travelled kilometre decreases. An improved traffic flow through an enhanced maintenance of roads together with an effective Travel Demand Management indirectly increases the energy efficiency of transportation. The establishment of an urban transportation committee is expected to accelerate action and commitments made by national and local policy makers to increase energy efficiency.</w:t>
      </w:r>
    </w:p>
    <w:p w14:paraId="693BA075" w14:textId="77777777" w:rsidR="00A962FD" w:rsidRPr="00866D96" w:rsidRDefault="00A962FD" w:rsidP="00B1153E">
      <w:pPr>
        <w:pStyle w:val="BTitle3"/>
        <w:spacing w:line="276" w:lineRule="auto"/>
        <w:rPr>
          <w:noProof w:val="0"/>
          <w:lang w:val="en-GB"/>
        </w:rPr>
      </w:pPr>
      <w:bookmarkStart w:id="551" w:name="_Toc481614943"/>
      <w:r w:rsidRPr="00866D96">
        <w:rPr>
          <w:noProof w:val="0"/>
          <w:lang w:val="en-GB"/>
        </w:rPr>
        <w:t>Priority actions synthesis</w:t>
      </w:r>
      <w:bookmarkEnd w:id="551"/>
    </w:p>
    <w:p w14:paraId="2F878531" w14:textId="77777777" w:rsidR="00A962FD" w:rsidRPr="00866D96" w:rsidRDefault="00A962FD" w:rsidP="00B1153E">
      <w:pPr>
        <w:spacing w:line="276" w:lineRule="auto"/>
        <w:rPr>
          <w:rFonts w:eastAsia="Times New Roman" w:cs="Arial"/>
          <w:color w:val="auto"/>
          <w:lang w:eastAsia="en-US"/>
        </w:rPr>
      </w:pPr>
      <w:r w:rsidRPr="00866D96">
        <w:rPr>
          <w:rFonts w:eastAsia="Times New Roman" w:cs="Arial"/>
          <w:color w:val="auto"/>
          <w:lang w:eastAsia="en-US"/>
        </w:rPr>
        <w:t xml:space="preserve">A summary of the priority actions proposed in the </w:t>
      </w:r>
      <w:r w:rsidR="00FE7056" w:rsidRPr="006122EE">
        <w:rPr>
          <w:lang w:eastAsia="en-US"/>
        </w:rPr>
        <w:t>SE4ALL</w:t>
      </w:r>
      <w:r w:rsidRPr="00866D96">
        <w:rPr>
          <w:rFonts w:eastAsia="Times New Roman" w:cs="Arial"/>
          <w:color w:val="auto"/>
          <w:lang w:eastAsia="en-US"/>
        </w:rPr>
        <w:t xml:space="preserve"> initiative is presented in the table below.</w:t>
      </w:r>
      <w:r w:rsidR="006A0690" w:rsidRPr="00866D96">
        <w:rPr>
          <w:rFonts w:eastAsia="Times New Roman" w:cs="Arial"/>
          <w:color w:val="auto"/>
          <w:lang w:eastAsia="en-US"/>
        </w:rPr>
        <w:t xml:space="preserve"> A cost estimate is provided for the </w:t>
      </w:r>
      <w:r w:rsidR="00AF48CC" w:rsidRPr="006122EE">
        <w:rPr>
          <w:rFonts w:eastAsia="Times New Roman" w:cs="Arial"/>
          <w:color w:val="auto"/>
          <w:lang w:eastAsia="en-US"/>
        </w:rPr>
        <w:t>acquisition</w:t>
      </w:r>
      <w:r w:rsidR="006A0690" w:rsidRPr="00866D96">
        <w:rPr>
          <w:rFonts w:eastAsia="Times New Roman" w:cs="Arial"/>
          <w:color w:val="auto"/>
          <w:lang w:eastAsia="en-US"/>
        </w:rPr>
        <w:t xml:space="preserve"> of buses and the development of rail infrastructure. As in the case of biofuels, a separate assessment will be required to assess the cost of the other actions which entail mainly administrative costs.</w:t>
      </w:r>
    </w:p>
    <w:p w14:paraId="7D0D76B9" w14:textId="77777777" w:rsidR="007C41F5" w:rsidRPr="00866D96" w:rsidRDefault="007C41F5" w:rsidP="00B1153E">
      <w:pPr>
        <w:spacing w:line="276" w:lineRule="auto"/>
        <w:rPr>
          <w:rFonts w:eastAsia="Times New Roman" w:cs="Arial"/>
          <w:color w:val="auto"/>
          <w:lang w:eastAsia="en-US"/>
        </w:rPr>
      </w:pPr>
    </w:p>
    <w:p w14:paraId="089093D1" w14:textId="77777777" w:rsidR="007C41F5" w:rsidRPr="00866D96" w:rsidRDefault="007C41F5" w:rsidP="00A962FD">
      <w:pPr>
        <w:rPr>
          <w:rFonts w:eastAsia="Times New Roman" w:cs="Arial"/>
          <w:color w:val="auto"/>
          <w:lang w:eastAsia="en-US"/>
        </w:rPr>
        <w:sectPr w:rsidR="007C41F5" w:rsidRPr="00866D96" w:rsidSect="00312C85">
          <w:footerReference w:type="default" r:id="rId51"/>
          <w:pgSz w:w="11899" w:h="16838" w:code="9"/>
          <w:pgMar w:top="851" w:right="1134" w:bottom="851" w:left="1134" w:header="680" w:footer="794" w:gutter="227"/>
          <w:cols w:space="708"/>
          <w:docGrid w:linePitch="272"/>
        </w:sectPr>
      </w:pPr>
    </w:p>
    <w:p w14:paraId="2D836F1A" w14:textId="77777777" w:rsidR="00C33A28" w:rsidRPr="006122EE" w:rsidRDefault="00C33A28" w:rsidP="00726AF3">
      <w:pPr>
        <w:pStyle w:val="Caption"/>
      </w:pPr>
      <w:bookmarkStart w:id="552" w:name="_Toc481615025"/>
      <w:r w:rsidRPr="006122EE">
        <w:t xml:space="preserve">Table </w:t>
      </w:r>
      <w:r w:rsidR="00DC7D8C">
        <w:fldChar w:fldCharType="begin"/>
      </w:r>
      <w:r w:rsidR="00DC7D8C">
        <w:instrText xml:space="preserve"> SEQ Table \* ARABIC </w:instrText>
      </w:r>
      <w:r w:rsidR="00DC7D8C">
        <w:fldChar w:fldCharType="separate"/>
      </w:r>
      <w:r w:rsidR="00866D96">
        <w:rPr>
          <w:noProof/>
        </w:rPr>
        <w:t>40</w:t>
      </w:r>
      <w:r w:rsidR="00DC7D8C">
        <w:rPr>
          <w:noProof/>
        </w:rPr>
        <w:fldChar w:fldCharType="end"/>
      </w:r>
      <w:r w:rsidRPr="006122EE">
        <w:t>: Summary of priority actions on urban transportation</w:t>
      </w:r>
      <w:bookmarkEnd w:id="552"/>
    </w:p>
    <w:tbl>
      <w:tblPr>
        <w:tblStyle w:val="GridTable4-Accent33"/>
        <w:tblW w:w="5000" w:type="pct"/>
        <w:tblLayout w:type="fixed"/>
        <w:tblLook w:val="04A0" w:firstRow="1" w:lastRow="0" w:firstColumn="1" w:lastColumn="0" w:noHBand="0" w:noVBand="1"/>
      </w:tblPr>
      <w:tblGrid>
        <w:gridCol w:w="2987"/>
        <w:gridCol w:w="3695"/>
        <w:gridCol w:w="2127"/>
        <w:gridCol w:w="1558"/>
        <w:gridCol w:w="2127"/>
        <w:gridCol w:w="2632"/>
      </w:tblGrid>
      <w:tr w:rsidR="00A962FD" w:rsidRPr="006122EE" w14:paraId="64E03A76" w14:textId="77777777" w:rsidTr="007C41F5">
        <w:trPr>
          <w:cnfStyle w:val="100000000000" w:firstRow="1" w:lastRow="0" w:firstColumn="0" w:lastColumn="0" w:oddVBand="0" w:evenVBand="0" w:oddHBand="0" w:evenHBand="0" w:firstRowFirstColumn="0" w:firstRowLastColumn="0" w:lastRowFirstColumn="0" w:lastRowLastColumn="0"/>
          <w:cantSplit/>
          <w:trHeight w:val="264"/>
          <w:tblHeader/>
        </w:trPr>
        <w:tc>
          <w:tcPr>
            <w:cnfStyle w:val="001000000000" w:firstRow="0" w:lastRow="0" w:firstColumn="1" w:lastColumn="0" w:oddVBand="0" w:evenVBand="0" w:oddHBand="0" w:evenHBand="0" w:firstRowFirstColumn="0" w:firstRowLastColumn="0" w:lastRowFirstColumn="0" w:lastRowLastColumn="0"/>
            <w:tcW w:w="987" w:type="pct"/>
            <w:noWrap/>
          </w:tcPr>
          <w:p w14:paraId="2649F870" w14:textId="77777777" w:rsidR="00A962FD" w:rsidRPr="006122EE" w:rsidRDefault="00A962FD" w:rsidP="00EB7BE7">
            <w:pPr>
              <w:spacing w:before="0" w:after="0" w:line="240" w:lineRule="auto"/>
              <w:jc w:val="left"/>
              <w:rPr>
                <w:rFonts w:eastAsia="Times New Roman" w:cs="Arial"/>
                <w:bCs w:val="0"/>
                <w:color w:val="FFFFFF"/>
                <w:szCs w:val="20"/>
                <w:lang w:eastAsia="fr-FR"/>
              </w:rPr>
            </w:pPr>
            <w:r w:rsidRPr="006122EE">
              <w:rPr>
                <w:rFonts w:eastAsia="Times New Roman" w:cs="Arial"/>
                <w:color w:val="FFFFFF"/>
                <w:szCs w:val="20"/>
                <w:lang w:eastAsia="fr-FR"/>
              </w:rPr>
              <w:t>Category</w:t>
            </w:r>
          </w:p>
        </w:tc>
        <w:tc>
          <w:tcPr>
            <w:tcW w:w="1221" w:type="pct"/>
            <w:noWrap/>
          </w:tcPr>
          <w:p w14:paraId="7ECC98CE" w14:textId="77777777" w:rsidR="00A962FD" w:rsidRPr="006122EE" w:rsidRDefault="00A962FD" w:rsidP="00EB7BE7">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Action</w:t>
            </w:r>
          </w:p>
        </w:tc>
        <w:tc>
          <w:tcPr>
            <w:tcW w:w="703" w:type="pct"/>
          </w:tcPr>
          <w:p w14:paraId="0A0F18EA" w14:textId="77777777" w:rsidR="00A962FD" w:rsidRPr="006122EE" w:rsidRDefault="00A962FD" w:rsidP="00EB7BE7">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Indicative time frame</w:t>
            </w:r>
          </w:p>
        </w:tc>
        <w:tc>
          <w:tcPr>
            <w:tcW w:w="515" w:type="pct"/>
          </w:tcPr>
          <w:p w14:paraId="003B8913" w14:textId="77777777" w:rsidR="00A962FD" w:rsidRPr="006122EE" w:rsidRDefault="00A962FD" w:rsidP="00EB7BE7">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Lead agency</w:t>
            </w:r>
          </w:p>
        </w:tc>
        <w:tc>
          <w:tcPr>
            <w:tcW w:w="703" w:type="pct"/>
          </w:tcPr>
          <w:p w14:paraId="07065CFF" w14:textId="77777777" w:rsidR="00A962FD" w:rsidRPr="006122EE" w:rsidRDefault="00A962FD" w:rsidP="00EB7BE7">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Cooperating stakeholders</w:t>
            </w:r>
          </w:p>
        </w:tc>
        <w:tc>
          <w:tcPr>
            <w:tcW w:w="870" w:type="pct"/>
          </w:tcPr>
          <w:p w14:paraId="1A2A53DE" w14:textId="77777777" w:rsidR="00A962FD" w:rsidRPr="006122EE" w:rsidRDefault="00A962FD" w:rsidP="00EB7BE7">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Cs w:val="20"/>
                <w:lang w:eastAsia="fr-FR"/>
              </w:rPr>
            </w:pPr>
            <w:r w:rsidRPr="006122EE">
              <w:rPr>
                <w:rFonts w:eastAsia="Times New Roman" w:cs="Arial"/>
                <w:color w:val="FFFFFF"/>
                <w:szCs w:val="20"/>
                <w:lang w:eastAsia="fr-FR"/>
              </w:rPr>
              <w:t>Estimated costs</w:t>
            </w:r>
          </w:p>
        </w:tc>
      </w:tr>
      <w:tr w:rsidR="00A962FD" w:rsidRPr="006122EE" w14:paraId="0DA17CB3" w14:textId="77777777" w:rsidTr="007C41F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val="restart"/>
            <w:noWrap/>
          </w:tcPr>
          <w:p w14:paraId="092FB51F" w14:textId="77777777" w:rsidR="00A962FD" w:rsidRPr="006122EE" w:rsidRDefault="00A962FD" w:rsidP="00EB7BE7">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Mass transit system</w:t>
            </w:r>
          </w:p>
        </w:tc>
        <w:tc>
          <w:tcPr>
            <w:tcW w:w="1221" w:type="pct"/>
            <w:noWrap/>
          </w:tcPr>
          <w:p w14:paraId="064425CE"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Phase out mini-buses </w:t>
            </w:r>
          </w:p>
        </w:tc>
        <w:tc>
          <w:tcPr>
            <w:tcW w:w="703" w:type="pct"/>
          </w:tcPr>
          <w:p w14:paraId="7F6B0482"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Pr>
          <w:p w14:paraId="4798E3AA"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t>Ministry of Transport and Public Works</w:t>
            </w:r>
          </w:p>
        </w:tc>
        <w:tc>
          <w:tcPr>
            <w:tcW w:w="703" w:type="pct"/>
          </w:tcPr>
          <w:p w14:paraId="4F62D516"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Road Traffic Directorate; Private sector transport operator representatives</w:t>
            </w:r>
          </w:p>
        </w:tc>
        <w:tc>
          <w:tcPr>
            <w:tcW w:w="870" w:type="pct"/>
          </w:tcPr>
          <w:p w14:paraId="1D958F27"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A962FD" w:rsidRPr="006122EE" w14:paraId="4C644B9A" w14:textId="77777777" w:rsidTr="007C41F5">
        <w:trPr>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073994FB" w14:textId="77777777" w:rsidR="00A962FD" w:rsidRPr="006122EE" w:rsidRDefault="00A962FD" w:rsidP="00EB7BE7">
            <w:pPr>
              <w:spacing w:before="0" w:after="0" w:line="240" w:lineRule="auto"/>
              <w:jc w:val="left"/>
              <w:rPr>
                <w:rFonts w:eastAsia="Times New Roman" w:cs="Arial"/>
                <w:color w:val="000000"/>
                <w:szCs w:val="20"/>
                <w:lang w:eastAsia="fr-FR"/>
              </w:rPr>
            </w:pPr>
          </w:p>
        </w:tc>
        <w:tc>
          <w:tcPr>
            <w:tcW w:w="1221" w:type="pct"/>
            <w:noWrap/>
          </w:tcPr>
          <w:p w14:paraId="47150C44"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Development of a public transportation system:</w:t>
            </w:r>
          </w:p>
        </w:tc>
        <w:tc>
          <w:tcPr>
            <w:tcW w:w="703" w:type="pct"/>
          </w:tcPr>
          <w:p w14:paraId="0D84778E"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Pr>
          <w:p w14:paraId="2DEB36D0"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t>Ministry of Transport and Public Works</w:t>
            </w:r>
          </w:p>
        </w:tc>
        <w:tc>
          <w:tcPr>
            <w:tcW w:w="703" w:type="pct"/>
          </w:tcPr>
          <w:p w14:paraId="33A29431"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Road Traffic Directorate; Private sector transport operator representatives</w:t>
            </w:r>
          </w:p>
        </w:tc>
        <w:tc>
          <w:tcPr>
            <w:tcW w:w="870" w:type="pct"/>
          </w:tcPr>
          <w:p w14:paraId="7F1BF257"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Capital cost per bus is estimated at $235,000</w:t>
            </w:r>
          </w:p>
          <w:p w14:paraId="6E2CEBF0"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Operational cost (including maintenance) is estimated at  $33,000 </w:t>
            </w:r>
          </w:p>
        </w:tc>
      </w:tr>
      <w:tr w:rsidR="00A962FD" w:rsidRPr="006122EE" w14:paraId="0D179AD7" w14:textId="77777777" w:rsidTr="007C41F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val="restart"/>
            <w:noWrap/>
          </w:tcPr>
          <w:p w14:paraId="3EB51EB3" w14:textId="77777777" w:rsidR="00A962FD" w:rsidRPr="006122EE" w:rsidRDefault="00A962FD" w:rsidP="00EB7BE7">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Fuel efficiency of motor vehicles</w:t>
            </w:r>
          </w:p>
        </w:tc>
        <w:tc>
          <w:tcPr>
            <w:tcW w:w="1221" w:type="pct"/>
            <w:noWrap/>
          </w:tcPr>
          <w:p w14:paraId="45678501"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Use of labels and standards through the integration of EU minimum emission standards for all registered vehicles </w:t>
            </w:r>
          </w:p>
        </w:tc>
        <w:tc>
          <w:tcPr>
            <w:tcW w:w="703" w:type="pct"/>
          </w:tcPr>
          <w:p w14:paraId="2F66583F"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04543D69"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Ministry of Natural Resources, Energy and Mining</w:t>
            </w:r>
          </w:p>
        </w:tc>
        <w:tc>
          <w:tcPr>
            <w:tcW w:w="703" w:type="pct"/>
          </w:tcPr>
          <w:p w14:paraId="2EC4946D"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t>Ministry of Transport and Public Works</w:t>
            </w:r>
            <w:r w:rsidRPr="006122EE">
              <w:rPr>
                <w:rFonts w:eastAsia="Times New Roman" w:cs="Arial"/>
                <w:color w:val="000000"/>
                <w:szCs w:val="20"/>
                <w:lang w:eastAsia="fr-FR"/>
              </w:rPr>
              <w:t xml:space="preserve">; Ministry of Justice and Constitutional Affairs; </w:t>
            </w:r>
            <w:r w:rsidRPr="006122EE">
              <w:t>Road Traffic Directorate; Private sector transport operator representatives</w:t>
            </w:r>
          </w:p>
        </w:tc>
        <w:tc>
          <w:tcPr>
            <w:tcW w:w="870" w:type="pct"/>
          </w:tcPr>
          <w:p w14:paraId="467EE4AD"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A962FD" w:rsidRPr="006122EE" w14:paraId="53BB87B0" w14:textId="77777777" w:rsidTr="007C41F5">
        <w:trPr>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5D9BE359" w14:textId="77777777" w:rsidR="00A962FD" w:rsidRPr="006122EE" w:rsidRDefault="00A962FD" w:rsidP="00EB7BE7">
            <w:pPr>
              <w:spacing w:before="0" w:after="0" w:line="240" w:lineRule="auto"/>
              <w:jc w:val="left"/>
              <w:rPr>
                <w:rFonts w:eastAsia="Times New Roman" w:cs="Arial"/>
                <w:color w:val="000000"/>
                <w:szCs w:val="20"/>
                <w:lang w:eastAsia="fr-FR"/>
              </w:rPr>
            </w:pPr>
          </w:p>
        </w:tc>
        <w:tc>
          <w:tcPr>
            <w:tcW w:w="1221" w:type="pct"/>
            <w:noWrap/>
          </w:tcPr>
          <w:p w14:paraId="406DC4D8"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Develop urban and suburban rail transportation system</w:t>
            </w:r>
          </w:p>
        </w:tc>
        <w:tc>
          <w:tcPr>
            <w:tcW w:w="703" w:type="pct"/>
          </w:tcPr>
          <w:p w14:paraId="4E256171"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Pr>
          <w:p w14:paraId="0B181720" w14:textId="77777777" w:rsidR="00A962FD" w:rsidRPr="006122EE" w:rsidRDefault="00A962FD" w:rsidP="00EB7BE7">
            <w:pPr>
              <w:jc w:val="left"/>
              <w:cnfStyle w:val="000000000000" w:firstRow="0" w:lastRow="0" w:firstColumn="0" w:lastColumn="0" w:oddVBand="0" w:evenVBand="0" w:oddHBand="0" w:evenHBand="0" w:firstRowFirstColumn="0" w:firstRowLastColumn="0" w:lastRowFirstColumn="0" w:lastRowLastColumn="0"/>
            </w:pPr>
            <w:r w:rsidRPr="006122EE">
              <w:t>Ministry of Transport and Public Works</w:t>
            </w:r>
          </w:p>
        </w:tc>
        <w:tc>
          <w:tcPr>
            <w:tcW w:w="703" w:type="pct"/>
          </w:tcPr>
          <w:p w14:paraId="363BEFC2"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Central Eastern African Railways</w:t>
            </w:r>
          </w:p>
        </w:tc>
        <w:tc>
          <w:tcPr>
            <w:tcW w:w="870" w:type="pct"/>
          </w:tcPr>
          <w:p w14:paraId="3469A3BE" w14:textId="77777777" w:rsidR="00A962FD" w:rsidRPr="006122EE" w:rsidRDefault="006A0690"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1.98 $ million per km for diesel rail and 3.53 $ million for electrified line</w:t>
            </w:r>
            <w:r w:rsidRPr="006122EE">
              <w:rPr>
                <w:rStyle w:val="FootnoteReference"/>
                <w:rFonts w:eastAsia="Times New Roman" w:cs="Arial"/>
                <w:color w:val="000000"/>
                <w:szCs w:val="20"/>
                <w:lang w:eastAsia="fr-FR"/>
              </w:rPr>
              <w:footnoteReference w:id="93"/>
            </w:r>
          </w:p>
        </w:tc>
      </w:tr>
      <w:tr w:rsidR="00A962FD" w:rsidRPr="006122EE" w14:paraId="6A9718C3" w14:textId="77777777" w:rsidTr="007C41F5">
        <w:trPr>
          <w:cnfStyle w:val="000000100000" w:firstRow="0" w:lastRow="0" w:firstColumn="0" w:lastColumn="0" w:oddVBand="0" w:evenVBand="0" w:oddHBand="1" w:evenHBand="0" w:firstRowFirstColumn="0" w:firstRowLastColumn="0" w:lastRowFirstColumn="0" w:lastRowLastColumn="0"/>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val="restart"/>
            <w:noWrap/>
          </w:tcPr>
          <w:p w14:paraId="5C5158B5" w14:textId="77777777" w:rsidR="00A962FD" w:rsidRPr="006122EE" w:rsidRDefault="00A962FD" w:rsidP="00EB7BE7">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Travel Demand Management</w:t>
            </w:r>
          </w:p>
        </w:tc>
        <w:tc>
          <w:tcPr>
            <w:tcW w:w="1221" w:type="pct"/>
            <w:noWrap/>
          </w:tcPr>
          <w:p w14:paraId="37C4F591"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Land use planning policies</w:t>
            </w:r>
          </w:p>
        </w:tc>
        <w:tc>
          <w:tcPr>
            <w:tcW w:w="703" w:type="pct"/>
          </w:tcPr>
          <w:p w14:paraId="1A0D7F0A"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Pr>
          <w:p w14:paraId="12CF616D" w14:textId="77777777" w:rsidR="00A962FD" w:rsidRPr="006122EE" w:rsidRDefault="00A962FD" w:rsidP="00EB7BE7">
            <w:pPr>
              <w:jc w:val="left"/>
              <w:cnfStyle w:val="000000100000" w:firstRow="0" w:lastRow="0" w:firstColumn="0" w:lastColumn="0" w:oddVBand="0" w:evenVBand="0" w:oddHBand="1" w:evenHBand="0" w:firstRowFirstColumn="0" w:firstRowLastColumn="0" w:lastRowFirstColumn="0" w:lastRowLastColumn="0"/>
            </w:pPr>
            <w:r w:rsidRPr="006122EE">
              <w:t>Ministry of Transport and Public Works</w:t>
            </w:r>
          </w:p>
        </w:tc>
        <w:tc>
          <w:tcPr>
            <w:tcW w:w="703" w:type="pct"/>
          </w:tcPr>
          <w:p w14:paraId="38D94E51"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City Councils; Ministry of Local Government and Rural Development</w:t>
            </w:r>
          </w:p>
        </w:tc>
        <w:tc>
          <w:tcPr>
            <w:tcW w:w="870" w:type="pct"/>
          </w:tcPr>
          <w:p w14:paraId="039E4A5A" w14:textId="77777777" w:rsidR="00A962FD" w:rsidRPr="006122EE" w:rsidRDefault="00A962FD" w:rsidP="00EB7BE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r w:rsidR="00A962FD" w:rsidRPr="006122EE" w14:paraId="2653B040" w14:textId="77777777" w:rsidTr="007C41F5">
        <w:trPr>
          <w:cantSplit/>
          <w:trHeight w:val="264"/>
        </w:trPr>
        <w:tc>
          <w:tcPr>
            <w:cnfStyle w:val="001000000000" w:firstRow="0" w:lastRow="0" w:firstColumn="1" w:lastColumn="0" w:oddVBand="0" w:evenVBand="0" w:oddHBand="0" w:evenHBand="0" w:firstRowFirstColumn="0" w:firstRowLastColumn="0" w:lastRowFirstColumn="0" w:lastRowLastColumn="0"/>
            <w:tcW w:w="987" w:type="pct"/>
            <w:vMerge/>
            <w:noWrap/>
          </w:tcPr>
          <w:p w14:paraId="419DE847" w14:textId="77777777" w:rsidR="00A962FD" w:rsidRPr="006122EE" w:rsidRDefault="00A962FD" w:rsidP="00EB7BE7">
            <w:pPr>
              <w:spacing w:before="0" w:after="0" w:line="240" w:lineRule="auto"/>
              <w:jc w:val="left"/>
              <w:rPr>
                <w:rFonts w:eastAsia="Times New Roman" w:cs="Arial"/>
                <w:color w:val="000000"/>
                <w:szCs w:val="20"/>
                <w:lang w:eastAsia="fr-FR"/>
              </w:rPr>
            </w:pPr>
          </w:p>
        </w:tc>
        <w:tc>
          <w:tcPr>
            <w:tcW w:w="1221" w:type="pct"/>
            <w:noWrap/>
          </w:tcPr>
          <w:p w14:paraId="61E4B3CC"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Improve efficiency of traffic flow</w:t>
            </w:r>
          </w:p>
        </w:tc>
        <w:tc>
          <w:tcPr>
            <w:tcW w:w="703" w:type="pct"/>
          </w:tcPr>
          <w:p w14:paraId="1DD2884E"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Pr>
          <w:p w14:paraId="30C3E118" w14:textId="77777777" w:rsidR="00A962FD" w:rsidRPr="006122EE" w:rsidRDefault="00A962FD" w:rsidP="00EB7BE7">
            <w:pPr>
              <w:jc w:val="left"/>
              <w:cnfStyle w:val="000000000000" w:firstRow="0" w:lastRow="0" w:firstColumn="0" w:lastColumn="0" w:oddVBand="0" w:evenVBand="0" w:oddHBand="0" w:evenHBand="0" w:firstRowFirstColumn="0" w:firstRowLastColumn="0" w:lastRowFirstColumn="0" w:lastRowLastColumn="0"/>
            </w:pPr>
            <w:r w:rsidRPr="006122EE">
              <w:t>Ministry of Transport and Public Works</w:t>
            </w:r>
          </w:p>
        </w:tc>
        <w:tc>
          <w:tcPr>
            <w:tcW w:w="703" w:type="pct"/>
          </w:tcPr>
          <w:p w14:paraId="659F1781"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Universities and other research institutions</w:t>
            </w:r>
          </w:p>
        </w:tc>
        <w:tc>
          <w:tcPr>
            <w:tcW w:w="870" w:type="pct"/>
          </w:tcPr>
          <w:p w14:paraId="23559C23" w14:textId="77777777" w:rsidR="00A962FD" w:rsidRPr="006122EE" w:rsidRDefault="00A962FD" w:rsidP="00EB7BE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fr-FR"/>
              </w:rPr>
            </w:pPr>
            <w:r w:rsidRPr="006122EE">
              <w:rPr>
                <w:rFonts w:eastAsia="Times New Roman" w:cs="Arial"/>
                <w:color w:val="000000"/>
                <w:szCs w:val="20"/>
                <w:lang w:eastAsia="fr-FR"/>
              </w:rPr>
              <w:t>n.a.</w:t>
            </w:r>
          </w:p>
        </w:tc>
      </w:tr>
    </w:tbl>
    <w:p w14:paraId="739D504D" w14:textId="77777777" w:rsidR="007C41F5" w:rsidRPr="006122EE" w:rsidRDefault="007C41F5"/>
    <w:p w14:paraId="751E9DFE" w14:textId="77777777" w:rsidR="00A962FD" w:rsidRPr="006122EE" w:rsidRDefault="00EB7BE7">
      <w:pPr>
        <w:sectPr w:rsidR="00A962FD" w:rsidRPr="006122EE" w:rsidSect="00726AF3">
          <w:footerReference w:type="even" r:id="rId52"/>
          <w:pgSz w:w="16838" w:h="11899" w:orient="landscape" w:code="9"/>
          <w:pgMar w:top="1134" w:right="851" w:bottom="1134" w:left="851" w:header="680" w:footer="794" w:gutter="227"/>
          <w:cols w:space="708"/>
          <w:docGrid w:linePitch="272"/>
        </w:sectPr>
      </w:pPr>
      <w:r w:rsidRPr="006122EE">
        <w:t xml:space="preserve"> </w:t>
      </w:r>
    </w:p>
    <w:p w14:paraId="32A01B93" w14:textId="77777777" w:rsidR="00A962FD" w:rsidRPr="006122EE" w:rsidRDefault="00A962FD" w:rsidP="00726AF3"/>
    <w:p w14:paraId="434EAB72" w14:textId="77777777" w:rsidR="00645149" w:rsidRPr="00866D96" w:rsidRDefault="00C92AD8" w:rsidP="006E363C">
      <w:pPr>
        <w:pStyle w:val="BTitle20"/>
        <w:rPr>
          <w:noProof w:val="0"/>
        </w:rPr>
      </w:pPr>
      <w:bookmarkStart w:id="553" w:name="_Toc469999933"/>
      <w:bookmarkStart w:id="554" w:name="_Toc470000044"/>
      <w:bookmarkStart w:id="555" w:name="_Toc470117783"/>
      <w:bookmarkStart w:id="556" w:name="_Toc470119139"/>
      <w:bookmarkStart w:id="557" w:name="_Toc481614944"/>
      <w:bookmarkEnd w:id="553"/>
      <w:bookmarkEnd w:id="554"/>
      <w:bookmarkEnd w:id="555"/>
      <w:bookmarkEnd w:id="556"/>
      <w:r w:rsidRPr="00866D96">
        <w:rPr>
          <w:noProof w:val="0"/>
        </w:rPr>
        <w:t xml:space="preserve">Cross-cutting </w:t>
      </w:r>
      <w:r w:rsidR="00F650F1" w:rsidRPr="00866D96">
        <w:rPr>
          <w:noProof w:val="0"/>
        </w:rPr>
        <w:t>Actions</w:t>
      </w:r>
      <w:bookmarkEnd w:id="557"/>
    </w:p>
    <w:p w14:paraId="3C141479" w14:textId="77777777" w:rsidR="006F609C" w:rsidRPr="006122EE" w:rsidRDefault="006F609C" w:rsidP="00B1153E">
      <w:pPr>
        <w:spacing w:line="276" w:lineRule="auto"/>
      </w:pPr>
      <w:r w:rsidRPr="006122EE">
        <w:t xml:space="preserve">While this report establishes targets and actions in the four thematic areas (Energy efficiency, renewable energy, energy access and transportation), there are some interventions that cut across these areas, such the creation of a fund that invests in EE, RE and rural energy access, or the establishment of an initiative focused on assisting local governments with all four thematic areas. This section addresses these cross-cutting actions  </w:t>
      </w:r>
    </w:p>
    <w:p w14:paraId="69623A8D" w14:textId="77777777" w:rsidR="006F609C" w:rsidRPr="006122EE" w:rsidRDefault="006F609C" w:rsidP="00B1153E">
      <w:pPr>
        <w:pStyle w:val="BTitle3"/>
        <w:spacing w:line="276" w:lineRule="auto"/>
        <w:rPr>
          <w:noProof w:val="0"/>
          <w:lang w:val="en-GB"/>
        </w:rPr>
      </w:pPr>
      <w:r w:rsidRPr="006122EE">
        <w:rPr>
          <w:noProof w:val="0"/>
          <w:lang w:val="en-GB"/>
        </w:rPr>
        <w:tab/>
      </w:r>
      <w:r w:rsidRPr="006122EE">
        <w:rPr>
          <w:noProof w:val="0"/>
          <w:lang w:val="en-GB"/>
        </w:rPr>
        <w:tab/>
      </w:r>
      <w:bookmarkStart w:id="558" w:name="_Toc447217043"/>
      <w:bookmarkStart w:id="559" w:name="_Toc481614945"/>
      <w:r w:rsidRPr="006122EE">
        <w:rPr>
          <w:noProof w:val="0"/>
          <w:lang w:val="en-GB"/>
        </w:rPr>
        <w:t>Institutional structure and coordination</w:t>
      </w:r>
      <w:bookmarkEnd w:id="558"/>
      <w:bookmarkEnd w:id="559"/>
      <w:r w:rsidRPr="006122EE">
        <w:rPr>
          <w:noProof w:val="0"/>
          <w:lang w:val="en-GB"/>
        </w:rPr>
        <w:t xml:space="preserve"> </w:t>
      </w:r>
    </w:p>
    <w:p w14:paraId="786D0FD5" w14:textId="77777777" w:rsidR="006F609C" w:rsidRPr="006122EE" w:rsidRDefault="006F609C" w:rsidP="00B1153E">
      <w:pPr>
        <w:spacing w:line="276" w:lineRule="auto"/>
        <w:rPr>
          <w:highlight w:val="yellow"/>
          <w:lang w:eastAsia="en-US"/>
        </w:rPr>
      </w:pPr>
      <w:r w:rsidRPr="006122EE">
        <w:rPr>
          <w:lang w:eastAsia="en-US"/>
        </w:rPr>
        <w:t xml:space="preserve">Many industrialized and developing countries have autonomous energy centres that promote clean energy development by performing such activities as helping develop standards, training energy auditors and energy managers, administering energy programs, conducting research and analysis, developing legislative proposals and coordinating governmental and non-governmental energy activities. The centres typically have the support of the government but operate independently and thus have greater credibility in the eyes of many people than a government ministry. </w:t>
      </w:r>
      <w:r w:rsidR="002D6717" w:rsidRPr="006122EE">
        <w:rPr>
          <w:lang w:eastAsia="en-US"/>
        </w:rPr>
        <w:t xml:space="preserve">In this regard, it would be appropriate if </w:t>
      </w:r>
      <w:r w:rsidR="003D74CE" w:rsidRPr="006122EE">
        <w:rPr>
          <w:lang w:eastAsia="en-US"/>
        </w:rPr>
        <w:t xml:space="preserve">the Ministry of Natural Resources, Energy and </w:t>
      </w:r>
      <w:r w:rsidR="00AB3EEF" w:rsidRPr="006122EE">
        <w:rPr>
          <w:lang w:eastAsia="en-US"/>
        </w:rPr>
        <w:t>Mining</w:t>
      </w:r>
      <w:r w:rsidR="00AB3EEF" w:rsidRPr="006122EE" w:rsidDel="003D74CE">
        <w:rPr>
          <w:lang w:eastAsia="en-US"/>
        </w:rPr>
        <w:t xml:space="preserve"> </w:t>
      </w:r>
      <w:r w:rsidR="00AB3EEF" w:rsidRPr="006122EE">
        <w:rPr>
          <w:lang w:eastAsia="en-US"/>
        </w:rPr>
        <w:t>would</w:t>
      </w:r>
      <w:r w:rsidR="002D6717" w:rsidRPr="006122EE">
        <w:rPr>
          <w:lang w:eastAsia="en-US"/>
        </w:rPr>
        <w:t xml:space="preserve"> initiate the establishment of a centre that could be modelled on one or more existing centres such as following:</w:t>
      </w:r>
      <w:r w:rsidRPr="006122EE">
        <w:rPr>
          <w:lang w:eastAsia="en-US"/>
        </w:rPr>
        <w:t xml:space="preserve"> </w:t>
      </w:r>
    </w:p>
    <w:p w14:paraId="0B054BB4" w14:textId="77777777" w:rsidR="006F609C" w:rsidRPr="00866D96" w:rsidRDefault="006F609C" w:rsidP="00B1153E">
      <w:pPr>
        <w:pStyle w:val="DBulletlevel1"/>
        <w:spacing w:line="276" w:lineRule="auto"/>
        <w:rPr>
          <w:noProof w:val="0"/>
        </w:rPr>
      </w:pPr>
      <w:r w:rsidRPr="00866D96">
        <w:rPr>
          <w:noProof w:val="0"/>
        </w:rPr>
        <w:t>KNUST in Ghana</w:t>
      </w:r>
      <w:r w:rsidR="00AB3EEF" w:rsidRPr="00866D96">
        <w:rPr>
          <w:noProof w:val="0"/>
        </w:rPr>
        <w:t>.</w:t>
      </w:r>
    </w:p>
    <w:p w14:paraId="6535EC77" w14:textId="77777777" w:rsidR="006F609C" w:rsidRPr="00866D96" w:rsidRDefault="006F609C" w:rsidP="00B1153E">
      <w:pPr>
        <w:pStyle w:val="DBulletlevel1"/>
        <w:spacing w:line="276" w:lineRule="auto"/>
        <w:rPr>
          <w:noProof w:val="0"/>
        </w:rPr>
      </w:pPr>
      <w:r w:rsidRPr="00866D96">
        <w:rPr>
          <w:noProof w:val="0"/>
        </w:rPr>
        <w:t>SEVEn in the Czech Republic</w:t>
      </w:r>
      <w:r w:rsidR="00AB3EEF" w:rsidRPr="00866D96">
        <w:rPr>
          <w:noProof w:val="0"/>
        </w:rPr>
        <w:t>.</w:t>
      </w:r>
      <w:r w:rsidRPr="00866D96">
        <w:rPr>
          <w:noProof w:val="0"/>
        </w:rPr>
        <w:t xml:space="preserve"> </w:t>
      </w:r>
    </w:p>
    <w:p w14:paraId="60BD7449" w14:textId="77777777" w:rsidR="006F609C" w:rsidRPr="00866D96" w:rsidRDefault="006F609C" w:rsidP="00B1153E">
      <w:pPr>
        <w:pStyle w:val="DBulletlevel1"/>
        <w:spacing w:line="276" w:lineRule="auto"/>
        <w:rPr>
          <w:noProof w:val="0"/>
        </w:rPr>
      </w:pPr>
      <w:r w:rsidRPr="00866D96">
        <w:rPr>
          <w:noProof w:val="0"/>
        </w:rPr>
        <w:t>Energy Efficiency Centre in Nepal</w:t>
      </w:r>
      <w:r w:rsidR="00AB3EEF" w:rsidRPr="00866D96">
        <w:rPr>
          <w:noProof w:val="0"/>
        </w:rPr>
        <w:t>.</w:t>
      </w:r>
      <w:r w:rsidRPr="00866D96">
        <w:rPr>
          <w:noProof w:val="0"/>
        </w:rPr>
        <w:t xml:space="preserve"> </w:t>
      </w:r>
    </w:p>
    <w:p w14:paraId="5F22F34D" w14:textId="77777777" w:rsidR="006F609C" w:rsidRPr="00866D96" w:rsidRDefault="006F609C" w:rsidP="00B1153E">
      <w:pPr>
        <w:pStyle w:val="DBulletlevel1"/>
        <w:spacing w:line="276" w:lineRule="auto"/>
        <w:rPr>
          <w:noProof w:val="0"/>
        </w:rPr>
      </w:pPr>
      <w:r w:rsidRPr="00866D96">
        <w:rPr>
          <w:noProof w:val="0"/>
        </w:rPr>
        <w:t>China National Renewable Energy Center</w:t>
      </w:r>
      <w:r w:rsidR="00AB3EEF" w:rsidRPr="00866D96">
        <w:rPr>
          <w:noProof w:val="0"/>
        </w:rPr>
        <w:t>.</w:t>
      </w:r>
      <w:r w:rsidRPr="00866D96">
        <w:rPr>
          <w:noProof w:val="0"/>
        </w:rPr>
        <w:t xml:space="preserve"> </w:t>
      </w:r>
    </w:p>
    <w:p w14:paraId="5ADCC88F" w14:textId="77777777" w:rsidR="006F609C" w:rsidRPr="00866D96" w:rsidRDefault="006F609C" w:rsidP="00B1153E">
      <w:pPr>
        <w:pStyle w:val="DBulletlevel1"/>
        <w:spacing w:line="276" w:lineRule="auto"/>
        <w:rPr>
          <w:noProof w:val="0"/>
        </w:rPr>
      </w:pPr>
      <w:r w:rsidRPr="00866D96">
        <w:rPr>
          <w:noProof w:val="0"/>
        </w:rPr>
        <w:t>Center for Energy Efficiency (CENEf) in Russia</w:t>
      </w:r>
      <w:r w:rsidR="00AB3EEF" w:rsidRPr="00866D96">
        <w:rPr>
          <w:noProof w:val="0"/>
        </w:rPr>
        <w:t>.</w:t>
      </w:r>
      <w:r w:rsidRPr="00866D96">
        <w:rPr>
          <w:noProof w:val="0"/>
        </w:rPr>
        <w:t xml:space="preserve">  </w:t>
      </w:r>
    </w:p>
    <w:p w14:paraId="6306EBE4" w14:textId="77777777" w:rsidR="006F609C" w:rsidRPr="006122EE" w:rsidRDefault="006F609C" w:rsidP="00B1153E">
      <w:pPr>
        <w:spacing w:line="276" w:lineRule="auto"/>
        <w:rPr>
          <w:lang w:eastAsia="en-US"/>
        </w:rPr>
      </w:pPr>
      <w:r w:rsidRPr="006122EE">
        <w:rPr>
          <w:lang w:eastAsia="en-US"/>
        </w:rPr>
        <w:t xml:space="preserve">The energy centres are often the institutions that keep clean energy initiatives like </w:t>
      </w:r>
      <w:r w:rsidR="00FE7056" w:rsidRPr="006122EE">
        <w:rPr>
          <w:lang w:eastAsia="en-US"/>
        </w:rPr>
        <w:t>SE4ALL</w:t>
      </w:r>
      <w:r w:rsidRPr="006122EE">
        <w:rPr>
          <w:lang w:eastAsia="en-US"/>
        </w:rPr>
        <w:t xml:space="preserve"> moving forward when government priorities change or budgetary constraints make it difficult for ministries to carry out their intended programs. </w:t>
      </w:r>
    </w:p>
    <w:p w14:paraId="1B9470C8" w14:textId="77777777" w:rsidR="006F609C" w:rsidRPr="006122EE" w:rsidRDefault="006F609C" w:rsidP="00B1153E">
      <w:pPr>
        <w:spacing w:line="276" w:lineRule="auto"/>
        <w:rPr>
          <w:lang w:eastAsia="en-US"/>
        </w:rPr>
      </w:pPr>
      <w:r w:rsidRPr="006122EE">
        <w:rPr>
          <w:lang w:eastAsia="en-US"/>
        </w:rPr>
        <w:t xml:space="preserve">In addition to, or instead of, an energy centre, there is the option of establishing an EE/RE development </w:t>
      </w:r>
      <w:r w:rsidR="00DA6589" w:rsidRPr="006122EE">
        <w:rPr>
          <w:lang w:eastAsia="en-US"/>
        </w:rPr>
        <w:t>committee</w:t>
      </w:r>
      <w:r w:rsidRPr="006122EE">
        <w:rPr>
          <w:lang w:eastAsia="en-US"/>
        </w:rPr>
        <w:t>. This is discussed in the Energy Efficiency section of Part III of this report (Section</w:t>
      </w:r>
      <w:r w:rsidR="003D74CE" w:rsidRPr="006122EE">
        <w:rPr>
          <w:lang w:eastAsia="en-US"/>
        </w:rPr>
        <w:t xml:space="preserve"> </w:t>
      </w:r>
      <w:r w:rsidR="003D74CE" w:rsidRPr="006122EE">
        <w:rPr>
          <w:lang w:eastAsia="en-US"/>
        </w:rPr>
        <w:fldChar w:fldCharType="begin"/>
      </w:r>
      <w:r w:rsidR="003D74CE" w:rsidRPr="006122EE">
        <w:rPr>
          <w:lang w:eastAsia="en-US"/>
        </w:rPr>
        <w:instrText xml:space="preserve"> REF _Ref448425649 \r \h </w:instrText>
      </w:r>
      <w:r w:rsidR="00B1153E">
        <w:rPr>
          <w:lang w:eastAsia="en-US"/>
        </w:rPr>
        <w:instrText xml:space="preserve"> \* MERGEFORMAT </w:instrText>
      </w:r>
      <w:r w:rsidR="003D74CE" w:rsidRPr="006122EE">
        <w:rPr>
          <w:lang w:eastAsia="en-US"/>
        </w:rPr>
      </w:r>
      <w:r w:rsidR="003D74CE" w:rsidRPr="006122EE">
        <w:rPr>
          <w:lang w:eastAsia="en-US"/>
        </w:rPr>
        <w:fldChar w:fldCharType="separate"/>
      </w:r>
      <w:r w:rsidR="00866D96">
        <w:rPr>
          <w:lang w:eastAsia="en-US"/>
        </w:rPr>
        <w:t>5.3.1</w:t>
      </w:r>
      <w:r w:rsidR="003D74CE" w:rsidRPr="006122EE">
        <w:rPr>
          <w:lang w:eastAsia="en-US"/>
        </w:rPr>
        <w:fldChar w:fldCharType="end"/>
      </w:r>
      <w:r w:rsidRPr="006122EE">
        <w:rPr>
          <w:lang w:eastAsia="en-US"/>
        </w:rPr>
        <w:t xml:space="preserve">). The purpose of establishing a government </w:t>
      </w:r>
      <w:r w:rsidR="00DA6589" w:rsidRPr="006122EE">
        <w:rPr>
          <w:lang w:eastAsia="en-US"/>
        </w:rPr>
        <w:t xml:space="preserve">committee </w:t>
      </w:r>
      <w:r w:rsidRPr="006122EE">
        <w:rPr>
          <w:lang w:eastAsia="en-US"/>
        </w:rPr>
        <w:t xml:space="preserve">rather than an independent centre would be to instil the entity with greater authority to supervise and administer the EE and RE activities. </w:t>
      </w:r>
      <w:r w:rsidR="002D6717" w:rsidRPr="006122EE">
        <w:rPr>
          <w:lang w:eastAsia="en-US"/>
        </w:rPr>
        <w:t xml:space="preserve">It could be a stand-alone agency but more likely it would be a department within the </w:t>
      </w:r>
      <w:r w:rsidR="003D74CE" w:rsidRPr="006122EE">
        <w:rPr>
          <w:lang w:eastAsia="en-US"/>
        </w:rPr>
        <w:t>credibility in the eyes of many people than a government ministry. In this regard, it would be appropriate if the</w:t>
      </w:r>
      <w:r w:rsidR="00DA6589" w:rsidRPr="006122EE">
        <w:rPr>
          <w:lang w:eastAsia="en-US"/>
        </w:rPr>
        <w:t xml:space="preserve"> committee is vested at the</w:t>
      </w:r>
      <w:r w:rsidR="003D74CE" w:rsidRPr="006122EE">
        <w:rPr>
          <w:lang w:eastAsia="en-US"/>
        </w:rPr>
        <w:t xml:space="preserve"> Ministry of Natural Resources, Energy and Mining</w:t>
      </w:r>
      <w:r w:rsidR="002D6717" w:rsidRPr="006122EE">
        <w:rPr>
          <w:lang w:eastAsia="en-US"/>
        </w:rPr>
        <w:t>.</w:t>
      </w:r>
    </w:p>
    <w:p w14:paraId="28B7722A" w14:textId="77777777" w:rsidR="006F609C" w:rsidRPr="006122EE" w:rsidRDefault="006F609C" w:rsidP="00B1153E">
      <w:pPr>
        <w:pStyle w:val="BTitle3"/>
        <w:spacing w:line="276" w:lineRule="auto"/>
        <w:rPr>
          <w:noProof w:val="0"/>
          <w:lang w:val="en-GB"/>
        </w:rPr>
      </w:pPr>
      <w:bookmarkStart w:id="560" w:name="_Toc447217044"/>
      <w:bookmarkStart w:id="561" w:name="_Toc481614946"/>
      <w:r w:rsidRPr="006122EE">
        <w:rPr>
          <w:noProof w:val="0"/>
          <w:lang w:val="en-GB"/>
        </w:rPr>
        <w:t xml:space="preserve">Sub-national </w:t>
      </w:r>
      <w:bookmarkStart w:id="562" w:name="_Toc441762709"/>
      <w:bookmarkEnd w:id="560"/>
      <w:bookmarkEnd w:id="562"/>
      <w:r w:rsidRPr="006122EE">
        <w:rPr>
          <w:noProof w:val="0"/>
          <w:lang w:val="en-GB"/>
        </w:rPr>
        <w:t>initiatives</w:t>
      </w:r>
      <w:bookmarkEnd w:id="561"/>
    </w:p>
    <w:p w14:paraId="20A37001" w14:textId="77777777" w:rsidR="006F609C" w:rsidRPr="006122EE" w:rsidRDefault="006F609C" w:rsidP="00B1153E">
      <w:pPr>
        <w:spacing w:before="0" w:line="276" w:lineRule="auto"/>
        <w:rPr>
          <w:rFonts w:cs="Arial"/>
          <w:szCs w:val="20"/>
        </w:rPr>
      </w:pPr>
      <w:r w:rsidRPr="006122EE">
        <w:rPr>
          <w:rFonts w:cs="Arial"/>
          <w:szCs w:val="20"/>
        </w:rPr>
        <w:t xml:space="preserve">While </w:t>
      </w:r>
      <w:r w:rsidR="003D471C">
        <w:rPr>
          <w:rFonts w:cs="Arial"/>
          <w:szCs w:val="20"/>
        </w:rPr>
        <w:t>DO</w:t>
      </w:r>
      <w:r w:rsidR="00737FD7" w:rsidRPr="006122EE">
        <w:rPr>
          <w:rFonts w:cs="Arial"/>
          <w:szCs w:val="20"/>
        </w:rPr>
        <w:t>E</w:t>
      </w:r>
      <w:r w:rsidR="003D471C">
        <w:rPr>
          <w:rFonts w:cs="Arial"/>
          <w:szCs w:val="20"/>
        </w:rPr>
        <w:t>A</w:t>
      </w:r>
      <w:r w:rsidR="00737FD7" w:rsidRPr="006122EE">
        <w:rPr>
          <w:rFonts w:cs="Arial"/>
          <w:szCs w:val="20"/>
        </w:rPr>
        <w:t>, M</w:t>
      </w:r>
      <w:r w:rsidRPr="006122EE">
        <w:rPr>
          <w:rFonts w:cs="Arial"/>
          <w:szCs w:val="20"/>
        </w:rPr>
        <w:t xml:space="preserve">ERA and other national ministries have the lead responsibility for developing and enforcing energy policy and regulations, a major role can be played by local governments at the provincial, </w:t>
      </w:r>
      <w:r w:rsidR="00737FD7" w:rsidRPr="006122EE">
        <w:rPr>
          <w:rFonts w:cs="Arial"/>
          <w:szCs w:val="20"/>
        </w:rPr>
        <w:t xml:space="preserve">district and municipal levels. </w:t>
      </w:r>
      <w:r w:rsidRPr="006122EE">
        <w:rPr>
          <w:rFonts w:cs="Arial"/>
          <w:szCs w:val="20"/>
        </w:rPr>
        <w:t xml:space="preserve">This is particularly the case in urban transport in the larger cities, but local governments can also play a major role in increasing energy efficiency, energy access and renewable energy development. </w:t>
      </w:r>
    </w:p>
    <w:p w14:paraId="390C996D" w14:textId="77777777" w:rsidR="002D6717" w:rsidRPr="006122EE" w:rsidRDefault="002D6717" w:rsidP="00B1153E">
      <w:pPr>
        <w:spacing w:before="0" w:line="276" w:lineRule="auto"/>
        <w:rPr>
          <w:rFonts w:cs="Arial"/>
          <w:szCs w:val="20"/>
          <w:highlight w:val="yellow"/>
        </w:rPr>
      </w:pPr>
      <w:r w:rsidRPr="006122EE">
        <w:rPr>
          <w:rFonts w:cs="Arial"/>
          <w:szCs w:val="20"/>
        </w:rPr>
        <w:t>Local governments around the world have taken major steps to address energy use in their own facilities and in the buildings, factories, appliances and motor vehicles used by their citizens and businesses. Many have committed themselves to reducing greenhouse gases.</w:t>
      </w:r>
    </w:p>
    <w:p w14:paraId="3366B3E1" w14:textId="77777777" w:rsidR="002D6717" w:rsidRPr="006122EE" w:rsidRDefault="00831A6B" w:rsidP="00B1153E">
      <w:pPr>
        <w:spacing w:before="0" w:line="276" w:lineRule="auto"/>
        <w:rPr>
          <w:rFonts w:cs="Arial"/>
          <w:szCs w:val="20"/>
        </w:rPr>
      </w:pPr>
      <w:r w:rsidRPr="006122EE">
        <w:rPr>
          <w:lang w:eastAsia="en-US"/>
        </w:rPr>
        <w:t>National ministries will work with</w:t>
      </w:r>
      <w:r w:rsidR="002D6717" w:rsidRPr="006122EE">
        <w:rPr>
          <w:rFonts w:cs="Arial"/>
          <w:szCs w:val="20"/>
        </w:rPr>
        <w:t xml:space="preserve"> </w:t>
      </w:r>
      <w:r w:rsidRPr="006122EE">
        <w:rPr>
          <w:rFonts w:cs="Arial"/>
          <w:szCs w:val="20"/>
        </w:rPr>
        <w:t>local governments</w:t>
      </w:r>
      <w:r w:rsidR="002D6717" w:rsidRPr="006122EE">
        <w:rPr>
          <w:rFonts w:cs="Arial"/>
          <w:szCs w:val="20"/>
        </w:rPr>
        <w:t xml:space="preserve"> to develop a strategy among local governments to address the </w:t>
      </w:r>
      <w:r w:rsidR="00FE7056" w:rsidRPr="006122EE">
        <w:rPr>
          <w:lang w:eastAsia="en-US"/>
        </w:rPr>
        <w:t>SE4ALL</w:t>
      </w:r>
      <w:r w:rsidR="002D6717" w:rsidRPr="006122EE">
        <w:rPr>
          <w:rFonts w:cs="Arial"/>
          <w:szCs w:val="20"/>
        </w:rPr>
        <w:t xml:space="preserve"> themes in a comprehensive and coordinated manner. </w:t>
      </w:r>
    </w:p>
    <w:p w14:paraId="060F8AF2" w14:textId="77777777" w:rsidR="006F609C" w:rsidRPr="006122EE" w:rsidRDefault="002D6717" w:rsidP="00B1153E">
      <w:pPr>
        <w:widowControl w:val="0"/>
        <w:tabs>
          <w:tab w:val="left" w:pos="7430"/>
        </w:tabs>
        <w:spacing w:before="90" w:after="180" w:line="276" w:lineRule="auto"/>
        <w:rPr>
          <w:rFonts w:cs="Arial"/>
          <w:szCs w:val="20"/>
        </w:rPr>
      </w:pPr>
      <w:r w:rsidRPr="006122EE" w:rsidDel="002D6717">
        <w:rPr>
          <w:rFonts w:cs="Arial"/>
          <w:szCs w:val="20"/>
        </w:rPr>
        <w:t xml:space="preserve"> </w:t>
      </w:r>
      <w:r w:rsidR="006F609C" w:rsidRPr="006122EE">
        <w:rPr>
          <w:rFonts w:cs="Arial"/>
          <w:szCs w:val="20"/>
        </w:rPr>
        <w:t xml:space="preserve">Among the local initiatives that could be pursued under the </w:t>
      </w:r>
      <w:r w:rsidR="00FE7056" w:rsidRPr="006122EE">
        <w:rPr>
          <w:lang w:eastAsia="en-US"/>
        </w:rPr>
        <w:t>SE4ALL</w:t>
      </w:r>
      <w:r w:rsidR="006F609C" w:rsidRPr="006122EE">
        <w:rPr>
          <w:rFonts w:cs="Arial"/>
          <w:szCs w:val="20"/>
        </w:rPr>
        <w:t xml:space="preserve"> initiative are:</w:t>
      </w:r>
    </w:p>
    <w:p w14:paraId="1D520EFA" w14:textId="77777777" w:rsidR="006F609C" w:rsidRPr="00866D96" w:rsidRDefault="006F609C" w:rsidP="00B1153E">
      <w:pPr>
        <w:pStyle w:val="DBulletlevel1"/>
        <w:spacing w:line="276" w:lineRule="auto"/>
        <w:rPr>
          <w:noProof w:val="0"/>
        </w:rPr>
      </w:pPr>
      <w:r w:rsidRPr="00866D96">
        <w:rPr>
          <w:noProof w:val="0"/>
        </w:rPr>
        <w:t>Improving energy efficiency in local government facilities, including buildings, street lights, and water pumping</w:t>
      </w:r>
      <w:r w:rsidR="00AB3EEF" w:rsidRPr="00866D96">
        <w:rPr>
          <w:noProof w:val="0"/>
        </w:rPr>
        <w:t>.</w:t>
      </w:r>
    </w:p>
    <w:p w14:paraId="701554F9" w14:textId="77777777" w:rsidR="006F609C" w:rsidRPr="00866D96" w:rsidRDefault="006F609C" w:rsidP="00B1153E">
      <w:pPr>
        <w:pStyle w:val="DBulletlevel1"/>
        <w:spacing w:line="276" w:lineRule="auto"/>
        <w:rPr>
          <w:noProof w:val="0"/>
        </w:rPr>
      </w:pPr>
      <w:r w:rsidRPr="00866D96">
        <w:rPr>
          <w:noProof w:val="0"/>
        </w:rPr>
        <w:t>Establishing a local government procurement policy that incorporates energy efficiency into purchasing decisions for lights, fans, and other equipment</w:t>
      </w:r>
      <w:r w:rsidR="00AB3EEF" w:rsidRPr="00866D96">
        <w:rPr>
          <w:noProof w:val="0"/>
        </w:rPr>
        <w:t>.</w:t>
      </w:r>
    </w:p>
    <w:p w14:paraId="7D69D195" w14:textId="77777777" w:rsidR="006F609C" w:rsidRPr="00866D96" w:rsidRDefault="006F609C" w:rsidP="00B1153E">
      <w:pPr>
        <w:pStyle w:val="DBulletlevel1"/>
        <w:spacing w:line="276" w:lineRule="auto"/>
        <w:rPr>
          <w:noProof w:val="0"/>
        </w:rPr>
      </w:pPr>
      <w:r w:rsidRPr="00866D96">
        <w:rPr>
          <w:noProof w:val="0"/>
        </w:rPr>
        <w:t>Helping facilitate energy efficiency improvements and installations of solar water heaters in residents’ homes and businesses</w:t>
      </w:r>
      <w:r w:rsidR="00AB3EEF" w:rsidRPr="00866D96">
        <w:rPr>
          <w:noProof w:val="0"/>
        </w:rPr>
        <w:t>.</w:t>
      </w:r>
    </w:p>
    <w:p w14:paraId="5F9A4E84" w14:textId="77777777" w:rsidR="006F609C" w:rsidRPr="00866D96" w:rsidRDefault="006F609C" w:rsidP="00B1153E">
      <w:pPr>
        <w:pStyle w:val="DBulletlevel1"/>
        <w:spacing w:line="276" w:lineRule="auto"/>
        <w:rPr>
          <w:noProof w:val="0"/>
        </w:rPr>
      </w:pPr>
      <w:r w:rsidRPr="00866D96">
        <w:rPr>
          <w:noProof w:val="0"/>
        </w:rPr>
        <w:t>Providing land for LPG storage and refuelling stations and helping promote LPG for cooking with local residents</w:t>
      </w:r>
      <w:r w:rsidR="00AB3EEF" w:rsidRPr="00866D96">
        <w:rPr>
          <w:noProof w:val="0"/>
        </w:rPr>
        <w:t>.</w:t>
      </w:r>
    </w:p>
    <w:p w14:paraId="3DC314DD" w14:textId="77777777" w:rsidR="006F609C" w:rsidRPr="00866D96" w:rsidRDefault="006F609C" w:rsidP="00B1153E">
      <w:pPr>
        <w:pStyle w:val="DBulletlevel1"/>
        <w:spacing w:line="276" w:lineRule="auto"/>
        <w:rPr>
          <w:noProof w:val="0"/>
        </w:rPr>
      </w:pPr>
      <w:r w:rsidRPr="00866D96">
        <w:rPr>
          <w:noProof w:val="0"/>
        </w:rPr>
        <w:t>Procuring flex-fuel vehicles for local government fleets.</w:t>
      </w:r>
    </w:p>
    <w:p w14:paraId="0004463E" w14:textId="77777777" w:rsidR="006F609C" w:rsidRPr="006122EE" w:rsidRDefault="006F609C" w:rsidP="00B1153E">
      <w:pPr>
        <w:pStyle w:val="BTitle3"/>
        <w:spacing w:line="276" w:lineRule="auto"/>
        <w:rPr>
          <w:noProof w:val="0"/>
          <w:lang w:val="en-GB"/>
        </w:rPr>
      </w:pPr>
      <w:r w:rsidRPr="006122EE">
        <w:rPr>
          <w:noProof w:val="0"/>
          <w:lang w:val="en-GB"/>
        </w:rPr>
        <w:tab/>
      </w:r>
      <w:r w:rsidRPr="006122EE">
        <w:rPr>
          <w:noProof w:val="0"/>
          <w:lang w:val="en-GB"/>
        </w:rPr>
        <w:tab/>
      </w:r>
      <w:bookmarkStart w:id="563" w:name="_Toc447217045"/>
      <w:bookmarkStart w:id="564" w:name="_Toc481614947"/>
      <w:r w:rsidRPr="006122EE">
        <w:rPr>
          <w:noProof w:val="0"/>
          <w:lang w:val="en-GB"/>
        </w:rPr>
        <w:t>Finance and risk management</w:t>
      </w:r>
      <w:bookmarkEnd w:id="563"/>
      <w:bookmarkEnd w:id="564"/>
      <w:r w:rsidRPr="006122EE">
        <w:rPr>
          <w:noProof w:val="0"/>
          <w:lang w:val="en-GB"/>
        </w:rPr>
        <w:tab/>
      </w:r>
    </w:p>
    <w:p w14:paraId="3F0777D7" w14:textId="77777777" w:rsidR="006F609C" w:rsidRPr="006122EE" w:rsidRDefault="006F609C" w:rsidP="00B1153E">
      <w:pPr>
        <w:spacing w:line="276" w:lineRule="auto"/>
        <w:rPr>
          <w:rFonts w:eastAsia="Arial" w:cs="Arial"/>
          <w:color w:val="000000"/>
        </w:rPr>
      </w:pPr>
      <w:r w:rsidRPr="006122EE">
        <w:rPr>
          <w:rFonts w:eastAsia="Arial" w:cs="Arial"/>
          <w:color w:val="000000"/>
        </w:rPr>
        <w:t xml:space="preserve">A number of </w:t>
      </w:r>
      <w:r w:rsidR="00FE7056" w:rsidRPr="006122EE">
        <w:rPr>
          <w:lang w:eastAsia="en-US"/>
        </w:rPr>
        <w:t>SE4ALL</w:t>
      </w:r>
      <w:r w:rsidRPr="006122EE">
        <w:rPr>
          <w:rFonts w:eastAsia="Arial" w:cs="Arial"/>
          <w:color w:val="000000"/>
        </w:rPr>
        <w:t xml:space="preserve"> actions will require funding or financing to be implemented. For example, the construction of rural mini-grids, the installation of energy–efficient equipment in mines and factories, the establishment of an LPG distribution, storage and refuelling network, and the expanded cultivation of sugar-cane for ethanol production, among other activities, all require some form of debt and/or equity investments. </w:t>
      </w:r>
    </w:p>
    <w:p w14:paraId="1C8D393E" w14:textId="77777777" w:rsidR="006F609C" w:rsidRPr="006122EE" w:rsidRDefault="006F609C" w:rsidP="00B1153E">
      <w:pPr>
        <w:spacing w:line="276" w:lineRule="auto"/>
        <w:rPr>
          <w:lang w:eastAsia="en-US"/>
        </w:rPr>
      </w:pPr>
      <w:r w:rsidRPr="006122EE">
        <w:rPr>
          <w:rFonts w:eastAsia="Arial" w:cs="Arial"/>
          <w:color w:val="000000"/>
        </w:rPr>
        <w:t xml:space="preserve">One idea discussed as a priority action in the Energy Efficiency in Section 5.4.1 is the establishment of a dedicated fund for these kinds of activities as well as to fund feasibility studies, training workshops and other “soft” activities. Mainly, the Fund will offer concessional financing (soft loans), credit guarantees. It will include a set-aside for projects in the residential and SME sectors since these are the sectors that often have the most difficult finding affordable capital. </w:t>
      </w:r>
    </w:p>
    <w:p w14:paraId="70D9C175" w14:textId="77777777" w:rsidR="002D6717" w:rsidRPr="006122EE" w:rsidRDefault="002D6717" w:rsidP="00B1153E">
      <w:pPr>
        <w:spacing w:line="276" w:lineRule="auto"/>
        <w:rPr>
          <w:lang w:eastAsia="en-US"/>
        </w:rPr>
      </w:pPr>
      <w:r w:rsidRPr="006122EE">
        <w:rPr>
          <w:lang w:eastAsia="en-US"/>
        </w:rPr>
        <w:t xml:space="preserve">Options for capitalizing the Fund include contributions from the </w:t>
      </w:r>
      <w:r w:rsidR="001B3A04" w:rsidRPr="006122EE">
        <w:rPr>
          <w:lang w:eastAsia="en-US"/>
        </w:rPr>
        <w:t>government of Malawi</w:t>
      </w:r>
      <w:r w:rsidRPr="006122EE">
        <w:rPr>
          <w:lang w:eastAsia="en-US"/>
        </w:rPr>
        <w:t>, allotments from international donors, and an energy or water surcharge. The Fund could be modelled on the US</w:t>
      </w:r>
      <w:r w:rsidR="007B1401" w:rsidRPr="006122EE">
        <w:rPr>
          <w:lang w:eastAsia="en-US"/>
        </w:rPr>
        <w:t>D</w:t>
      </w:r>
      <w:r w:rsidRPr="006122EE">
        <w:rPr>
          <w:lang w:eastAsia="en-US"/>
        </w:rPr>
        <w:t>5 million Vietnamese Green Credit Trust Fund, which is managed by commercial banks.</w:t>
      </w:r>
    </w:p>
    <w:p w14:paraId="6CDF9FB6" w14:textId="77777777" w:rsidR="006F609C" w:rsidRPr="006122EE" w:rsidRDefault="006F609C" w:rsidP="00B1153E">
      <w:pPr>
        <w:spacing w:line="276" w:lineRule="auto"/>
        <w:rPr>
          <w:lang w:eastAsia="en-US"/>
        </w:rPr>
      </w:pPr>
      <w:r w:rsidRPr="006122EE">
        <w:rPr>
          <w:lang w:eastAsia="en-US"/>
        </w:rPr>
        <w:t xml:space="preserve">Financial instruments will include soft loans, loan guarantees, off-taking guarantees, </w:t>
      </w:r>
      <w:r w:rsidR="00737FD7" w:rsidRPr="006122EE">
        <w:rPr>
          <w:lang w:eastAsia="en-US"/>
        </w:rPr>
        <w:t>and solar</w:t>
      </w:r>
      <w:r w:rsidRPr="006122EE">
        <w:rPr>
          <w:lang w:eastAsia="en-US"/>
        </w:rPr>
        <w:t xml:space="preserve"> micro-leases.</w:t>
      </w:r>
    </w:p>
    <w:p w14:paraId="59FEECD8" w14:textId="77777777" w:rsidR="006F609C" w:rsidRPr="006122EE" w:rsidRDefault="006F609C" w:rsidP="00B1153E">
      <w:pPr>
        <w:pStyle w:val="BTitle3"/>
        <w:spacing w:line="276" w:lineRule="auto"/>
        <w:rPr>
          <w:noProof w:val="0"/>
          <w:lang w:val="en-GB"/>
        </w:rPr>
      </w:pPr>
      <w:bookmarkStart w:id="565" w:name="_Toc447217046"/>
      <w:bookmarkStart w:id="566" w:name="_Toc481614948"/>
      <w:r w:rsidRPr="006122EE">
        <w:rPr>
          <w:noProof w:val="0"/>
          <w:lang w:val="en-GB"/>
        </w:rPr>
        <w:t>Capacity building and education</w:t>
      </w:r>
      <w:bookmarkEnd w:id="565"/>
      <w:bookmarkEnd w:id="566"/>
    </w:p>
    <w:p w14:paraId="23D111AF" w14:textId="77777777" w:rsidR="006F609C" w:rsidRPr="006122EE" w:rsidRDefault="006F609C" w:rsidP="00B1153E">
      <w:pPr>
        <w:spacing w:line="276" w:lineRule="auto"/>
      </w:pPr>
      <w:r w:rsidRPr="006122EE">
        <w:t xml:space="preserve">All the </w:t>
      </w:r>
      <w:r w:rsidR="00FE7056" w:rsidRPr="006122EE">
        <w:rPr>
          <w:lang w:eastAsia="en-US"/>
        </w:rPr>
        <w:t>SE4ALL</w:t>
      </w:r>
      <w:r w:rsidRPr="006122EE">
        <w:t xml:space="preserve"> thematic areas will require capacity building and training activities. Examples include:</w:t>
      </w:r>
    </w:p>
    <w:p w14:paraId="26A019AD" w14:textId="77777777" w:rsidR="006F609C" w:rsidRPr="00866D96" w:rsidRDefault="006F609C" w:rsidP="00B1153E">
      <w:pPr>
        <w:pStyle w:val="DBulletlevel1"/>
        <w:spacing w:line="276" w:lineRule="auto"/>
        <w:rPr>
          <w:noProof w:val="0"/>
        </w:rPr>
      </w:pPr>
      <w:r w:rsidRPr="00866D96">
        <w:rPr>
          <w:noProof w:val="0"/>
        </w:rPr>
        <w:t>Strengthening government ministries to develop, manage and evaluate sustainable energy programs</w:t>
      </w:r>
      <w:r w:rsidR="00AB3EEF" w:rsidRPr="00866D96">
        <w:rPr>
          <w:noProof w:val="0"/>
        </w:rPr>
        <w:t>.</w:t>
      </w:r>
    </w:p>
    <w:p w14:paraId="6705D70A" w14:textId="77777777" w:rsidR="006F609C" w:rsidRPr="00866D96" w:rsidRDefault="006F609C" w:rsidP="00B1153E">
      <w:pPr>
        <w:pStyle w:val="DBulletlevel1"/>
        <w:spacing w:line="276" w:lineRule="auto"/>
        <w:rPr>
          <w:noProof w:val="0"/>
        </w:rPr>
      </w:pPr>
      <w:r w:rsidRPr="00866D96">
        <w:rPr>
          <w:noProof w:val="0"/>
        </w:rPr>
        <w:t>Assisting local government to understand how to develop local energy plans and programs, how to finance them and how such plans and programs provide benefits to the local governments</w:t>
      </w:r>
      <w:r w:rsidR="00AB3EEF" w:rsidRPr="00866D96">
        <w:rPr>
          <w:noProof w:val="0"/>
        </w:rPr>
        <w:t>.</w:t>
      </w:r>
      <w:r w:rsidRPr="00866D96">
        <w:rPr>
          <w:noProof w:val="0"/>
        </w:rPr>
        <w:t xml:space="preserve"> </w:t>
      </w:r>
    </w:p>
    <w:p w14:paraId="661788A0" w14:textId="77777777" w:rsidR="006F609C" w:rsidRPr="00866D96" w:rsidRDefault="006F609C" w:rsidP="00B1153E">
      <w:pPr>
        <w:pStyle w:val="DBulletlevel1"/>
        <w:spacing w:line="276" w:lineRule="auto"/>
        <w:rPr>
          <w:noProof w:val="0"/>
        </w:rPr>
      </w:pPr>
      <w:r w:rsidRPr="00866D96">
        <w:rPr>
          <w:noProof w:val="0"/>
        </w:rPr>
        <w:t>Training and certifying energy auditors, building energy managers, and program evaluators</w:t>
      </w:r>
      <w:r w:rsidR="00AB3EEF" w:rsidRPr="00866D96">
        <w:rPr>
          <w:noProof w:val="0"/>
        </w:rPr>
        <w:t>.</w:t>
      </w:r>
    </w:p>
    <w:p w14:paraId="2FE154D7" w14:textId="77777777" w:rsidR="006F609C" w:rsidRPr="00866D96" w:rsidRDefault="006F609C" w:rsidP="00B1153E">
      <w:pPr>
        <w:pStyle w:val="DBulletlevel1"/>
        <w:spacing w:line="276" w:lineRule="auto"/>
        <w:rPr>
          <w:noProof w:val="0"/>
        </w:rPr>
      </w:pPr>
      <w:r w:rsidRPr="00866D96">
        <w:rPr>
          <w:noProof w:val="0"/>
        </w:rPr>
        <w:t>Building the capability of local banks to better understand and become more comfortable with lending to sustainable energy projects</w:t>
      </w:r>
      <w:r w:rsidR="00AB3EEF" w:rsidRPr="00866D96">
        <w:rPr>
          <w:noProof w:val="0"/>
        </w:rPr>
        <w:t>.</w:t>
      </w:r>
    </w:p>
    <w:p w14:paraId="72809977" w14:textId="77777777" w:rsidR="006F609C" w:rsidRPr="00866D96" w:rsidRDefault="006F609C" w:rsidP="00B1153E">
      <w:pPr>
        <w:pStyle w:val="DBulletlevel1"/>
        <w:spacing w:line="276" w:lineRule="auto"/>
        <w:rPr>
          <w:noProof w:val="0"/>
        </w:rPr>
      </w:pPr>
      <w:r w:rsidRPr="00866D96">
        <w:rPr>
          <w:noProof w:val="0"/>
        </w:rPr>
        <w:t>Building the capability of municipal governments to plan, design, finance and evaluate mass transit systems that are convenient, energy-efficient and affordable</w:t>
      </w:r>
      <w:r w:rsidR="00AB3EEF" w:rsidRPr="00866D96">
        <w:rPr>
          <w:noProof w:val="0"/>
        </w:rPr>
        <w:t>.</w:t>
      </w:r>
    </w:p>
    <w:p w14:paraId="4A8C5082" w14:textId="77777777" w:rsidR="002D6717" w:rsidRPr="00866D96" w:rsidRDefault="002D6717" w:rsidP="00B1153E">
      <w:pPr>
        <w:pStyle w:val="DBulletlevel1"/>
        <w:spacing w:line="276" w:lineRule="auto"/>
        <w:rPr>
          <w:noProof w:val="0"/>
        </w:rPr>
      </w:pPr>
      <w:r w:rsidRPr="00866D96">
        <w:rPr>
          <w:noProof w:val="0"/>
        </w:rPr>
        <w:t xml:space="preserve">Training </w:t>
      </w:r>
      <w:r w:rsidR="001B3A04" w:rsidRPr="00866D96">
        <w:rPr>
          <w:noProof w:val="0"/>
        </w:rPr>
        <w:t>Ministry of Natural Resources, Energy and Mining</w:t>
      </w:r>
      <w:r w:rsidRPr="00866D96">
        <w:rPr>
          <w:noProof w:val="0"/>
        </w:rPr>
        <w:t xml:space="preserve"> staff on how to design, finance, administer and evaluate EE programs and on-site RE programs</w:t>
      </w:r>
      <w:r w:rsidR="00AB3EEF" w:rsidRPr="00866D96">
        <w:rPr>
          <w:noProof w:val="0"/>
        </w:rPr>
        <w:t>.</w:t>
      </w:r>
    </w:p>
    <w:p w14:paraId="03F962D2" w14:textId="77777777" w:rsidR="006F609C" w:rsidRPr="00866D96" w:rsidRDefault="006F609C" w:rsidP="00B1153E">
      <w:pPr>
        <w:pStyle w:val="DBulletlevel1"/>
        <w:spacing w:line="276" w:lineRule="auto"/>
        <w:rPr>
          <w:noProof w:val="0"/>
        </w:rPr>
      </w:pPr>
      <w:r w:rsidRPr="00866D96">
        <w:rPr>
          <w:noProof w:val="0"/>
        </w:rPr>
        <w:t>Training for entrepreneurs on how to establish an LPG distribution and refuelling business, an energy auditing and management business, a rural mini-grid business, etc.</w:t>
      </w:r>
    </w:p>
    <w:p w14:paraId="1150D2BB" w14:textId="77777777" w:rsidR="006F609C" w:rsidRPr="00866D96" w:rsidRDefault="00F26FBF" w:rsidP="00B1153E">
      <w:pPr>
        <w:pStyle w:val="BTitle3"/>
        <w:spacing w:line="276" w:lineRule="auto"/>
        <w:rPr>
          <w:noProof w:val="0"/>
          <w:lang w:val="en-GB"/>
        </w:rPr>
      </w:pPr>
      <w:bookmarkStart w:id="567" w:name="_Toc481614949"/>
      <w:r w:rsidRPr="00866D96">
        <w:rPr>
          <w:noProof w:val="0"/>
          <w:lang w:val="en-GB"/>
        </w:rPr>
        <w:t>Review of VAT Exemption for clean energy products</w:t>
      </w:r>
      <w:bookmarkEnd w:id="567"/>
    </w:p>
    <w:p w14:paraId="64B10B80" w14:textId="77777777" w:rsidR="006F609C" w:rsidRPr="006122EE" w:rsidRDefault="00F26FBF" w:rsidP="00B1153E">
      <w:pPr>
        <w:spacing w:line="276" w:lineRule="auto"/>
        <w:rPr>
          <w:b/>
          <w:szCs w:val="20"/>
        </w:rPr>
      </w:pPr>
      <w:r w:rsidRPr="006122EE">
        <w:t xml:space="preserve">The high capital cost of many clean energy technologies, </w:t>
      </w:r>
      <w:r w:rsidR="0033504C">
        <w:t xml:space="preserve">such as solar panels, inverters, LPG cylinders and </w:t>
      </w:r>
      <w:r w:rsidRPr="006122EE">
        <w:t xml:space="preserve">wind turbines can act as a break on </w:t>
      </w:r>
      <w:r w:rsidR="0033504C">
        <w:t>investment in clean energy products that are not domestically manufactured</w:t>
      </w:r>
      <w:r w:rsidRPr="006122EE">
        <w:t xml:space="preserve">. Yet eliminating VAT on these products will reduce government revenues. These revenues might </w:t>
      </w:r>
      <w:r w:rsidR="0033504C">
        <w:t xml:space="preserve">well </w:t>
      </w:r>
      <w:r w:rsidRPr="006122EE">
        <w:t>be offset, however, by the increased revenues resulting from</w:t>
      </w:r>
      <w:r w:rsidR="0033504C">
        <w:t xml:space="preserve"> </w:t>
      </w:r>
      <w:r w:rsidRPr="006122EE">
        <w:t xml:space="preserve"> increased clean energy business</w:t>
      </w:r>
      <w:r w:rsidR="0033504C">
        <w:t xml:space="preserve"> activity</w:t>
      </w:r>
      <w:r w:rsidRPr="006122EE">
        <w:t>. A careful study is needed to determine which products are suitable for a VAT exemption and whether the</w:t>
      </w:r>
      <w:r w:rsidR="0033504C">
        <w:t xml:space="preserve"> immediate</w:t>
      </w:r>
      <w:r w:rsidRPr="006122EE">
        <w:t xml:space="preserve"> revenue loss from the exemption (or partial exemption) will be offset by increased revenues from clean energy businesses</w:t>
      </w:r>
      <w:r w:rsidRPr="006122EE">
        <w:rPr>
          <w:b/>
          <w:szCs w:val="20"/>
        </w:rPr>
        <w:t>.</w:t>
      </w:r>
      <w:r w:rsidR="006E363C" w:rsidRPr="006122EE">
        <w:rPr>
          <w:b/>
          <w:szCs w:val="20"/>
        </w:rPr>
        <w:t xml:space="preserve"> </w:t>
      </w:r>
    </w:p>
    <w:p w14:paraId="771316D9" w14:textId="77777777" w:rsidR="007C41F5" w:rsidRPr="006122EE" w:rsidRDefault="007C41F5" w:rsidP="00B1153E">
      <w:pPr>
        <w:spacing w:line="276" w:lineRule="auto"/>
        <w:rPr>
          <w:b/>
          <w:szCs w:val="20"/>
        </w:rPr>
      </w:pPr>
    </w:p>
    <w:p w14:paraId="32606B82" w14:textId="77777777" w:rsidR="00DB1210" w:rsidRPr="00866D96" w:rsidRDefault="00DB1210" w:rsidP="00B1153E">
      <w:pPr>
        <w:pStyle w:val="APageheading"/>
        <w:spacing w:line="276" w:lineRule="auto"/>
        <w:rPr>
          <w:noProof w:val="0"/>
        </w:rPr>
      </w:pPr>
      <w:bookmarkStart w:id="568" w:name="_Toc481599428"/>
      <w:bookmarkStart w:id="569" w:name="_Toc481601015"/>
      <w:bookmarkStart w:id="570" w:name="_Toc481609595"/>
      <w:bookmarkStart w:id="571" w:name="_Toc481611242"/>
      <w:bookmarkStart w:id="572" w:name="_Toc481614950"/>
      <w:bookmarkStart w:id="573" w:name="_Toc447217092"/>
      <w:bookmarkEnd w:id="568"/>
      <w:bookmarkEnd w:id="569"/>
      <w:bookmarkEnd w:id="570"/>
      <w:bookmarkEnd w:id="571"/>
      <w:r w:rsidRPr="00866D96">
        <w:rPr>
          <w:noProof w:val="0"/>
        </w:rPr>
        <w:t>PART III – Coordination and Follow-up</w:t>
      </w:r>
      <w:bookmarkEnd w:id="572"/>
    </w:p>
    <w:p w14:paraId="38092AA0" w14:textId="77777777" w:rsidR="00DB1210" w:rsidRPr="00866D96" w:rsidRDefault="00DB1210" w:rsidP="00B1153E">
      <w:pPr>
        <w:pStyle w:val="BTitle20"/>
        <w:rPr>
          <w:noProof w:val="0"/>
        </w:rPr>
      </w:pPr>
      <w:bookmarkStart w:id="574" w:name="_Toc481614951"/>
      <w:r w:rsidRPr="00866D96">
        <w:rPr>
          <w:noProof w:val="0"/>
        </w:rPr>
        <w:t xml:space="preserve">National </w:t>
      </w:r>
      <w:r w:rsidR="007B1401" w:rsidRPr="00866D96">
        <w:rPr>
          <w:noProof w:val="0"/>
        </w:rPr>
        <w:t>SE4All</w:t>
      </w:r>
      <w:r w:rsidRPr="00866D96">
        <w:rPr>
          <w:noProof w:val="0"/>
        </w:rPr>
        <w:t xml:space="preserve"> taskforce (structure and coordination strategy)</w:t>
      </w:r>
      <w:bookmarkEnd w:id="573"/>
      <w:bookmarkEnd w:id="574"/>
    </w:p>
    <w:p w14:paraId="52B51224" w14:textId="77777777" w:rsidR="006E363C" w:rsidRPr="006122EE" w:rsidRDefault="00DB1210" w:rsidP="00B1153E">
      <w:pPr>
        <w:spacing w:line="276" w:lineRule="auto"/>
        <w:rPr>
          <w:rFonts w:eastAsia="Arial" w:cs="Arial"/>
          <w:color w:val="000000"/>
        </w:rPr>
      </w:pPr>
      <w:r w:rsidRPr="006122EE">
        <w:rPr>
          <w:rFonts w:eastAsia="Arial" w:cs="Arial"/>
          <w:color w:val="000000"/>
        </w:rPr>
        <w:t>The implementation of the AA</w:t>
      </w:r>
      <w:r w:rsidR="00A22509" w:rsidRPr="006122EE">
        <w:rPr>
          <w:rFonts w:eastAsia="Arial" w:cs="Arial"/>
          <w:color w:val="000000"/>
        </w:rPr>
        <w:t xml:space="preserve">’s priority </w:t>
      </w:r>
      <w:r w:rsidR="006E363C" w:rsidRPr="006122EE">
        <w:rPr>
          <w:rFonts w:eastAsia="Arial" w:cs="Arial"/>
          <w:color w:val="000000"/>
        </w:rPr>
        <w:t>actions will</w:t>
      </w:r>
      <w:r w:rsidRPr="006122EE">
        <w:rPr>
          <w:rFonts w:eastAsia="Arial" w:cs="Arial"/>
          <w:color w:val="000000"/>
        </w:rPr>
        <w:t xml:space="preserve"> require </w:t>
      </w:r>
      <w:r w:rsidR="006E363C" w:rsidRPr="006122EE">
        <w:rPr>
          <w:rFonts w:eastAsia="Arial" w:cs="Arial"/>
          <w:color w:val="000000"/>
        </w:rPr>
        <w:t>a strong</w:t>
      </w:r>
      <w:r w:rsidRPr="006122EE">
        <w:rPr>
          <w:rFonts w:eastAsia="Arial" w:cs="Arial"/>
          <w:color w:val="000000"/>
        </w:rPr>
        <w:t xml:space="preserve"> and effective collaboration</w:t>
      </w:r>
      <w:r w:rsidR="00A22509" w:rsidRPr="006122EE">
        <w:rPr>
          <w:rFonts w:eastAsia="Arial" w:cs="Arial"/>
          <w:color w:val="000000"/>
        </w:rPr>
        <w:t xml:space="preserve"> among public and private stakeholders</w:t>
      </w:r>
      <w:r w:rsidR="006E363C" w:rsidRPr="006122EE">
        <w:rPr>
          <w:rFonts w:eastAsia="Arial" w:cs="Arial"/>
          <w:color w:val="000000"/>
        </w:rPr>
        <w:t>.</w:t>
      </w:r>
      <w:r w:rsidRPr="006122EE">
        <w:rPr>
          <w:rFonts w:eastAsia="Arial" w:cs="Arial"/>
          <w:color w:val="000000"/>
        </w:rPr>
        <w:t xml:space="preserve"> </w:t>
      </w:r>
      <w:bookmarkStart w:id="575" w:name="_Toc447217093"/>
    </w:p>
    <w:bookmarkEnd w:id="575"/>
    <w:p w14:paraId="0785DD00" w14:textId="77777777" w:rsidR="00DB1210" w:rsidRPr="006122EE" w:rsidRDefault="00DB1210" w:rsidP="00B1153E">
      <w:pPr>
        <w:spacing w:line="276" w:lineRule="auto"/>
        <w:rPr>
          <w:rFonts w:eastAsia="Arial" w:cs="Arial"/>
          <w:color w:val="000000"/>
        </w:rPr>
      </w:pPr>
      <w:r w:rsidRPr="006122EE">
        <w:rPr>
          <w:rFonts w:eastAsia="Arial" w:cs="Arial"/>
          <w:color w:val="000000"/>
        </w:rPr>
        <w:t xml:space="preserve">The Department of Energy, as the National </w:t>
      </w:r>
      <w:r w:rsidR="00FE7056" w:rsidRPr="006122EE">
        <w:rPr>
          <w:lang w:eastAsia="en-US"/>
        </w:rPr>
        <w:t>SE4ALL</w:t>
      </w:r>
      <w:r w:rsidRPr="006122EE">
        <w:rPr>
          <w:rFonts w:eastAsia="Arial" w:cs="Arial"/>
          <w:color w:val="000000"/>
        </w:rPr>
        <w:t xml:space="preserve"> Coordinator will champion the implementation of the priority actions th</w:t>
      </w:r>
      <w:r w:rsidR="0042451E" w:rsidRPr="006122EE">
        <w:rPr>
          <w:rFonts w:eastAsia="Arial" w:cs="Arial"/>
          <w:color w:val="000000"/>
        </w:rPr>
        <w:t>at have been agreed by the AA</w:t>
      </w:r>
      <w:r w:rsidRPr="006122EE">
        <w:rPr>
          <w:rFonts w:eastAsia="Arial" w:cs="Arial"/>
          <w:color w:val="000000"/>
        </w:rPr>
        <w:t xml:space="preserve"> development process. It will ensure that </w:t>
      </w:r>
      <w:r w:rsidR="00FE7056" w:rsidRPr="006122EE">
        <w:rPr>
          <w:lang w:eastAsia="en-US"/>
        </w:rPr>
        <w:t>SE4ALL</w:t>
      </w:r>
      <w:r w:rsidRPr="006122EE">
        <w:rPr>
          <w:rFonts w:eastAsia="Arial" w:cs="Arial"/>
          <w:color w:val="000000"/>
        </w:rPr>
        <w:t xml:space="preserve"> is mainstreamed into the national development agenda.</w:t>
      </w:r>
    </w:p>
    <w:p w14:paraId="357C0E62" w14:textId="77777777" w:rsidR="00A22509" w:rsidRPr="006122EE" w:rsidRDefault="003D471C" w:rsidP="00B1153E">
      <w:pPr>
        <w:spacing w:line="276" w:lineRule="auto"/>
        <w:rPr>
          <w:rFonts w:eastAsia="Arial" w:cs="Arial"/>
          <w:color w:val="000000"/>
        </w:rPr>
      </w:pPr>
      <w:r>
        <w:rPr>
          <w:rFonts w:eastAsia="Arial" w:cs="Arial"/>
          <w:color w:val="000000"/>
        </w:rPr>
        <w:t>DOEA</w:t>
      </w:r>
      <w:r w:rsidR="00DB1210" w:rsidRPr="006122EE">
        <w:rPr>
          <w:rFonts w:eastAsia="Arial" w:cs="Arial"/>
          <w:color w:val="000000"/>
        </w:rPr>
        <w:t xml:space="preserve"> will be supported by an Advisory Group comprised of specialised institutions such as MERA, research institutions, private sector, development partners and civic society/NGOs. The Advisory Group will advise the National Coordinator on policy planning, business models, capacity building, AA target setting and technology transfer amongst others. </w:t>
      </w:r>
    </w:p>
    <w:p w14:paraId="7340A715" w14:textId="77777777" w:rsidR="00A22509" w:rsidRPr="006122EE" w:rsidRDefault="003D471C" w:rsidP="00B1153E">
      <w:pPr>
        <w:spacing w:line="276" w:lineRule="auto"/>
        <w:rPr>
          <w:rFonts w:eastAsia="Arial" w:cs="Arial"/>
          <w:color w:val="000000"/>
        </w:rPr>
      </w:pPr>
      <w:r>
        <w:rPr>
          <w:rFonts w:eastAsia="Arial" w:cs="Arial"/>
          <w:color w:val="000000"/>
        </w:rPr>
        <w:t>The DOEA</w:t>
      </w:r>
      <w:r w:rsidR="008864C1" w:rsidRPr="006122EE">
        <w:rPr>
          <w:rFonts w:eastAsia="Arial" w:cs="Arial"/>
          <w:color w:val="000000"/>
        </w:rPr>
        <w:t xml:space="preserve"> will also chair an inter-ministerial working group whose members will regularly meet to update each other and exchange information on c</w:t>
      </w:r>
      <w:r>
        <w:rPr>
          <w:rFonts w:eastAsia="Arial" w:cs="Arial"/>
          <w:color w:val="000000"/>
        </w:rPr>
        <w:t>lean energy-related matters. DOEA</w:t>
      </w:r>
      <w:r w:rsidR="008864C1" w:rsidRPr="006122EE">
        <w:rPr>
          <w:rFonts w:eastAsia="Arial" w:cs="Arial"/>
          <w:color w:val="000000"/>
        </w:rPr>
        <w:t xml:space="preserve"> will maintain a database of EE, RE and transportation-related projects and plans at each ministry and will work to help the ministries implement their energy projects.</w:t>
      </w:r>
    </w:p>
    <w:p w14:paraId="1256B689" w14:textId="77777777" w:rsidR="008864C1" w:rsidRPr="006122EE" w:rsidRDefault="008864C1" w:rsidP="00B1153E">
      <w:pPr>
        <w:spacing w:line="276" w:lineRule="auto"/>
        <w:rPr>
          <w:rFonts w:eastAsia="Arial" w:cs="Arial"/>
          <w:color w:val="000000"/>
        </w:rPr>
      </w:pPr>
      <w:r w:rsidRPr="006122EE">
        <w:rPr>
          <w:rFonts w:eastAsia="Arial" w:cs="Arial"/>
          <w:color w:val="000000"/>
        </w:rPr>
        <w:t xml:space="preserve">The Permanent Secretary of the Ministry of Finance, Economic Planning and Development will convene regular SE4ALL meetings with multilateral and bilateral donors to discuss progress on SE4ALL priority actions and what financial resources will be needed. Private investors can attend these meetings at the invitation from the PS. </w:t>
      </w:r>
    </w:p>
    <w:p w14:paraId="23A55A72" w14:textId="77777777" w:rsidR="00DB1210" w:rsidRPr="00866D96" w:rsidRDefault="00DB1210" w:rsidP="00B1153E">
      <w:pPr>
        <w:pStyle w:val="BTitle20"/>
        <w:rPr>
          <w:noProof w:val="0"/>
        </w:rPr>
      </w:pPr>
      <w:bookmarkStart w:id="576" w:name="_Toc447217096"/>
      <w:bookmarkStart w:id="577" w:name="_Toc481614952"/>
      <w:r w:rsidRPr="00866D96">
        <w:rPr>
          <w:noProof w:val="0"/>
        </w:rPr>
        <w:t>Regional Coordination</w:t>
      </w:r>
      <w:bookmarkEnd w:id="576"/>
      <w:bookmarkEnd w:id="577"/>
    </w:p>
    <w:p w14:paraId="198B957E" w14:textId="77777777" w:rsidR="00DB1210" w:rsidRPr="006122EE" w:rsidRDefault="00DB1210" w:rsidP="00B1153E">
      <w:pPr>
        <w:spacing w:line="276" w:lineRule="auto"/>
        <w:rPr>
          <w:rFonts w:eastAsia="Arial" w:cs="Arial"/>
          <w:color w:val="000000"/>
        </w:rPr>
      </w:pPr>
      <w:r w:rsidRPr="006122EE">
        <w:rPr>
          <w:rFonts w:eastAsia="Arial" w:cs="Arial"/>
          <w:color w:val="000000"/>
        </w:rPr>
        <w:t xml:space="preserve">Many of the </w:t>
      </w:r>
      <w:r w:rsidR="00FE7056" w:rsidRPr="006122EE">
        <w:rPr>
          <w:lang w:eastAsia="en-US"/>
        </w:rPr>
        <w:t>SE4ALL</w:t>
      </w:r>
      <w:r w:rsidRPr="006122EE">
        <w:rPr>
          <w:rFonts w:eastAsia="Arial" w:cs="Arial"/>
          <w:color w:val="000000"/>
        </w:rPr>
        <w:t xml:space="preserve"> actions will benefit from coordination with other countries in the Southern Africa region. For example, adoption of Minimum Energy Performance Standards (MEPS) for refrigerators, lights, and other energy-consuming equipment should be harmonized across the region so that there is a larger and more uniform market for energy-efficient appliances.</w:t>
      </w:r>
    </w:p>
    <w:p w14:paraId="1AF2C098" w14:textId="77777777" w:rsidR="00DB1210" w:rsidRPr="006122EE" w:rsidRDefault="00DB1210" w:rsidP="00B1153E">
      <w:pPr>
        <w:spacing w:line="276" w:lineRule="auto"/>
        <w:rPr>
          <w:rFonts w:eastAsia="Arial" w:cs="Arial"/>
          <w:color w:val="000000"/>
        </w:rPr>
      </w:pPr>
      <w:r w:rsidRPr="006122EE">
        <w:rPr>
          <w:rFonts w:eastAsia="Arial" w:cs="Arial"/>
          <w:color w:val="000000"/>
        </w:rPr>
        <w:t xml:space="preserve">SADC is an appropriate regional coordinating institution for </w:t>
      </w:r>
      <w:r w:rsidR="00FE7056" w:rsidRPr="006122EE">
        <w:rPr>
          <w:lang w:eastAsia="en-US"/>
        </w:rPr>
        <w:t>SE4ALL</w:t>
      </w:r>
      <w:r w:rsidR="00FE7056" w:rsidRPr="006122EE" w:rsidDel="00FE7056">
        <w:rPr>
          <w:rFonts w:eastAsia="Arial" w:cs="Arial"/>
          <w:color w:val="000000"/>
        </w:rPr>
        <w:t xml:space="preserve"> </w:t>
      </w:r>
      <w:r w:rsidR="007B1401" w:rsidRPr="006122EE">
        <w:rPr>
          <w:rFonts w:eastAsia="Arial" w:cs="Arial"/>
          <w:color w:val="000000"/>
        </w:rPr>
        <w:t>l</w:t>
      </w:r>
      <w:r w:rsidRPr="006122EE">
        <w:rPr>
          <w:rFonts w:eastAsia="Arial" w:cs="Arial"/>
          <w:color w:val="000000"/>
        </w:rPr>
        <w:t xml:space="preserve"> and has a long experience in energy. It is already in the process of establishing a regional Centre for Renewable Energy and Energy Efficiency in Namibia. </w:t>
      </w:r>
    </w:p>
    <w:p w14:paraId="6DD33513" w14:textId="77777777" w:rsidR="00DB1210" w:rsidRPr="006122EE" w:rsidRDefault="00DB1210" w:rsidP="00B1153E">
      <w:pPr>
        <w:spacing w:line="276" w:lineRule="auto"/>
        <w:rPr>
          <w:rFonts w:eastAsia="Arial" w:cs="Arial"/>
          <w:color w:val="000000"/>
        </w:rPr>
      </w:pPr>
      <w:r w:rsidRPr="006122EE">
        <w:rPr>
          <w:rFonts w:eastAsia="Arial" w:cs="Arial"/>
          <w:color w:val="000000"/>
        </w:rPr>
        <w:t>Much of SADC’s energy focus is on power pooling, but it also has initiatives in renewable energy. The objectives of the SADC Renewable Energy Policy Framework are:</w:t>
      </w:r>
    </w:p>
    <w:p w14:paraId="5AA7FA09" w14:textId="77777777" w:rsidR="00DB1210" w:rsidRPr="00866D96" w:rsidRDefault="00DB1210" w:rsidP="00B1153E">
      <w:pPr>
        <w:pStyle w:val="DBulletlevel1"/>
        <w:spacing w:line="276" w:lineRule="auto"/>
        <w:rPr>
          <w:noProof w:val="0"/>
        </w:rPr>
      </w:pPr>
      <w:r w:rsidRPr="00866D96">
        <w:rPr>
          <w:noProof w:val="0"/>
        </w:rPr>
        <w:t>Development of appropriate financing mechanism and fiscal regimes suitable for the development of Renewable Energy Technologies, (RETs)</w:t>
      </w:r>
      <w:r w:rsidR="00AB3EEF" w:rsidRPr="00866D96">
        <w:rPr>
          <w:noProof w:val="0"/>
        </w:rPr>
        <w:t>.</w:t>
      </w:r>
    </w:p>
    <w:p w14:paraId="793006E7" w14:textId="77777777" w:rsidR="00DB1210" w:rsidRPr="00866D96" w:rsidRDefault="00DB1210" w:rsidP="00B1153E">
      <w:pPr>
        <w:pStyle w:val="DBulletlevel1"/>
        <w:spacing w:line="276" w:lineRule="auto"/>
        <w:rPr>
          <w:noProof w:val="0"/>
        </w:rPr>
      </w:pPr>
      <w:r w:rsidRPr="00866D96">
        <w:rPr>
          <w:noProof w:val="0"/>
        </w:rPr>
        <w:t>Strengthening of the regional capacity and capability for RETs project development, management, monitoring and evaluation via training and regional human resource pooling</w:t>
      </w:r>
      <w:r w:rsidR="00AB3EEF" w:rsidRPr="00866D96">
        <w:rPr>
          <w:noProof w:val="0"/>
        </w:rPr>
        <w:t>.</w:t>
      </w:r>
    </w:p>
    <w:p w14:paraId="4285D1BD" w14:textId="77777777" w:rsidR="00DB1210" w:rsidRPr="00866D96" w:rsidRDefault="00DB1210" w:rsidP="00B1153E">
      <w:pPr>
        <w:pStyle w:val="DBulletlevel1"/>
        <w:spacing w:line="276" w:lineRule="auto"/>
        <w:rPr>
          <w:noProof w:val="0"/>
        </w:rPr>
      </w:pPr>
      <w:r w:rsidRPr="00866D96">
        <w:rPr>
          <w:noProof w:val="0"/>
        </w:rPr>
        <w:t>Facilitation of the link between stakeholders with a view to promoting commercialization and greater use of RETs</w:t>
      </w:r>
      <w:r w:rsidR="00AB3EEF" w:rsidRPr="00866D96">
        <w:rPr>
          <w:noProof w:val="0"/>
        </w:rPr>
        <w:t>.</w:t>
      </w:r>
    </w:p>
    <w:p w14:paraId="22CC2963" w14:textId="77777777" w:rsidR="00DB1210" w:rsidRPr="00866D96" w:rsidRDefault="00DB1210" w:rsidP="00B1153E">
      <w:pPr>
        <w:pStyle w:val="DBulletlevel1"/>
        <w:spacing w:line="276" w:lineRule="auto"/>
        <w:rPr>
          <w:noProof w:val="0"/>
        </w:rPr>
      </w:pPr>
      <w:r w:rsidRPr="00866D96">
        <w:rPr>
          <w:noProof w:val="0"/>
        </w:rPr>
        <w:t>Promotion of cost-effective pilot activities and projects for diffusion of RETs</w:t>
      </w:r>
      <w:r w:rsidR="00AB3EEF" w:rsidRPr="00866D96">
        <w:rPr>
          <w:noProof w:val="0"/>
        </w:rPr>
        <w:t>.</w:t>
      </w:r>
    </w:p>
    <w:p w14:paraId="0D5C79C2" w14:textId="77777777" w:rsidR="00DB1210" w:rsidRPr="00866D96" w:rsidRDefault="00DB1210" w:rsidP="00B1153E">
      <w:pPr>
        <w:pStyle w:val="DBulletlevel1"/>
        <w:spacing w:line="276" w:lineRule="auto"/>
        <w:rPr>
          <w:noProof w:val="0"/>
        </w:rPr>
      </w:pPr>
      <w:r w:rsidRPr="00866D96">
        <w:rPr>
          <w:noProof w:val="0"/>
        </w:rPr>
        <w:t>Collaborating with stakeholders in identifying specific needs of different energy users in order to develop programmes that tally with these needs</w:t>
      </w:r>
      <w:r w:rsidR="00AB3EEF" w:rsidRPr="00866D96">
        <w:rPr>
          <w:noProof w:val="0"/>
        </w:rPr>
        <w:t>.</w:t>
      </w:r>
    </w:p>
    <w:p w14:paraId="2FB7C332" w14:textId="77777777" w:rsidR="00DB1210" w:rsidRPr="00866D96" w:rsidRDefault="00DB1210" w:rsidP="00B1153E">
      <w:pPr>
        <w:pStyle w:val="DBulletlevel1"/>
        <w:spacing w:line="276" w:lineRule="auto"/>
        <w:rPr>
          <w:noProof w:val="0"/>
        </w:rPr>
      </w:pPr>
      <w:r w:rsidRPr="00866D96">
        <w:rPr>
          <w:noProof w:val="0"/>
        </w:rPr>
        <w:t>Increased public awareness of RETs by lobbying governments, donors, commercial entities and industries for their financial and political support of a RETs agenda</w:t>
      </w:r>
      <w:r w:rsidR="00AB3EEF" w:rsidRPr="00866D96">
        <w:rPr>
          <w:noProof w:val="0"/>
        </w:rPr>
        <w:t>.</w:t>
      </w:r>
    </w:p>
    <w:p w14:paraId="37C82616" w14:textId="77777777" w:rsidR="00DB1210" w:rsidRPr="00866D96" w:rsidRDefault="00DB1210" w:rsidP="00B1153E">
      <w:pPr>
        <w:pStyle w:val="DBulletlevel1"/>
        <w:spacing w:line="276" w:lineRule="auto"/>
        <w:rPr>
          <w:noProof w:val="0"/>
        </w:rPr>
      </w:pPr>
      <w:r w:rsidRPr="00866D96">
        <w:rPr>
          <w:noProof w:val="0"/>
        </w:rPr>
        <w:t>Facilitation of contact and cooperation among institutions involved in research and development of RETs technologies with a view to establishing consistent product standard.</w:t>
      </w:r>
    </w:p>
    <w:p w14:paraId="1469FA6E" w14:textId="77777777" w:rsidR="00DB1210" w:rsidRPr="006122EE" w:rsidRDefault="00DB1210" w:rsidP="00B1153E">
      <w:pPr>
        <w:spacing w:line="276" w:lineRule="auto"/>
        <w:rPr>
          <w:rFonts w:cs="Arial"/>
          <w:lang w:eastAsia="en-US"/>
        </w:rPr>
      </w:pPr>
      <w:r w:rsidRPr="006122EE">
        <w:rPr>
          <w:rFonts w:cs="Arial"/>
          <w:lang w:eastAsia="en-US"/>
        </w:rPr>
        <w:t xml:space="preserve">It was envisaged by SADC member countries that regional cooperation in the energy sector would involve working together in areas such as wood fuel, petroleum and natural gas, electricity, coal, new and renewable energy sources, and energy efficiency. Some of the areas that will be explored for regional cooperation under </w:t>
      </w:r>
      <w:r w:rsidR="007B1401" w:rsidRPr="006122EE">
        <w:rPr>
          <w:rFonts w:cs="Arial"/>
          <w:lang w:eastAsia="en-US"/>
        </w:rPr>
        <w:t>SE4ALL</w:t>
      </w:r>
      <w:r w:rsidRPr="006122EE">
        <w:rPr>
          <w:rFonts w:cs="Arial"/>
          <w:lang w:eastAsia="en-US"/>
        </w:rPr>
        <w:t xml:space="preserve"> might include:</w:t>
      </w:r>
    </w:p>
    <w:p w14:paraId="40B8F8AC" w14:textId="77777777" w:rsidR="00DB1210" w:rsidRPr="00866D96" w:rsidRDefault="00DB1210" w:rsidP="00B1153E">
      <w:pPr>
        <w:pStyle w:val="DBulletlevel1"/>
        <w:spacing w:line="276" w:lineRule="auto"/>
        <w:rPr>
          <w:noProof w:val="0"/>
        </w:rPr>
      </w:pPr>
      <w:r w:rsidRPr="00866D96">
        <w:rPr>
          <w:noProof w:val="0"/>
        </w:rPr>
        <w:t>Adoption of harmonized MEPS and labelling for appliances</w:t>
      </w:r>
      <w:r w:rsidR="00AB3EEF" w:rsidRPr="00866D96">
        <w:rPr>
          <w:noProof w:val="0"/>
        </w:rPr>
        <w:t>.</w:t>
      </w:r>
    </w:p>
    <w:p w14:paraId="1328A67E" w14:textId="77777777" w:rsidR="00DB1210" w:rsidRPr="00866D96" w:rsidRDefault="00DB1210" w:rsidP="00B1153E">
      <w:pPr>
        <w:pStyle w:val="DBulletlevel1"/>
        <w:spacing w:line="276" w:lineRule="auto"/>
        <w:rPr>
          <w:noProof w:val="0"/>
        </w:rPr>
      </w:pPr>
      <w:r w:rsidRPr="00866D96">
        <w:rPr>
          <w:noProof w:val="0"/>
        </w:rPr>
        <w:t>Adoption of motor vehicle fuel efficiency standards</w:t>
      </w:r>
      <w:r w:rsidR="00AB3EEF" w:rsidRPr="00866D96">
        <w:rPr>
          <w:noProof w:val="0"/>
        </w:rPr>
        <w:t>.</w:t>
      </w:r>
    </w:p>
    <w:p w14:paraId="1987F89B" w14:textId="77777777" w:rsidR="00DB1210" w:rsidRPr="00866D96" w:rsidRDefault="00DB1210" w:rsidP="00B1153E">
      <w:pPr>
        <w:pStyle w:val="DBulletlevel1"/>
        <w:spacing w:line="276" w:lineRule="auto"/>
        <w:rPr>
          <w:noProof w:val="0"/>
        </w:rPr>
      </w:pPr>
      <w:r w:rsidRPr="00866D96">
        <w:rPr>
          <w:noProof w:val="0"/>
        </w:rPr>
        <w:t>Harmonization of licensing requirements for RE and EE contractors and installers</w:t>
      </w:r>
      <w:r w:rsidR="00AB3EEF" w:rsidRPr="00866D96">
        <w:rPr>
          <w:noProof w:val="0"/>
        </w:rPr>
        <w:t>.</w:t>
      </w:r>
    </w:p>
    <w:p w14:paraId="10591B11" w14:textId="77777777" w:rsidR="00DB1210" w:rsidRPr="00866D96" w:rsidRDefault="00DB1210" w:rsidP="00B1153E">
      <w:pPr>
        <w:pStyle w:val="DBulletlevel1"/>
        <w:spacing w:line="276" w:lineRule="auto"/>
        <w:rPr>
          <w:noProof w:val="0"/>
        </w:rPr>
      </w:pPr>
      <w:r w:rsidRPr="00866D96">
        <w:rPr>
          <w:noProof w:val="0"/>
        </w:rPr>
        <w:t>Joint procurement of EE and RE products</w:t>
      </w:r>
      <w:r w:rsidR="00AB3EEF" w:rsidRPr="00866D96">
        <w:rPr>
          <w:noProof w:val="0"/>
        </w:rPr>
        <w:t>.</w:t>
      </w:r>
    </w:p>
    <w:p w14:paraId="45701CF6" w14:textId="77777777" w:rsidR="00DB1210" w:rsidRPr="00866D96" w:rsidRDefault="00DB1210" w:rsidP="00B1153E">
      <w:pPr>
        <w:pStyle w:val="DBulletlevel1"/>
        <w:spacing w:line="276" w:lineRule="auto"/>
        <w:rPr>
          <w:noProof w:val="0"/>
          <w:lang w:eastAsia="en-US"/>
        </w:rPr>
      </w:pPr>
      <w:r w:rsidRPr="00866D96">
        <w:rPr>
          <w:noProof w:val="0"/>
        </w:rPr>
        <w:t>Joint procurement of LPG and other petroleum products on the world market</w:t>
      </w:r>
      <w:r w:rsidR="00AB3EEF" w:rsidRPr="00866D96">
        <w:rPr>
          <w:noProof w:val="0"/>
        </w:rPr>
        <w:t>.</w:t>
      </w:r>
    </w:p>
    <w:p w14:paraId="7913F5A3" w14:textId="77777777" w:rsidR="00DB1210" w:rsidRPr="00866D96" w:rsidRDefault="00DB1210" w:rsidP="00B1153E">
      <w:pPr>
        <w:pStyle w:val="BTitle20"/>
        <w:rPr>
          <w:noProof w:val="0"/>
        </w:rPr>
      </w:pPr>
      <w:bookmarkStart w:id="578" w:name="_Toc447217097"/>
      <w:bookmarkStart w:id="579" w:name="_Toc481614953"/>
      <w:r w:rsidRPr="00866D96">
        <w:rPr>
          <w:noProof w:val="0"/>
        </w:rPr>
        <w:t>Follow-up analysis</w:t>
      </w:r>
      <w:bookmarkEnd w:id="578"/>
      <w:bookmarkEnd w:id="579"/>
      <w:r w:rsidRPr="00866D96">
        <w:rPr>
          <w:noProof w:val="0"/>
        </w:rPr>
        <w:tab/>
      </w:r>
    </w:p>
    <w:p w14:paraId="0DC35A1D" w14:textId="77777777" w:rsidR="00DB1210" w:rsidRPr="006122EE" w:rsidRDefault="00DB1210" w:rsidP="00B1153E">
      <w:pPr>
        <w:spacing w:line="276" w:lineRule="auto"/>
        <w:rPr>
          <w:lang w:eastAsia="en-US"/>
        </w:rPr>
      </w:pPr>
      <w:r w:rsidRPr="006122EE">
        <w:rPr>
          <w:lang w:eastAsia="en-US"/>
        </w:rPr>
        <w:t xml:space="preserve">The Action Agenda provides the strategic framework towards achieving the </w:t>
      </w:r>
      <w:r w:rsidR="00FE7056" w:rsidRPr="006122EE">
        <w:rPr>
          <w:lang w:eastAsia="en-US"/>
        </w:rPr>
        <w:t>SE4ALL</w:t>
      </w:r>
      <w:r w:rsidRPr="006122EE">
        <w:rPr>
          <w:lang w:eastAsia="en-US"/>
        </w:rPr>
        <w:t xml:space="preserve"> targets, but in many cases there will be a need for subsequent in-depth studies and analysis. </w:t>
      </w:r>
    </w:p>
    <w:p w14:paraId="1A64D398" w14:textId="77777777" w:rsidR="00DB1210" w:rsidRPr="006122EE" w:rsidRDefault="00DB1210" w:rsidP="00B1153E">
      <w:pPr>
        <w:spacing w:line="276" w:lineRule="auto"/>
      </w:pPr>
      <w:r w:rsidRPr="006122EE">
        <w:t xml:space="preserve">Independent research and analysis must be encouraged to provide unfettered views on each of the </w:t>
      </w:r>
      <w:r w:rsidR="00FE7056" w:rsidRPr="006122EE">
        <w:rPr>
          <w:lang w:eastAsia="en-US"/>
        </w:rPr>
        <w:t>SE4ALL</w:t>
      </w:r>
      <w:r w:rsidRPr="006122EE">
        <w:t xml:space="preserve"> goals, especially in order to confirm and detail, when necessary, targets and actions that have been settled in the Action Agenda:</w:t>
      </w:r>
    </w:p>
    <w:p w14:paraId="29162584" w14:textId="77777777" w:rsidR="00DB1210" w:rsidRPr="00866D96" w:rsidRDefault="00DB1210" w:rsidP="00B1153E">
      <w:pPr>
        <w:pStyle w:val="DBulletlevel1"/>
        <w:spacing w:line="276" w:lineRule="auto"/>
        <w:rPr>
          <w:noProof w:val="0"/>
        </w:rPr>
      </w:pPr>
      <w:r w:rsidRPr="00866D96">
        <w:rPr>
          <w:noProof w:val="0"/>
        </w:rPr>
        <w:t xml:space="preserve">Conduct a study on the low uptake of improved cook-stoves in </w:t>
      </w:r>
      <w:r w:rsidR="00252FE5" w:rsidRPr="00866D96">
        <w:rPr>
          <w:noProof w:val="0"/>
        </w:rPr>
        <w:t>Malawi</w:t>
      </w:r>
      <w:r w:rsidR="00AB3EEF" w:rsidRPr="00866D96">
        <w:rPr>
          <w:noProof w:val="0"/>
        </w:rPr>
        <w:t>.</w:t>
      </w:r>
    </w:p>
    <w:p w14:paraId="51AA14BD" w14:textId="77777777" w:rsidR="00DB1210" w:rsidRPr="00866D96" w:rsidRDefault="00DB1210" w:rsidP="00B1153E">
      <w:pPr>
        <w:pStyle w:val="DBulletlevel1"/>
        <w:spacing w:line="276" w:lineRule="auto"/>
        <w:rPr>
          <w:noProof w:val="0"/>
        </w:rPr>
      </w:pPr>
      <w:r w:rsidRPr="00866D96">
        <w:rPr>
          <w:noProof w:val="0"/>
        </w:rPr>
        <w:t>Conduct a research program to identify, appraise and demonstrate opportunities in waste-to-energy, biomass power, geothermal, cogeneration, energy storage, etc.</w:t>
      </w:r>
    </w:p>
    <w:p w14:paraId="04EA840F" w14:textId="77777777" w:rsidR="00DB1210" w:rsidRPr="00866D96" w:rsidRDefault="00DB1210" w:rsidP="00B1153E">
      <w:pPr>
        <w:pStyle w:val="DBulletlevel1"/>
        <w:spacing w:line="276" w:lineRule="auto"/>
        <w:rPr>
          <w:noProof w:val="0"/>
        </w:rPr>
      </w:pPr>
      <w:r w:rsidRPr="00866D96">
        <w:rPr>
          <w:noProof w:val="0"/>
        </w:rPr>
        <w:t>Develop national energy savings measurement methodologies (based on internationally accepted protocols)</w:t>
      </w:r>
      <w:r w:rsidR="00AB3EEF" w:rsidRPr="00866D96">
        <w:rPr>
          <w:noProof w:val="0"/>
        </w:rPr>
        <w:t>.</w:t>
      </w:r>
    </w:p>
    <w:p w14:paraId="33D8EE6B" w14:textId="77777777" w:rsidR="00720443" w:rsidRPr="00866D96" w:rsidRDefault="00720443" w:rsidP="00B1153E">
      <w:pPr>
        <w:pStyle w:val="DBulletlevel1"/>
        <w:spacing w:line="276" w:lineRule="auto"/>
        <w:rPr>
          <w:noProof w:val="0"/>
        </w:rPr>
      </w:pPr>
      <w:r w:rsidRPr="00866D96">
        <w:rPr>
          <w:noProof w:val="0"/>
        </w:rPr>
        <w:t>Assess the potential environmental and socio-economic impacts of the priority actions (e.g. on water, land, biodiversity, waste-related impacts, gender and jobs) and develop mitigation measures for negative impacts through a wider Strategic Impact Assessment.</w:t>
      </w:r>
    </w:p>
    <w:p w14:paraId="243F56D7" w14:textId="77777777" w:rsidR="00454B04" w:rsidRPr="00866D96" w:rsidRDefault="00454B04" w:rsidP="00B1153E">
      <w:pPr>
        <w:pStyle w:val="DBulletlevel1"/>
        <w:spacing w:line="276" w:lineRule="auto"/>
        <w:rPr>
          <w:noProof w:val="0"/>
        </w:rPr>
      </w:pPr>
      <w:r w:rsidRPr="00866D96">
        <w:rPr>
          <w:noProof w:val="0"/>
        </w:rPr>
        <w:t>Rea</w:t>
      </w:r>
      <w:r w:rsidR="00AF48CC">
        <w:rPr>
          <w:noProof w:val="0"/>
        </w:rPr>
        <w:t>ss</w:t>
      </w:r>
      <w:r w:rsidRPr="00866D96">
        <w:rPr>
          <w:noProof w:val="0"/>
        </w:rPr>
        <w:t xml:space="preserve">ess the biofuels targets in light of the </w:t>
      </w:r>
      <w:r w:rsidR="00AF48CC" w:rsidRPr="006122EE">
        <w:rPr>
          <w:noProof w:val="0"/>
        </w:rPr>
        <w:t>government</w:t>
      </w:r>
      <w:r w:rsidRPr="00866D96">
        <w:rPr>
          <w:noProof w:val="0"/>
        </w:rPr>
        <w:t xml:space="preserve"> efforts to introduce flexi-fuel vehicles. An increase should address environmental (i.e. land and water use) as well as social aspects (i.e. food vs fuel aspects) </w:t>
      </w:r>
    </w:p>
    <w:p w14:paraId="2CF33306" w14:textId="77777777" w:rsidR="00DB1210" w:rsidRPr="006122EE" w:rsidRDefault="00DB1210" w:rsidP="00B1153E">
      <w:pPr>
        <w:spacing w:line="276" w:lineRule="auto"/>
      </w:pPr>
      <w:r w:rsidRPr="006122EE">
        <w:t xml:space="preserve">Indeed, the Action Agenda provides priority actions to achieve targets. Nevertheless, there is a need to develop more detailed action plans, and especially to clarify the coordination between </w:t>
      </w:r>
      <w:r w:rsidR="00FE7056" w:rsidRPr="006122EE">
        <w:rPr>
          <w:lang w:eastAsia="en-US"/>
        </w:rPr>
        <w:t>SE4ALL</w:t>
      </w:r>
      <w:r w:rsidRPr="006122EE">
        <w:t xml:space="preserve"> Action Agenda and national strategies mentioned in Part 1.</w:t>
      </w:r>
    </w:p>
    <w:p w14:paraId="08F93A82" w14:textId="77777777" w:rsidR="00DB1210" w:rsidRPr="006122EE" w:rsidRDefault="00DB1210" w:rsidP="00B1153E">
      <w:pPr>
        <w:spacing w:line="276" w:lineRule="auto"/>
        <w:rPr>
          <w:lang w:eastAsia="en-US"/>
        </w:rPr>
      </w:pPr>
      <w:r w:rsidRPr="006122EE">
        <w:t xml:space="preserve">The Action Agenda also provides specific targets for each </w:t>
      </w:r>
      <w:r w:rsidR="00FE7056" w:rsidRPr="006122EE">
        <w:rPr>
          <w:lang w:eastAsia="en-US"/>
        </w:rPr>
        <w:t>SE4ALL</w:t>
      </w:r>
      <w:r w:rsidRPr="006122EE">
        <w:t xml:space="preserve"> goals. But there is a need for additional scenario analysis to assess the costs (technical, economic and social) of different pathways to the </w:t>
      </w:r>
      <w:r w:rsidR="00FE7056" w:rsidRPr="006122EE">
        <w:rPr>
          <w:lang w:eastAsia="en-US"/>
        </w:rPr>
        <w:t>SE4ALL</w:t>
      </w:r>
      <w:r w:rsidRPr="006122EE">
        <w:t xml:space="preserve"> targets and revise the targets if necessary in response to progress made between now and 2030.</w:t>
      </w:r>
    </w:p>
    <w:p w14:paraId="5C465216" w14:textId="77777777" w:rsidR="00DB1210" w:rsidRPr="00866D96" w:rsidRDefault="00DB1210" w:rsidP="00B1153E">
      <w:pPr>
        <w:pStyle w:val="BTitle20"/>
        <w:rPr>
          <w:noProof w:val="0"/>
        </w:rPr>
      </w:pPr>
      <w:bookmarkStart w:id="580" w:name="_Toc447217098"/>
      <w:bookmarkStart w:id="581" w:name="_Toc481614954"/>
      <w:r w:rsidRPr="00866D96">
        <w:rPr>
          <w:noProof w:val="0"/>
        </w:rPr>
        <w:t>Monitoring, evaluation and reporting</w:t>
      </w:r>
      <w:bookmarkEnd w:id="580"/>
      <w:bookmarkEnd w:id="581"/>
      <w:r w:rsidRPr="00866D96">
        <w:rPr>
          <w:noProof w:val="0"/>
        </w:rPr>
        <w:tab/>
      </w:r>
    </w:p>
    <w:p w14:paraId="10C7ED10" w14:textId="77777777" w:rsidR="00DB1210" w:rsidRPr="006122EE" w:rsidRDefault="00DB1210" w:rsidP="00B1153E">
      <w:pPr>
        <w:pStyle w:val="Style1"/>
        <w:spacing w:line="276" w:lineRule="auto"/>
      </w:pPr>
      <w:bookmarkStart w:id="582" w:name="_Toc447217099"/>
      <w:r w:rsidRPr="006122EE">
        <w:t>MER System guidelines</w:t>
      </w:r>
      <w:bookmarkEnd w:id="582"/>
    </w:p>
    <w:p w14:paraId="60DE34D6" w14:textId="77777777" w:rsidR="00DB1210" w:rsidRPr="006122EE" w:rsidRDefault="00DB1210" w:rsidP="00B1153E">
      <w:pPr>
        <w:spacing w:line="276" w:lineRule="auto"/>
        <w:rPr>
          <w:lang w:eastAsia="en-US"/>
        </w:rPr>
      </w:pPr>
      <w:r w:rsidRPr="006122EE">
        <w:rPr>
          <w:lang w:eastAsia="en-US"/>
        </w:rPr>
        <w:t xml:space="preserve">A detailed Monitoring, Evaluation and Reporting (MER) system for tracking and reporting on program time-bound milestones and accomplishments will be prepared by the </w:t>
      </w:r>
      <w:r w:rsidR="00FE7056" w:rsidRPr="006122EE">
        <w:rPr>
          <w:lang w:eastAsia="en-US"/>
        </w:rPr>
        <w:t>SE4ALL</w:t>
      </w:r>
      <w:r w:rsidR="00FE7056" w:rsidRPr="006122EE" w:rsidDel="00FE7056">
        <w:rPr>
          <w:lang w:eastAsia="en-US"/>
        </w:rPr>
        <w:t xml:space="preserve"> </w:t>
      </w:r>
      <w:r w:rsidR="007B1401" w:rsidRPr="006122EE">
        <w:rPr>
          <w:lang w:eastAsia="en-US"/>
        </w:rPr>
        <w:t>l</w:t>
      </w:r>
      <w:r w:rsidRPr="006122EE">
        <w:rPr>
          <w:lang w:eastAsia="en-US"/>
        </w:rPr>
        <w:t xml:space="preserve"> Secretariat at the beginning of the project implementation which will be periodically updated.</w:t>
      </w:r>
    </w:p>
    <w:p w14:paraId="479DCE28" w14:textId="77777777" w:rsidR="00DB1210" w:rsidRPr="006122EE" w:rsidRDefault="00DB1210" w:rsidP="00B1153E">
      <w:pPr>
        <w:spacing w:line="276" w:lineRule="auto"/>
        <w:rPr>
          <w:lang w:eastAsia="en-US"/>
        </w:rPr>
      </w:pPr>
      <w:r w:rsidRPr="006122EE">
        <w:rPr>
          <w:lang w:eastAsia="en-US"/>
        </w:rPr>
        <w:t xml:space="preserve">Designing and implementing a MER system is an essential task that will allow </w:t>
      </w:r>
      <w:r w:rsidR="00252FE5" w:rsidRPr="006122EE">
        <w:rPr>
          <w:lang w:eastAsia="en-US"/>
        </w:rPr>
        <w:t>Malawi</w:t>
      </w:r>
      <w:r w:rsidRPr="006122EE">
        <w:rPr>
          <w:lang w:eastAsia="en-US"/>
        </w:rPr>
        <w:t xml:space="preserve"> to track, assess and report progress on the achievement of expected outcomes under the </w:t>
      </w:r>
      <w:r w:rsidR="00FE7056" w:rsidRPr="006122EE">
        <w:rPr>
          <w:lang w:eastAsia="en-US"/>
        </w:rPr>
        <w:t>SE4ALL</w:t>
      </w:r>
      <w:r w:rsidRPr="006122EE">
        <w:rPr>
          <w:lang w:eastAsia="en-US"/>
        </w:rPr>
        <w:t xml:space="preserve"> initiative. The MER, as tool, allows for identifying key issues that need to be addressed to ensure a proper implementation of the AA. It will also allow the Government of </w:t>
      </w:r>
      <w:r w:rsidR="00252FE5" w:rsidRPr="006122EE">
        <w:rPr>
          <w:lang w:eastAsia="en-US"/>
        </w:rPr>
        <w:t>Malawi</w:t>
      </w:r>
      <w:r w:rsidRPr="006122EE">
        <w:rPr>
          <w:lang w:eastAsia="en-US"/>
        </w:rPr>
        <w:t xml:space="preserve"> to review and update the AA in the future. The MER system will therefore comprise a Monitoring Plan, an Evaluation Plan, and a Reporting Plan.</w:t>
      </w:r>
    </w:p>
    <w:p w14:paraId="0BFABB43" w14:textId="77777777" w:rsidR="00DB1210" w:rsidRPr="006122EE" w:rsidRDefault="00DB1210" w:rsidP="00B1153E">
      <w:pPr>
        <w:spacing w:line="276" w:lineRule="auto"/>
        <w:rPr>
          <w:lang w:eastAsia="en-US"/>
        </w:rPr>
      </w:pPr>
      <w:r w:rsidRPr="006122EE">
        <w:rPr>
          <w:lang w:eastAsia="en-US"/>
        </w:rPr>
        <w:t xml:space="preserve">The monitoring plan provides a guide on how to monitor the set of indicators that will show how </w:t>
      </w:r>
      <w:r w:rsidR="00252FE5" w:rsidRPr="006122EE">
        <w:rPr>
          <w:lang w:eastAsia="en-US"/>
        </w:rPr>
        <w:t>Malawi</w:t>
      </w:r>
      <w:r w:rsidRPr="006122EE">
        <w:rPr>
          <w:lang w:eastAsia="en-US"/>
        </w:rPr>
        <w:t xml:space="preserve"> is progressing towards the achievement of its </w:t>
      </w:r>
      <w:r w:rsidR="00FE7056" w:rsidRPr="006122EE">
        <w:rPr>
          <w:lang w:eastAsia="en-US"/>
        </w:rPr>
        <w:t>SE4ALL</w:t>
      </w:r>
      <w:r w:rsidRPr="006122EE">
        <w:rPr>
          <w:lang w:eastAsia="en-US"/>
        </w:rPr>
        <w:t xml:space="preserve"> targets. A monitoring protocol should be defined for each indicator. The evaluation process basically consists of comparing the results obtained against a selected baseline and against the interim (if any) and final targets that are set in </w:t>
      </w:r>
      <w:r w:rsidR="00252FE5" w:rsidRPr="006122EE">
        <w:rPr>
          <w:lang w:eastAsia="en-US"/>
        </w:rPr>
        <w:t>Malawi’s</w:t>
      </w:r>
      <w:r w:rsidRPr="006122EE">
        <w:rPr>
          <w:lang w:eastAsia="en-US"/>
        </w:rPr>
        <w:t xml:space="preserve"> AA. This evaluation plan enables the country to redefine strategies and goals for the following monitoring periods. The reporting plan implies producing a performance assessment report or similar document where the results from the monitoring and evaluation are described and, potentially, shared with the public. As shown in the figure below, MER is a continuous process that needs to be carried out periodically.</w:t>
      </w:r>
    </w:p>
    <w:p w14:paraId="2CEEADF1" w14:textId="77777777" w:rsidR="00DB1210" w:rsidRPr="006122EE" w:rsidRDefault="00DB1210" w:rsidP="00B1153E">
      <w:pPr>
        <w:pStyle w:val="Caption"/>
        <w:spacing w:line="276" w:lineRule="auto"/>
        <w:rPr>
          <w:lang w:eastAsia="en-US"/>
        </w:rPr>
      </w:pPr>
      <w:bookmarkStart w:id="583" w:name="_Toc447217138"/>
      <w:bookmarkStart w:id="584" w:name="_Toc481614984"/>
      <w:r w:rsidRPr="006122EE">
        <w:t xml:space="preserve">Figure </w:t>
      </w:r>
      <w:r w:rsidR="00DC7D8C">
        <w:fldChar w:fldCharType="begin"/>
      </w:r>
      <w:r w:rsidR="00DC7D8C">
        <w:instrText xml:space="preserve"> SEQ Figure \* ARABIC </w:instrText>
      </w:r>
      <w:r w:rsidR="00DC7D8C">
        <w:fldChar w:fldCharType="separate"/>
      </w:r>
      <w:r w:rsidR="00866D96">
        <w:rPr>
          <w:noProof/>
        </w:rPr>
        <w:t>20</w:t>
      </w:r>
      <w:r w:rsidR="00DC7D8C">
        <w:rPr>
          <w:noProof/>
        </w:rPr>
        <w:fldChar w:fldCharType="end"/>
      </w:r>
      <w:r w:rsidRPr="006122EE">
        <w:t>: Relationship among different parts of a MER framework and the AA</w:t>
      </w:r>
      <w:bookmarkEnd w:id="583"/>
      <w:bookmarkEnd w:id="584"/>
    </w:p>
    <w:p w14:paraId="5B93BDA8" w14:textId="77777777" w:rsidR="00DB1210" w:rsidRPr="006122EE" w:rsidRDefault="00DB1210" w:rsidP="00B1153E">
      <w:pPr>
        <w:spacing w:line="276" w:lineRule="auto"/>
        <w:jc w:val="center"/>
      </w:pPr>
      <w:r w:rsidRPr="00866D96">
        <w:rPr>
          <w:noProof/>
          <w:lang w:val="en-US" w:eastAsia="en-US"/>
        </w:rPr>
        <w:drawing>
          <wp:inline distT="0" distB="0" distL="0" distR="0" wp14:anchorId="413BABB7" wp14:editId="29376C84">
            <wp:extent cx="2847822" cy="26765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C7AE.tmp"/>
                    <pic:cNvPicPr/>
                  </pic:nvPicPr>
                  <pic:blipFill rotWithShape="1">
                    <a:blip r:embed="rId53" cstate="email">
                      <a:extLst>
                        <a:ext uri="{28A0092B-C50C-407E-A947-70E740481C1C}">
                          <a14:useLocalDpi xmlns:a14="http://schemas.microsoft.com/office/drawing/2010/main"/>
                        </a:ext>
                      </a:extLst>
                    </a:blip>
                    <a:srcRect t="3437" b="2813"/>
                    <a:stretch/>
                  </pic:blipFill>
                  <pic:spPr bwMode="auto">
                    <a:xfrm>
                      <a:off x="0" y="0"/>
                      <a:ext cx="2849249" cy="2677866"/>
                    </a:xfrm>
                    <a:prstGeom prst="rect">
                      <a:avLst/>
                    </a:prstGeom>
                    <a:ln>
                      <a:noFill/>
                    </a:ln>
                    <a:extLst>
                      <a:ext uri="{53640926-AAD7-44D8-BBD7-CCE9431645EC}">
                        <a14:shadowObscured xmlns:a14="http://schemas.microsoft.com/office/drawing/2010/main"/>
                      </a:ext>
                    </a:extLst>
                  </pic:spPr>
                </pic:pic>
              </a:graphicData>
            </a:graphic>
          </wp:inline>
        </w:drawing>
      </w:r>
    </w:p>
    <w:p w14:paraId="4DDFBE55" w14:textId="77777777" w:rsidR="00DB1210" w:rsidRPr="006122EE" w:rsidRDefault="00DB1210" w:rsidP="00B1153E">
      <w:pPr>
        <w:pStyle w:val="Style1"/>
        <w:spacing w:line="276" w:lineRule="auto"/>
      </w:pPr>
      <w:bookmarkStart w:id="585" w:name="_Toc433374400"/>
      <w:bookmarkStart w:id="586" w:name="_Toc447217100"/>
      <w:r w:rsidRPr="006122EE">
        <w:t>Monitoring Plan</w:t>
      </w:r>
      <w:bookmarkEnd w:id="585"/>
      <w:bookmarkEnd w:id="586"/>
    </w:p>
    <w:p w14:paraId="1B9596BA" w14:textId="77777777" w:rsidR="00720443" w:rsidRPr="006122EE" w:rsidRDefault="00720443" w:rsidP="00B1153E">
      <w:pPr>
        <w:spacing w:line="276" w:lineRule="auto"/>
      </w:pPr>
      <w:r w:rsidRPr="006122EE">
        <w:t xml:space="preserve">The Global Tracking Framework (GTF) proposes guidelines for monitoring each </w:t>
      </w:r>
      <w:r w:rsidR="00FE7056" w:rsidRPr="006122EE">
        <w:rPr>
          <w:lang w:eastAsia="en-US"/>
        </w:rPr>
        <w:t>SE4ALL</w:t>
      </w:r>
      <w:r w:rsidRPr="006122EE">
        <w:t xml:space="preserve"> target, i.e. for monitoring the progress made on energy access, renewable energy, transportation and energy efficiency, see </w:t>
      </w:r>
      <w:r w:rsidR="00866D96">
        <w:fldChar w:fldCharType="begin"/>
      </w:r>
      <w:r w:rsidR="00866D96">
        <w:instrText xml:space="preserve"> REF _Ref481614863 \h </w:instrText>
      </w:r>
      <w:r w:rsidR="00B1153E">
        <w:instrText xml:space="preserve"> \* MERGEFORMAT </w:instrText>
      </w:r>
      <w:r w:rsidR="00866D96">
        <w:fldChar w:fldCharType="separate"/>
      </w:r>
      <w:r w:rsidR="00866D96" w:rsidRPr="006122EE">
        <w:t xml:space="preserve">Table </w:t>
      </w:r>
      <w:r w:rsidR="00866D96">
        <w:rPr>
          <w:noProof/>
        </w:rPr>
        <w:t>41</w:t>
      </w:r>
      <w:r w:rsidR="00866D96">
        <w:fldChar w:fldCharType="end"/>
      </w:r>
      <w:r w:rsidR="00866D96">
        <w:t xml:space="preserve"> </w:t>
      </w:r>
      <w:r w:rsidRPr="006122EE">
        <w:t xml:space="preserve">below. For instance, a traditional approach to measuring access looks at whether households “have an electricity connection” and “have access to non-solid fuels” but does not provide information on energy services delivered through other technologies such as solar lanterns for electricity and improved biomass stoves for cooking. Nor does it provide information on the reliability or affordability of the service delivered to the “connected” household. </w:t>
      </w:r>
    </w:p>
    <w:p w14:paraId="54C41ADC" w14:textId="77777777" w:rsidR="00720443" w:rsidRPr="006122EE" w:rsidRDefault="00720443" w:rsidP="00B1153E">
      <w:pPr>
        <w:spacing w:line="276" w:lineRule="auto"/>
      </w:pPr>
      <w:r w:rsidRPr="006122EE">
        <w:t xml:space="preserve">The development of the Monitoring Plan will require the definition of indicators and a systematic and coherent collection of data for their valuation. These indicators will enable the aggregation and analysis of data. The figure below, shows an example of high-level indicators used in the Tanzanian </w:t>
      </w:r>
      <w:r w:rsidR="00FE7056" w:rsidRPr="006122EE">
        <w:rPr>
          <w:lang w:eastAsia="en-US"/>
        </w:rPr>
        <w:t>SE4ALL</w:t>
      </w:r>
      <w:r w:rsidRPr="006122EE">
        <w:t xml:space="preserve"> initiative. Such indicators can act as the starting point for the establishment of a comprehensive Monitoring Plan. They largely correspond to existing data, thus allowing the monitoring of indicators from the initial stages of the application of the AA.     </w:t>
      </w:r>
    </w:p>
    <w:p w14:paraId="02475A18" w14:textId="77777777" w:rsidR="0094681A" w:rsidRPr="006122EE" w:rsidRDefault="0094681A" w:rsidP="00866D96">
      <w:pPr>
        <w:pStyle w:val="Caption"/>
      </w:pPr>
      <w:bookmarkStart w:id="587" w:name="_Ref481614863"/>
      <w:bookmarkStart w:id="588" w:name="_Toc481615026"/>
      <w:r w:rsidRPr="006122EE">
        <w:t xml:space="preserve">Table </w:t>
      </w:r>
      <w:r w:rsidR="00DC7D8C">
        <w:fldChar w:fldCharType="begin"/>
      </w:r>
      <w:r w:rsidR="00DC7D8C">
        <w:instrText xml:space="preserve"> SEQ Table \* ARABIC </w:instrText>
      </w:r>
      <w:r w:rsidR="00DC7D8C">
        <w:fldChar w:fldCharType="separate"/>
      </w:r>
      <w:r w:rsidR="00866D96">
        <w:rPr>
          <w:noProof/>
        </w:rPr>
        <w:t>41</w:t>
      </w:r>
      <w:r w:rsidR="00DC7D8C">
        <w:rPr>
          <w:noProof/>
        </w:rPr>
        <w:fldChar w:fldCharType="end"/>
      </w:r>
      <w:bookmarkEnd w:id="587"/>
      <w:r w:rsidRPr="006122EE">
        <w:t>: Illustrative list of indicators for the SE4ALL initiative</w:t>
      </w:r>
      <w:bookmarkEnd w:id="588"/>
    </w:p>
    <w:p w14:paraId="0657FAFA" w14:textId="77777777" w:rsidR="00720443" w:rsidRPr="006122EE" w:rsidRDefault="00720443" w:rsidP="00720443">
      <w:r w:rsidRPr="00866D96">
        <w:rPr>
          <w:noProof/>
          <w:lang w:val="en-US" w:eastAsia="en-US"/>
        </w:rPr>
        <w:drawing>
          <wp:inline distT="0" distB="0" distL="0" distR="0" wp14:anchorId="4E4AC00C" wp14:editId="24B659C3">
            <wp:extent cx="5966977" cy="411515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437F3.tmp"/>
                    <pic:cNvPicPr/>
                  </pic:nvPicPr>
                  <pic:blipFill>
                    <a:blip r:embed="rId54" cstate="email">
                      <a:extLst>
                        <a:ext uri="{28A0092B-C50C-407E-A947-70E740481C1C}">
                          <a14:useLocalDpi xmlns:a14="http://schemas.microsoft.com/office/drawing/2010/main"/>
                        </a:ext>
                      </a:extLst>
                    </a:blip>
                    <a:stretch>
                      <a:fillRect/>
                    </a:stretch>
                  </pic:blipFill>
                  <pic:spPr>
                    <a:xfrm>
                      <a:off x="0" y="0"/>
                      <a:ext cx="5966977" cy="4115157"/>
                    </a:xfrm>
                    <a:prstGeom prst="rect">
                      <a:avLst/>
                    </a:prstGeom>
                  </pic:spPr>
                </pic:pic>
              </a:graphicData>
            </a:graphic>
          </wp:inline>
        </w:drawing>
      </w:r>
    </w:p>
    <w:p w14:paraId="7843FB65" w14:textId="77777777" w:rsidR="00720443" w:rsidRPr="006122EE" w:rsidRDefault="00720443" w:rsidP="00720443">
      <w:r w:rsidRPr="00866D96">
        <w:rPr>
          <w:noProof/>
          <w:lang w:val="en-US" w:eastAsia="en-US"/>
        </w:rPr>
        <w:drawing>
          <wp:inline distT="0" distB="0" distL="0" distR="0" wp14:anchorId="029E59AC" wp14:editId="0FE2C812">
            <wp:extent cx="5971540" cy="79184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46FEC.tmp"/>
                    <pic:cNvPicPr/>
                  </pic:nvPicPr>
                  <pic:blipFill>
                    <a:blip r:embed="rId55" cstate="email">
                      <a:extLst>
                        <a:ext uri="{28A0092B-C50C-407E-A947-70E740481C1C}">
                          <a14:useLocalDpi xmlns:a14="http://schemas.microsoft.com/office/drawing/2010/main"/>
                        </a:ext>
                      </a:extLst>
                    </a:blip>
                    <a:stretch>
                      <a:fillRect/>
                    </a:stretch>
                  </pic:blipFill>
                  <pic:spPr>
                    <a:xfrm>
                      <a:off x="0" y="0"/>
                      <a:ext cx="5971540" cy="791845"/>
                    </a:xfrm>
                    <a:prstGeom prst="rect">
                      <a:avLst/>
                    </a:prstGeom>
                  </pic:spPr>
                </pic:pic>
              </a:graphicData>
            </a:graphic>
          </wp:inline>
        </w:drawing>
      </w:r>
    </w:p>
    <w:p w14:paraId="631059D3" w14:textId="77777777" w:rsidR="00720443" w:rsidRPr="006122EE" w:rsidRDefault="00720443" w:rsidP="00720443">
      <w:pPr>
        <w:spacing w:line="276" w:lineRule="auto"/>
      </w:pPr>
      <w:r w:rsidRPr="006122EE">
        <w:t xml:space="preserve">The monitoring process will gradually evolve expand to include indicators at a less aggregate level which should correspond at least to the AA targets. </w:t>
      </w:r>
    </w:p>
    <w:p w14:paraId="0552E639" w14:textId="77777777" w:rsidR="00720443" w:rsidRPr="006122EE" w:rsidRDefault="00720443" w:rsidP="00720443">
      <w:pPr>
        <w:spacing w:line="276" w:lineRule="auto"/>
      </w:pPr>
      <w:r w:rsidRPr="006122EE">
        <w:t>Furthermore, a Multi-Tier Framework</w:t>
      </w:r>
      <w:r w:rsidRPr="006122EE">
        <w:rPr>
          <w:rStyle w:val="FootnoteReference"/>
        </w:rPr>
        <w:footnoteReference w:id="94"/>
      </w:r>
      <w:r w:rsidRPr="006122EE">
        <w:t xml:space="preserve"> for tracking energy access - both electricity and modern cooking solutions - can provide the required level of detail that is required for effective monitoring. This Framework provides information on the quality of the service received by households, including its adequacy and availability, reliability, affordability, safety and impact on a user’s health. The Framework acknowledges that enhancing energy access involves a continuum of improvements and provides a methodology for measuring access in a tiered-spectrum – from Tier 0 (no access) to Tier 5 (the highest level of access). </w:t>
      </w:r>
    </w:p>
    <w:p w14:paraId="5856C1C4" w14:textId="77777777" w:rsidR="0094681A" w:rsidRPr="006122EE" w:rsidRDefault="0094681A" w:rsidP="00866D96">
      <w:pPr>
        <w:pStyle w:val="Caption"/>
        <w:jc w:val="both"/>
      </w:pPr>
      <w:bookmarkStart w:id="589" w:name="_Toc481615027"/>
      <w:r w:rsidRPr="006122EE">
        <w:t xml:space="preserve">Table </w:t>
      </w:r>
      <w:r w:rsidR="00DC7D8C">
        <w:fldChar w:fldCharType="begin"/>
      </w:r>
      <w:r w:rsidR="00DC7D8C">
        <w:instrText xml:space="preserve"> SEQ Table \* ARABIC </w:instrText>
      </w:r>
      <w:r w:rsidR="00DC7D8C">
        <w:fldChar w:fldCharType="separate"/>
      </w:r>
      <w:r w:rsidR="00866D96">
        <w:rPr>
          <w:noProof/>
        </w:rPr>
        <w:t>42</w:t>
      </w:r>
      <w:r w:rsidR="00DC7D8C">
        <w:rPr>
          <w:noProof/>
        </w:rPr>
        <w:fldChar w:fldCharType="end"/>
      </w:r>
      <w:r w:rsidRPr="006122EE">
        <w:t>: Key components for Measuring Access to Household Electricity Services under the GTF</w:t>
      </w:r>
      <w:bookmarkEnd w:id="589"/>
    </w:p>
    <w:p w14:paraId="13546ABA" w14:textId="77777777" w:rsidR="00720443" w:rsidRPr="006122EE" w:rsidRDefault="00720443" w:rsidP="00720443">
      <w:pPr>
        <w:keepNext/>
      </w:pPr>
      <w:r w:rsidRPr="00866D96">
        <w:rPr>
          <w:noProof/>
          <w:lang w:val="en-US" w:eastAsia="en-US"/>
        </w:rPr>
        <w:drawing>
          <wp:inline distT="0" distB="0" distL="0" distR="0" wp14:anchorId="0A2210F1" wp14:editId="57F0B315">
            <wp:extent cx="5853996" cy="36491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C3E61.tmp"/>
                    <pic:cNvPicPr/>
                  </pic:nvPicPr>
                  <pic:blipFill>
                    <a:blip r:embed="rId56" cstate="email">
                      <a:extLst>
                        <a:ext uri="{28A0092B-C50C-407E-A947-70E740481C1C}">
                          <a14:useLocalDpi xmlns:a14="http://schemas.microsoft.com/office/drawing/2010/main"/>
                        </a:ext>
                      </a:extLst>
                    </a:blip>
                    <a:stretch>
                      <a:fillRect/>
                    </a:stretch>
                  </pic:blipFill>
                  <pic:spPr>
                    <a:xfrm>
                      <a:off x="0" y="0"/>
                      <a:ext cx="5869923" cy="3659061"/>
                    </a:xfrm>
                    <a:prstGeom prst="rect">
                      <a:avLst/>
                    </a:prstGeom>
                  </pic:spPr>
                </pic:pic>
              </a:graphicData>
            </a:graphic>
          </wp:inline>
        </w:drawing>
      </w:r>
    </w:p>
    <w:p w14:paraId="288F11FA" w14:textId="77777777" w:rsidR="00DB1210" w:rsidRPr="006122EE" w:rsidRDefault="00720443" w:rsidP="00B1153E">
      <w:pPr>
        <w:spacing w:line="276" w:lineRule="auto"/>
      </w:pPr>
      <w:r w:rsidRPr="006122EE">
        <w:t>As shown in the figure above, the GTF proposed to track access to energy using different “levels of access” or Tiers. Using a multi-tier approach, it is possible to track access not only from the “yes/no” point of view, which means that people have or do not have access, but also from a multi-dimensional perspective where it is possible to track the several attributes associated to access, such as affordability, quality, capacity (Watts), reliability, safety, efficiency, impact on health, etc. thus providing the opportunity to perform a much more in-depth analysis.</w:t>
      </w:r>
    </w:p>
    <w:p w14:paraId="13B16456" w14:textId="77777777" w:rsidR="00DB1210" w:rsidRPr="006122EE" w:rsidRDefault="00DB1210" w:rsidP="00B1153E">
      <w:pPr>
        <w:pStyle w:val="Style1"/>
        <w:spacing w:line="276" w:lineRule="auto"/>
      </w:pPr>
      <w:bookmarkStart w:id="590" w:name="_Toc433374401"/>
      <w:bookmarkStart w:id="591" w:name="_Toc447217101"/>
      <w:r w:rsidRPr="006122EE">
        <w:t>Evaluation Plan</w:t>
      </w:r>
      <w:bookmarkEnd w:id="590"/>
      <w:bookmarkEnd w:id="591"/>
    </w:p>
    <w:p w14:paraId="1762F9C8" w14:textId="77777777" w:rsidR="00DB1210" w:rsidRPr="006122EE" w:rsidRDefault="00DB1210" w:rsidP="00B1153E">
      <w:pPr>
        <w:spacing w:line="276" w:lineRule="auto"/>
        <w:rPr>
          <w:lang w:eastAsia="en-US"/>
        </w:rPr>
      </w:pPr>
      <w:r w:rsidRPr="006122EE">
        <w:rPr>
          <w:lang w:eastAsia="en-US"/>
        </w:rPr>
        <w:t xml:space="preserve">The evaluation process consists of annual reviews of the progress made through the activities conducted and performance achieved towards the targets that are set under </w:t>
      </w:r>
      <w:r w:rsidR="00252FE5" w:rsidRPr="006122EE">
        <w:rPr>
          <w:lang w:eastAsia="en-US"/>
        </w:rPr>
        <w:t>Malawi’s</w:t>
      </w:r>
      <w:r w:rsidRPr="006122EE">
        <w:rPr>
          <w:lang w:eastAsia="en-US"/>
        </w:rPr>
        <w:t xml:space="preserve"> </w:t>
      </w:r>
      <w:r w:rsidR="00FE7056" w:rsidRPr="006122EE">
        <w:rPr>
          <w:lang w:eastAsia="en-US"/>
        </w:rPr>
        <w:t>SE4ALL</w:t>
      </w:r>
      <w:r w:rsidRPr="006122EE">
        <w:rPr>
          <w:lang w:eastAsia="en-US"/>
        </w:rPr>
        <w:t xml:space="preserve"> AA.</w:t>
      </w:r>
    </w:p>
    <w:p w14:paraId="4B152C85" w14:textId="77777777" w:rsidR="00DB1210" w:rsidRPr="006122EE" w:rsidRDefault="00DB1210" w:rsidP="00B1153E">
      <w:pPr>
        <w:spacing w:line="276" w:lineRule="auto"/>
        <w:rPr>
          <w:lang w:eastAsia="en-US"/>
        </w:rPr>
      </w:pPr>
      <w:r w:rsidRPr="006122EE">
        <w:rPr>
          <w:lang w:eastAsia="en-US"/>
        </w:rPr>
        <w:t xml:space="preserve">The evaluation will ensure a broad and representative perspective on the achievements and challenges in the implementation of </w:t>
      </w:r>
      <w:r w:rsidR="00252FE5" w:rsidRPr="006122EE">
        <w:rPr>
          <w:lang w:eastAsia="en-US"/>
        </w:rPr>
        <w:t>Malawi</w:t>
      </w:r>
      <w:r w:rsidRPr="006122EE">
        <w:rPr>
          <w:lang w:eastAsia="en-US"/>
        </w:rPr>
        <w:t xml:space="preserve">’s </w:t>
      </w:r>
      <w:r w:rsidR="00FE7056" w:rsidRPr="006122EE">
        <w:rPr>
          <w:lang w:eastAsia="en-US"/>
        </w:rPr>
        <w:t>SE4ALL</w:t>
      </w:r>
      <w:r w:rsidRPr="006122EE">
        <w:rPr>
          <w:lang w:eastAsia="en-US"/>
        </w:rPr>
        <w:t xml:space="preserve"> actions, and will allow the adequacy of the adopted strategy to be assessed to meet the targets as planned and take any corrective action if needed. The evaluation should include the provision of recommendations for future monitoring periods and it is also intended to inform the stakeholders participating in the implementation of the AA of follow-up actions required to further strengthen its performance and strategic activities.</w:t>
      </w:r>
    </w:p>
    <w:p w14:paraId="0659D35F" w14:textId="77777777" w:rsidR="00DB1210" w:rsidRPr="006122EE" w:rsidRDefault="00DB1210" w:rsidP="00B1153E">
      <w:pPr>
        <w:spacing w:line="276" w:lineRule="auto"/>
        <w:rPr>
          <w:lang w:eastAsia="en-US"/>
        </w:rPr>
      </w:pPr>
      <w:r w:rsidRPr="006122EE">
        <w:rPr>
          <w:lang w:eastAsia="en-US"/>
        </w:rPr>
        <w:t>In general terms, the purpose of the evaluation activities is twofold:</w:t>
      </w:r>
    </w:p>
    <w:p w14:paraId="3F0E89F3" w14:textId="77777777" w:rsidR="00DB1210" w:rsidRPr="00866D96" w:rsidRDefault="00DB1210" w:rsidP="00B1153E">
      <w:pPr>
        <w:pStyle w:val="DBulletlevel1"/>
        <w:spacing w:line="276" w:lineRule="auto"/>
        <w:rPr>
          <w:noProof w:val="0"/>
        </w:rPr>
      </w:pPr>
      <w:r w:rsidRPr="00866D96">
        <w:rPr>
          <w:noProof w:val="0"/>
        </w:rPr>
        <w:t xml:space="preserve">To contribute to improving program effectiveness and delivery towards </w:t>
      </w:r>
      <w:r w:rsidR="00252FE5" w:rsidRPr="00866D96">
        <w:rPr>
          <w:noProof w:val="0"/>
        </w:rPr>
        <w:t>Malawi</w:t>
      </w:r>
      <w:r w:rsidRPr="00866D96">
        <w:rPr>
          <w:noProof w:val="0"/>
        </w:rPr>
        <w:t xml:space="preserve">’s </w:t>
      </w:r>
      <w:r w:rsidR="00FE7056" w:rsidRPr="00866D96">
        <w:rPr>
          <w:noProof w:val="0"/>
          <w:lang w:eastAsia="en-US"/>
        </w:rPr>
        <w:t>SE4ALL</w:t>
      </w:r>
      <w:r w:rsidRPr="00866D96">
        <w:rPr>
          <w:noProof w:val="0"/>
        </w:rPr>
        <w:t xml:space="preserve"> goals by 2030 by using knowledge and lessons learnt from its implementation back into the country initiative</w:t>
      </w:r>
    </w:p>
    <w:p w14:paraId="2BCF1016" w14:textId="77777777" w:rsidR="00720443" w:rsidRPr="00866D96" w:rsidRDefault="00DB1210" w:rsidP="00B1153E">
      <w:pPr>
        <w:pStyle w:val="DBulletlevel1"/>
        <w:spacing w:line="276" w:lineRule="auto"/>
        <w:rPr>
          <w:noProof w:val="0"/>
        </w:rPr>
      </w:pPr>
      <w:r w:rsidRPr="00866D96">
        <w:rPr>
          <w:noProof w:val="0"/>
        </w:rPr>
        <w:t xml:space="preserve">To contribute to overall alignment of strategic activities of the AA and ensure that it remains relevant to addressing country level objectives whilst also aligned to the global </w:t>
      </w:r>
      <w:r w:rsidR="00FE7056" w:rsidRPr="00866D96">
        <w:rPr>
          <w:noProof w:val="0"/>
          <w:lang w:eastAsia="en-US"/>
        </w:rPr>
        <w:t>SE4ALL</w:t>
      </w:r>
      <w:r w:rsidRPr="00866D96">
        <w:rPr>
          <w:noProof w:val="0"/>
        </w:rPr>
        <w:t xml:space="preserve"> initiative</w:t>
      </w:r>
    </w:p>
    <w:p w14:paraId="41A8E98B" w14:textId="77777777" w:rsidR="00DB1210" w:rsidRPr="006122EE" w:rsidRDefault="00720443" w:rsidP="00B1153E">
      <w:pPr>
        <w:pStyle w:val="DBulletlevel1"/>
        <w:spacing w:line="276" w:lineRule="auto"/>
        <w:rPr>
          <w:noProof w:val="0"/>
        </w:rPr>
      </w:pPr>
      <w:r w:rsidRPr="006122EE">
        <w:rPr>
          <w:noProof w:val="0"/>
        </w:rPr>
        <w:t>To update the AA as required taking into account progress made and new developments.</w:t>
      </w:r>
      <w:r w:rsidR="00DB1210" w:rsidRPr="00866D96">
        <w:rPr>
          <w:noProof w:val="0"/>
        </w:rPr>
        <w:t xml:space="preserve"> </w:t>
      </w:r>
    </w:p>
    <w:p w14:paraId="08145344" w14:textId="77777777" w:rsidR="00DB1210" w:rsidRPr="006122EE" w:rsidRDefault="00DB1210" w:rsidP="00B1153E">
      <w:pPr>
        <w:spacing w:line="276" w:lineRule="auto"/>
      </w:pPr>
      <w:r w:rsidRPr="006122EE">
        <w:t xml:space="preserve">During the annual </w:t>
      </w:r>
      <w:r w:rsidR="00FE7056" w:rsidRPr="006122EE">
        <w:rPr>
          <w:lang w:eastAsia="en-US"/>
        </w:rPr>
        <w:t>SE4ALL</w:t>
      </w:r>
      <w:r w:rsidRPr="006122EE">
        <w:t xml:space="preserve"> evaluation, the designated </w:t>
      </w:r>
      <w:r w:rsidR="00FE7056" w:rsidRPr="006122EE">
        <w:rPr>
          <w:lang w:eastAsia="en-US"/>
        </w:rPr>
        <w:t>SE4ALL</w:t>
      </w:r>
      <w:r w:rsidRPr="006122EE">
        <w:t xml:space="preserve"> Secretariat will review the results achieved in the current monitoring period in comparison to the baseline and the previous year: progress on actions and targets met as planned in </w:t>
      </w:r>
      <w:r w:rsidR="00252FE5" w:rsidRPr="006122EE">
        <w:t>Malawi</w:t>
      </w:r>
      <w:r w:rsidRPr="006122EE">
        <w:t xml:space="preserve">’s AA using the selected indicators. It will also help identify the actions needed for the following year. </w:t>
      </w:r>
    </w:p>
    <w:p w14:paraId="0ECAFC0C" w14:textId="77777777" w:rsidR="00DB1210" w:rsidRPr="006122EE" w:rsidRDefault="00DB1210" w:rsidP="00B1153E">
      <w:pPr>
        <w:pStyle w:val="Style1"/>
        <w:spacing w:line="276" w:lineRule="auto"/>
      </w:pPr>
      <w:bookmarkStart w:id="592" w:name="_Toc433374402"/>
      <w:bookmarkStart w:id="593" w:name="_Toc447217102"/>
      <w:r w:rsidRPr="006122EE">
        <w:t>Reporting Plan</w:t>
      </w:r>
      <w:bookmarkEnd w:id="592"/>
      <w:bookmarkEnd w:id="593"/>
    </w:p>
    <w:p w14:paraId="1C340F82" w14:textId="77777777" w:rsidR="00DB1210" w:rsidRPr="006122EE" w:rsidRDefault="00DB1210" w:rsidP="00B1153E">
      <w:pPr>
        <w:spacing w:line="276" w:lineRule="auto"/>
        <w:rPr>
          <w:lang w:eastAsia="en-US"/>
        </w:rPr>
      </w:pPr>
      <w:r w:rsidRPr="006122EE">
        <w:t xml:space="preserve">Using the results of the evaluation phase, the designated </w:t>
      </w:r>
      <w:r w:rsidR="00FE7056" w:rsidRPr="006122EE">
        <w:rPr>
          <w:lang w:eastAsia="en-US"/>
        </w:rPr>
        <w:t>SE4ALL</w:t>
      </w:r>
      <w:r w:rsidRPr="006122EE">
        <w:t xml:space="preserve"> Secretariat will report on an annual basis on the progress and performance towards the implementation of </w:t>
      </w:r>
      <w:r w:rsidR="00252FE5" w:rsidRPr="006122EE">
        <w:t>Malawi</w:t>
      </w:r>
      <w:r w:rsidRPr="006122EE">
        <w:t xml:space="preserve">’s </w:t>
      </w:r>
      <w:r w:rsidR="00FE7056" w:rsidRPr="006122EE">
        <w:rPr>
          <w:lang w:eastAsia="en-US"/>
        </w:rPr>
        <w:t>SE4ALL</w:t>
      </w:r>
      <w:r w:rsidRPr="006122EE">
        <w:t xml:space="preserve"> AA. The yearly progress will be presented in a Performance Assessment Report. The report must clearly show the baseline scenario and the progress made against the targets set. The annual report would be prepared in consistent manner and shared with stakeholders for awareness, socialization and proper contributions on their part.</w:t>
      </w:r>
    </w:p>
    <w:p w14:paraId="1443BC14" w14:textId="77777777" w:rsidR="00DB1210" w:rsidRPr="00866D96" w:rsidRDefault="00DB1210" w:rsidP="00B1153E">
      <w:pPr>
        <w:pStyle w:val="BTitle20"/>
        <w:rPr>
          <w:noProof w:val="0"/>
        </w:rPr>
      </w:pPr>
      <w:r w:rsidRPr="00866D96">
        <w:rPr>
          <w:noProof w:val="0"/>
        </w:rPr>
        <w:tab/>
      </w:r>
      <w:bookmarkStart w:id="594" w:name="_Toc447217103"/>
      <w:bookmarkStart w:id="595" w:name="_Toc481614955"/>
      <w:r w:rsidRPr="00866D96">
        <w:rPr>
          <w:noProof w:val="0"/>
        </w:rPr>
        <w:t>Link to Investment Prospectuses</w:t>
      </w:r>
      <w:bookmarkEnd w:id="594"/>
      <w:bookmarkEnd w:id="595"/>
      <w:r w:rsidRPr="00866D96">
        <w:rPr>
          <w:noProof w:val="0"/>
        </w:rPr>
        <w:tab/>
      </w:r>
    </w:p>
    <w:p w14:paraId="05931A8B" w14:textId="77777777" w:rsidR="00DB1210" w:rsidRPr="006122EE" w:rsidRDefault="00DB1210" w:rsidP="00B1153E">
      <w:pPr>
        <w:spacing w:line="276" w:lineRule="auto"/>
        <w:rPr>
          <w:lang w:eastAsia="fr-BE"/>
        </w:rPr>
      </w:pPr>
      <w:r w:rsidRPr="006122EE">
        <w:rPr>
          <w:lang w:eastAsia="fr-BE"/>
        </w:rPr>
        <w:t xml:space="preserve">The Action Agenda is a stand-alone document that provides a framework for achieving the national </w:t>
      </w:r>
      <w:r w:rsidR="00FE7056" w:rsidRPr="006122EE">
        <w:rPr>
          <w:lang w:eastAsia="en-US"/>
        </w:rPr>
        <w:t>SE4ALL</w:t>
      </w:r>
      <w:r w:rsidRPr="006122EE">
        <w:rPr>
          <w:lang w:eastAsia="fr-BE"/>
        </w:rPr>
        <w:t xml:space="preserve"> objectives. On a “global” level, it provides for interventions (policy adjustments, financial allocations, business model developments and capacity building initiatives) that will focus national support for energy access, renewable energy and energy efficiency. However, the Action Agenda provides specific measures that will drive particular investments that are part of the Investment Prospectus. In this way, some AA activities will be “operationalized” by an Investment Prospectus (IP) that is a separate document and describes a set of investments</w:t>
      </w:r>
      <w:r w:rsidR="0094681A" w:rsidRPr="006122EE">
        <w:rPr>
          <w:lang w:eastAsia="fr-BE"/>
        </w:rPr>
        <w:t xml:space="preserve"> </w:t>
      </w:r>
      <w:r w:rsidRPr="006122EE">
        <w:rPr>
          <w:lang w:eastAsia="fr-BE"/>
        </w:rPr>
        <w:t xml:space="preserve">that </w:t>
      </w:r>
      <w:r w:rsidR="00337B1E" w:rsidRPr="006122EE">
        <w:rPr>
          <w:lang w:eastAsia="fr-BE"/>
        </w:rPr>
        <w:t>the g</w:t>
      </w:r>
      <w:r w:rsidRPr="006122EE">
        <w:rPr>
          <w:lang w:eastAsia="fr-BE"/>
        </w:rPr>
        <w:t xml:space="preserve">overnment, private sector developers, civil society organisations, finance organizations and other stakeholders can support. </w:t>
      </w:r>
    </w:p>
    <w:p w14:paraId="776E00B6" w14:textId="77777777" w:rsidR="00DB1210" w:rsidRPr="006122EE" w:rsidRDefault="00DB1210" w:rsidP="00B1153E">
      <w:pPr>
        <w:spacing w:line="276" w:lineRule="auto"/>
        <w:rPr>
          <w:lang w:eastAsia="fr-BE"/>
        </w:rPr>
      </w:pPr>
      <w:r w:rsidRPr="006122EE">
        <w:rPr>
          <w:lang w:eastAsia="fr-BE"/>
        </w:rPr>
        <w:t xml:space="preserve">The IP contains investment opportunities and a priority projects pipeline emanating from priority project areas identified in the AA. The projects in the IP are those that can be implemented in the short- and medium-term and have been prepared adequately to attract investments. The IP projects consist of both, infrastructural and non-infrastructural projects. The AA presents the strategic elements and project priorities for the IP. The IP has </w:t>
      </w:r>
      <w:r w:rsidR="00252FE5" w:rsidRPr="006122EE">
        <w:rPr>
          <w:lang w:eastAsia="fr-BE"/>
        </w:rPr>
        <w:t>Malawi</w:t>
      </w:r>
      <w:r w:rsidRPr="006122EE">
        <w:rPr>
          <w:lang w:eastAsia="fr-BE"/>
        </w:rPr>
        <w:t xml:space="preserve">’s status of why investors should invest in </w:t>
      </w:r>
      <w:r w:rsidR="00252FE5" w:rsidRPr="006122EE">
        <w:rPr>
          <w:lang w:eastAsia="fr-BE"/>
        </w:rPr>
        <w:t>Malawi</w:t>
      </w:r>
      <w:r w:rsidRPr="006122EE">
        <w:rPr>
          <w:lang w:eastAsia="fr-BE"/>
        </w:rPr>
        <w:t xml:space="preserve">’s energy sector considering both national and sector level investment conduciveness and the institutional framework that will support IP implementation. </w:t>
      </w:r>
    </w:p>
    <w:p w14:paraId="521E4B7D" w14:textId="77777777" w:rsidR="00DB1210" w:rsidRPr="006122EE" w:rsidRDefault="00DB1210" w:rsidP="00DB1210">
      <w:pPr>
        <w:pStyle w:val="Caption"/>
        <w:rPr>
          <w:rFonts w:ascii="Calibri" w:hAnsi="Calibri" w:cs="Calibri"/>
          <w:color w:val="000000"/>
          <w:sz w:val="22"/>
          <w:szCs w:val="22"/>
        </w:rPr>
      </w:pPr>
      <w:bookmarkStart w:id="596" w:name="_Toc447217141"/>
      <w:bookmarkStart w:id="597" w:name="_Toc481614985"/>
      <w:r w:rsidRPr="006122EE">
        <w:t xml:space="preserve">Figure </w:t>
      </w:r>
      <w:r w:rsidR="00DC7D8C">
        <w:fldChar w:fldCharType="begin"/>
      </w:r>
      <w:r w:rsidR="00DC7D8C">
        <w:instrText xml:space="preserve"> SEQ Figure \* ARABIC </w:instrText>
      </w:r>
      <w:r w:rsidR="00DC7D8C">
        <w:fldChar w:fldCharType="separate"/>
      </w:r>
      <w:r w:rsidR="00866D96">
        <w:rPr>
          <w:noProof/>
        </w:rPr>
        <w:t>21</w:t>
      </w:r>
      <w:r w:rsidR="00DC7D8C">
        <w:rPr>
          <w:noProof/>
        </w:rPr>
        <w:fldChar w:fldCharType="end"/>
      </w:r>
      <w:r w:rsidRPr="006122EE">
        <w:t>: Action Agenda and Investment Prospectus linkages</w:t>
      </w:r>
      <w:bookmarkEnd w:id="596"/>
      <w:bookmarkEnd w:id="597"/>
    </w:p>
    <w:p w14:paraId="6F42E089" w14:textId="77777777" w:rsidR="00DB1210" w:rsidRPr="006122EE" w:rsidRDefault="00DB1210" w:rsidP="00DB1210">
      <w:pPr>
        <w:keepNext/>
        <w:autoSpaceDE w:val="0"/>
        <w:autoSpaceDN w:val="0"/>
        <w:adjustRightInd w:val="0"/>
        <w:spacing w:before="0"/>
        <w:jc w:val="center"/>
      </w:pPr>
      <w:r w:rsidRPr="00866D96">
        <w:rPr>
          <w:rFonts w:ascii="Calibri" w:hAnsi="Calibri" w:cs="Calibri"/>
          <w:noProof/>
          <w:color w:val="000000"/>
          <w:sz w:val="22"/>
          <w:szCs w:val="22"/>
          <w:lang w:val="en-US" w:eastAsia="en-US"/>
        </w:rPr>
        <w:drawing>
          <wp:inline distT="0" distB="0" distL="0" distR="0" wp14:anchorId="48131C0C" wp14:editId="2027D606">
            <wp:extent cx="3277235" cy="240609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328783" cy="2443940"/>
                    </a:xfrm>
                    <a:prstGeom prst="rect">
                      <a:avLst/>
                    </a:prstGeom>
                    <a:noFill/>
                    <a:ln>
                      <a:noFill/>
                    </a:ln>
                    <a:extLst>
                      <a:ext uri="{53640926-AAD7-44D8-BBD7-CCE9431645EC}">
                        <a14:shadowObscured xmlns:a14="http://schemas.microsoft.com/office/drawing/2010/main"/>
                      </a:ext>
                    </a:extLst>
                  </pic:spPr>
                </pic:pic>
              </a:graphicData>
            </a:graphic>
          </wp:inline>
        </w:drawing>
      </w:r>
    </w:p>
    <w:p w14:paraId="73ACD7B6" w14:textId="77777777" w:rsidR="00DB1210" w:rsidRPr="006122EE" w:rsidRDefault="00DB1210" w:rsidP="00DB1210">
      <w:pPr>
        <w:rPr>
          <w:lang w:eastAsia="en-US"/>
        </w:rPr>
      </w:pPr>
    </w:p>
    <w:p w14:paraId="48DC4958" w14:textId="77777777" w:rsidR="00DB1210" w:rsidRPr="00866D96" w:rsidRDefault="00DB1210" w:rsidP="006E363C">
      <w:pPr>
        <w:pStyle w:val="APageheading"/>
        <w:numPr>
          <w:ilvl w:val="0"/>
          <w:numId w:val="0"/>
        </w:numPr>
        <w:rPr>
          <w:noProof w:val="0"/>
        </w:rPr>
      </w:pPr>
      <w:bookmarkStart w:id="598" w:name="_Toc441762864"/>
      <w:bookmarkStart w:id="599" w:name="_Toc447217104"/>
      <w:bookmarkStart w:id="600" w:name="_Toc481614956"/>
      <w:r w:rsidRPr="00866D96">
        <w:rPr>
          <w:noProof w:val="0"/>
        </w:rPr>
        <w:t xml:space="preserve">Annex 1: The </w:t>
      </w:r>
      <w:r w:rsidR="00FE7056" w:rsidRPr="00866D96">
        <w:rPr>
          <w:noProof w:val="0"/>
        </w:rPr>
        <w:t>SE4ALL</w:t>
      </w:r>
      <w:r w:rsidRPr="00866D96">
        <w:rPr>
          <w:noProof w:val="0"/>
        </w:rPr>
        <w:t xml:space="preserve"> initiative</w:t>
      </w:r>
      <w:bookmarkEnd w:id="598"/>
      <w:bookmarkEnd w:id="599"/>
      <w:bookmarkEnd w:id="600"/>
    </w:p>
    <w:p w14:paraId="45F681EC" w14:textId="77777777" w:rsidR="00DB1210" w:rsidRPr="006122EE" w:rsidRDefault="00DB1210" w:rsidP="00B1153E">
      <w:pPr>
        <w:pStyle w:val="BSubheading-Blue"/>
        <w:spacing w:line="276" w:lineRule="auto"/>
        <w:rPr>
          <w:noProof w:val="0"/>
          <w:lang w:val="en-GB"/>
        </w:rPr>
      </w:pPr>
      <w:bookmarkStart w:id="601" w:name="_Toc447217105"/>
      <w:bookmarkStart w:id="602" w:name="_Toc481614957"/>
      <w:r w:rsidRPr="006122EE">
        <w:rPr>
          <w:noProof w:val="0"/>
          <w:lang w:val="en-GB"/>
        </w:rPr>
        <w:t>Introduction</w:t>
      </w:r>
      <w:bookmarkEnd w:id="601"/>
      <w:bookmarkEnd w:id="602"/>
    </w:p>
    <w:p w14:paraId="1CE3031E" w14:textId="77777777" w:rsidR="00DB1210" w:rsidRPr="006122EE" w:rsidRDefault="00DB1210" w:rsidP="00B1153E">
      <w:pPr>
        <w:spacing w:line="276" w:lineRule="auto"/>
      </w:pPr>
      <w:r w:rsidRPr="006122EE">
        <w:t>The Sustainable Energy for All (</w:t>
      </w:r>
      <w:r w:rsidR="00FE7056" w:rsidRPr="006122EE">
        <w:rPr>
          <w:lang w:eastAsia="en-US"/>
        </w:rPr>
        <w:t>SE4ALL</w:t>
      </w:r>
      <w:r w:rsidRPr="006122EE">
        <w:t>) initiative was launched by UN Secretary-General Ban Ki-moon in 2011 with the vision of providing sustainable energy to all in the world by 2030. In order to achieve this, the following three interlinked key objectives were declared:</w:t>
      </w:r>
      <w:r w:rsidRPr="006122EE">
        <w:rPr>
          <w:rStyle w:val="FootnoteReference"/>
        </w:rPr>
        <w:footnoteReference w:id="95"/>
      </w:r>
    </w:p>
    <w:p w14:paraId="4BFB5B35" w14:textId="77777777" w:rsidR="00DB1210" w:rsidRPr="006122EE" w:rsidRDefault="00DB1210" w:rsidP="00B1153E">
      <w:pPr>
        <w:pStyle w:val="ListParagraph"/>
        <w:numPr>
          <w:ilvl w:val="0"/>
          <w:numId w:val="39"/>
        </w:numPr>
        <w:spacing w:before="0" w:after="60" w:line="276" w:lineRule="auto"/>
        <w:ind w:left="714" w:hanging="357"/>
        <w:contextualSpacing w:val="0"/>
        <w:jc w:val="left"/>
      </w:pPr>
      <w:r w:rsidRPr="006122EE">
        <w:t>Ensure universal access to modern energy services</w:t>
      </w:r>
    </w:p>
    <w:p w14:paraId="04E6DAC5" w14:textId="77777777" w:rsidR="00DB1210" w:rsidRPr="006122EE" w:rsidRDefault="00DB1210" w:rsidP="00B1153E">
      <w:pPr>
        <w:pStyle w:val="ListParagraph"/>
        <w:numPr>
          <w:ilvl w:val="0"/>
          <w:numId w:val="39"/>
        </w:numPr>
        <w:spacing w:before="0" w:after="60" w:line="276" w:lineRule="auto"/>
        <w:ind w:left="714" w:hanging="357"/>
        <w:contextualSpacing w:val="0"/>
        <w:jc w:val="left"/>
      </w:pPr>
      <w:r w:rsidRPr="006122EE">
        <w:t>Double the global rate of improvement in energy efficiency</w:t>
      </w:r>
    </w:p>
    <w:p w14:paraId="27637B3A" w14:textId="77777777" w:rsidR="00DB1210" w:rsidRPr="006122EE" w:rsidRDefault="00DB1210" w:rsidP="00B1153E">
      <w:pPr>
        <w:pStyle w:val="ListParagraph"/>
        <w:numPr>
          <w:ilvl w:val="0"/>
          <w:numId w:val="39"/>
        </w:numPr>
        <w:spacing w:before="0" w:after="60" w:line="276" w:lineRule="auto"/>
        <w:ind w:left="714" w:hanging="357"/>
        <w:jc w:val="left"/>
      </w:pPr>
      <w:r w:rsidRPr="006122EE">
        <w:t>Double the share of renewable energy in the global energy mix</w:t>
      </w:r>
    </w:p>
    <w:p w14:paraId="2E7B3ABC" w14:textId="77777777" w:rsidR="00DB1210" w:rsidRPr="006122EE" w:rsidRDefault="00DB1210" w:rsidP="00B1153E">
      <w:pPr>
        <w:spacing w:line="276" w:lineRule="auto"/>
      </w:pPr>
      <w:r w:rsidRPr="006122EE">
        <w:t xml:space="preserve">The strategy on how to achieve these goals was then elaborated on in </w:t>
      </w:r>
      <w:r w:rsidRPr="006122EE">
        <w:rPr>
          <w:i/>
        </w:rPr>
        <w:t>Sustainable Energy for All – A Framework for Action (2012)</w:t>
      </w:r>
      <w:r w:rsidRPr="006122EE">
        <w:t>. Section one of this document summarizes the objectives, benefits, as well as the key figures regarding investments of the program. Section two lays out in further detail why each type of organization should engage (government, businesses, civil society organizations), what are their roles to play (policies planning, regulation and institutions, technology innovation, finance, implementation capacity, end-user demand), and what benefits can be gained by coordinating commitments. Section three then proceeds to showing how the initiative will help mobilise and coordinate commitments through a number of ‘high-impact areas’ and how progress could be monitored. It also provides four illustrative examples. Finally, Section four describes principles and next steps for the initiative.</w:t>
      </w:r>
    </w:p>
    <w:p w14:paraId="48890FE5" w14:textId="77777777" w:rsidR="00DB1210" w:rsidRPr="006122EE" w:rsidRDefault="00DB1210" w:rsidP="00B1153E">
      <w:pPr>
        <w:spacing w:line="276" w:lineRule="auto"/>
      </w:pPr>
      <w:r w:rsidRPr="006122EE">
        <w:t xml:space="preserve">The country action process to be implemented by the countries wishing to participate in the </w:t>
      </w:r>
      <w:r w:rsidR="00FE7056" w:rsidRPr="006122EE">
        <w:rPr>
          <w:lang w:eastAsia="en-US"/>
        </w:rPr>
        <w:t>SE4ALL</w:t>
      </w:r>
      <w:r w:rsidRPr="006122EE">
        <w:t xml:space="preserve"> initiative consists of the following key four steps</w:t>
      </w:r>
      <w:r w:rsidR="00AB3EEF" w:rsidRPr="006122EE">
        <w:rPr>
          <w:rStyle w:val="FootnoteReference"/>
        </w:rPr>
        <w:footnoteReference w:id="96"/>
      </w:r>
      <w:r w:rsidRPr="006122EE">
        <w:t>:</w:t>
      </w:r>
    </w:p>
    <w:p w14:paraId="4D33969D" w14:textId="77777777" w:rsidR="00DB1210" w:rsidRPr="006122EE" w:rsidRDefault="00DB1210" w:rsidP="00B1153E">
      <w:pPr>
        <w:pStyle w:val="ListParagraph"/>
        <w:numPr>
          <w:ilvl w:val="0"/>
          <w:numId w:val="40"/>
        </w:numPr>
        <w:spacing w:before="0" w:after="60" w:line="276" w:lineRule="auto"/>
        <w:ind w:left="714" w:hanging="357"/>
        <w:contextualSpacing w:val="0"/>
        <w:rPr>
          <w:i/>
        </w:rPr>
      </w:pPr>
      <w:r w:rsidRPr="006122EE">
        <w:rPr>
          <w:i/>
        </w:rPr>
        <w:t>Declaration of Partnership:</w:t>
      </w:r>
      <w:r w:rsidRPr="006122EE">
        <w:t xml:space="preserve"> With this declaration the country’s government expresses its interest in participating in the </w:t>
      </w:r>
      <w:r w:rsidR="00FE7056" w:rsidRPr="006122EE">
        <w:rPr>
          <w:lang w:eastAsia="en-US"/>
        </w:rPr>
        <w:t>SE4ALL</w:t>
      </w:r>
      <w:r w:rsidRPr="006122EE">
        <w:t xml:space="preserve"> initiative.</w:t>
      </w:r>
    </w:p>
    <w:p w14:paraId="4F25D761" w14:textId="77777777" w:rsidR="00DB1210" w:rsidRPr="006122EE" w:rsidRDefault="00DB1210" w:rsidP="00B1153E">
      <w:pPr>
        <w:pStyle w:val="ListParagraph"/>
        <w:numPr>
          <w:ilvl w:val="0"/>
          <w:numId w:val="40"/>
        </w:numPr>
        <w:spacing w:before="0" w:after="60" w:line="276" w:lineRule="auto"/>
        <w:ind w:left="714" w:hanging="357"/>
        <w:contextualSpacing w:val="0"/>
        <w:rPr>
          <w:i/>
        </w:rPr>
      </w:pPr>
      <w:r w:rsidRPr="006122EE">
        <w:rPr>
          <w:i/>
        </w:rPr>
        <w:t xml:space="preserve">Rapid Assessment/Gap Analysis: </w:t>
      </w:r>
      <w:r w:rsidRPr="006122EE">
        <w:t xml:space="preserve">The analysis performed by each participating country sheds light on the current energy situation in the national development context of the country. It provides the economic, political, environmental and social background for the drafting of plans in order to promote </w:t>
      </w:r>
      <w:r w:rsidR="00FE7056" w:rsidRPr="006122EE">
        <w:rPr>
          <w:lang w:eastAsia="en-US"/>
        </w:rPr>
        <w:t>SE4ALL</w:t>
      </w:r>
      <w:r w:rsidRPr="006122EE">
        <w:t xml:space="preserve"> in this particular country.</w:t>
      </w:r>
    </w:p>
    <w:p w14:paraId="79C495FA" w14:textId="77777777" w:rsidR="00DB1210" w:rsidRPr="006122EE" w:rsidRDefault="00DB1210" w:rsidP="00B1153E">
      <w:pPr>
        <w:pStyle w:val="ListParagraph"/>
        <w:numPr>
          <w:ilvl w:val="0"/>
          <w:numId w:val="40"/>
        </w:numPr>
        <w:spacing w:before="0" w:after="60" w:line="276" w:lineRule="auto"/>
        <w:ind w:left="714" w:hanging="357"/>
        <w:contextualSpacing w:val="0"/>
        <w:rPr>
          <w:i/>
        </w:rPr>
      </w:pPr>
      <w:r w:rsidRPr="006122EE">
        <w:rPr>
          <w:i/>
        </w:rPr>
        <w:t xml:space="preserve">Action Agenda (AA): </w:t>
      </w:r>
      <w:r w:rsidRPr="006122EE">
        <w:t xml:space="preserve">The AA is edited on country level and it addresses the challenges that were previously identified in the Rapid Assessment/Gap Analysis in that it outlines and prioritizes the different courses of actions and demonstrates how the three </w:t>
      </w:r>
      <w:r w:rsidR="00FE7056" w:rsidRPr="006122EE">
        <w:rPr>
          <w:lang w:eastAsia="en-US"/>
        </w:rPr>
        <w:t>SE4ALL</w:t>
      </w:r>
      <w:r w:rsidRPr="006122EE">
        <w:t xml:space="preserve"> objectives can be achieved. It takes the form of a holistic and strategy-driven document.</w:t>
      </w:r>
    </w:p>
    <w:p w14:paraId="05BA8DB0" w14:textId="77777777" w:rsidR="00DB1210" w:rsidRPr="006122EE" w:rsidRDefault="00DB1210" w:rsidP="00B1153E">
      <w:pPr>
        <w:pStyle w:val="ListParagraph"/>
        <w:numPr>
          <w:ilvl w:val="0"/>
          <w:numId w:val="40"/>
        </w:numPr>
        <w:spacing w:before="0" w:line="276" w:lineRule="auto"/>
        <w:ind w:left="714" w:hanging="357"/>
        <w:rPr>
          <w:i/>
        </w:rPr>
      </w:pPr>
      <w:r w:rsidRPr="006122EE">
        <w:rPr>
          <w:i/>
        </w:rPr>
        <w:t xml:space="preserve">Investment Prospectus (IP): </w:t>
      </w:r>
      <w:r w:rsidRPr="006122EE">
        <w:t>There can be one or more IPs showing how the AA can be put into action. In order to do so a set of implementable programs and projects including related costs possibly for a specific sector or subsector is identified and developed to be then presented to potential investors, be it private or public ones.</w:t>
      </w:r>
    </w:p>
    <w:p w14:paraId="60DA41C6" w14:textId="77777777" w:rsidR="00DB1210" w:rsidRPr="006122EE" w:rsidRDefault="00DB1210" w:rsidP="00DB1210">
      <w:r w:rsidRPr="00866D96">
        <w:rPr>
          <w:noProof/>
          <w:lang w:val="en-US" w:eastAsia="en-US"/>
        </w:rPr>
        <w:drawing>
          <wp:inline distT="0" distB="0" distL="0" distR="0" wp14:anchorId="334A599B" wp14:editId="465C5657">
            <wp:extent cx="5971540" cy="1744345"/>
            <wp:effectExtent l="19050" t="19050" r="10160"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0732F.tmp"/>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971540" cy="17443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01A228C" w14:textId="77777777" w:rsidR="00DB1210" w:rsidRPr="006122EE" w:rsidRDefault="00DB1210" w:rsidP="00B1153E">
      <w:pPr>
        <w:spacing w:line="276" w:lineRule="auto"/>
      </w:pPr>
      <w:r w:rsidRPr="006122EE">
        <w:t xml:space="preserve">A first wave of countries already completed their AAs and IPs. However, Dr Daniel-Alexander Schroth, the coordinator of the </w:t>
      </w:r>
      <w:r w:rsidR="00FE7056" w:rsidRPr="006122EE">
        <w:rPr>
          <w:lang w:eastAsia="en-US"/>
        </w:rPr>
        <w:t>SE4ALL</w:t>
      </w:r>
      <w:r w:rsidR="00FE7056" w:rsidRPr="006122EE" w:rsidDel="00FE7056">
        <w:t xml:space="preserve"> </w:t>
      </w:r>
      <w:r w:rsidRPr="006122EE">
        <w:t xml:space="preserve">Africa Hub, stated that a structured follow-up and support to implementation of AA/IPs would be critical for maintaining </w:t>
      </w:r>
      <w:r w:rsidR="00FE7056" w:rsidRPr="006122EE">
        <w:rPr>
          <w:lang w:eastAsia="en-US"/>
        </w:rPr>
        <w:t>SE4ALL</w:t>
      </w:r>
      <w:r w:rsidRPr="006122EE">
        <w:t xml:space="preserve"> momentum.</w:t>
      </w:r>
      <w:r w:rsidRPr="006122EE">
        <w:rPr>
          <w:rStyle w:val="FootnoteReference"/>
        </w:rPr>
        <w:footnoteReference w:id="97"/>
      </w:r>
      <w:r w:rsidRPr="006122EE">
        <w:t xml:space="preserve"> Thus, accompanying African countries during the realization of its AA and IP is the key on their way to a sustainable future.</w:t>
      </w:r>
    </w:p>
    <w:p w14:paraId="75AC11A0" w14:textId="77777777" w:rsidR="00DB1210" w:rsidRPr="006122EE" w:rsidRDefault="00DB1210" w:rsidP="00B1153E">
      <w:pPr>
        <w:pStyle w:val="BSubheading-Blue"/>
        <w:spacing w:line="276" w:lineRule="auto"/>
        <w:rPr>
          <w:noProof w:val="0"/>
          <w:lang w:val="en-GB"/>
        </w:rPr>
      </w:pPr>
      <w:bookmarkStart w:id="603" w:name="_Toc447217106"/>
      <w:bookmarkStart w:id="604" w:name="_Toc481614958"/>
      <w:r w:rsidRPr="006122EE">
        <w:rPr>
          <w:noProof w:val="0"/>
          <w:lang w:val="en-GB"/>
        </w:rPr>
        <w:t xml:space="preserve">AA and IP: Key steps for achieving </w:t>
      </w:r>
      <w:r w:rsidR="007B1401" w:rsidRPr="006122EE">
        <w:rPr>
          <w:noProof w:val="0"/>
          <w:lang w:val="en-GB"/>
        </w:rPr>
        <w:t>SE4All</w:t>
      </w:r>
      <w:r w:rsidRPr="006122EE">
        <w:rPr>
          <w:noProof w:val="0"/>
          <w:lang w:val="en-GB"/>
        </w:rPr>
        <w:t xml:space="preserve"> objectives</w:t>
      </w:r>
      <w:bookmarkEnd w:id="603"/>
      <w:bookmarkEnd w:id="604"/>
    </w:p>
    <w:p w14:paraId="652D0CE0" w14:textId="77777777" w:rsidR="00DB1210" w:rsidRPr="006122EE" w:rsidRDefault="00DB1210" w:rsidP="00B1153E">
      <w:pPr>
        <w:pStyle w:val="Style1"/>
        <w:spacing w:line="276" w:lineRule="auto"/>
      </w:pPr>
      <w:bookmarkStart w:id="605" w:name="_Toc447217107"/>
      <w:r w:rsidRPr="006122EE">
        <w:t>Action Agenda</w:t>
      </w:r>
      <w:bookmarkEnd w:id="605"/>
    </w:p>
    <w:p w14:paraId="0C53E0FE" w14:textId="77777777" w:rsidR="00DB1210" w:rsidRPr="006122EE" w:rsidRDefault="00DB1210" w:rsidP="00B1153E">
      <w:pPr>
        <w:spacing w:line="276" w:lineRule="auto"/>
      </w:pPr>
      <w:r w:rsidRPr="006122EE">
        <w:t>The AA is:</w:t>
      </w:r>
    </w:p>
    <w:p w14:paraId="08EB2E2B" w14:textId="77777777" w:rsidR="00DB1210" w:rsidRPr="00866D96" w:rsidRDefault="00DB1210" w:rsidP="00B1153E">
      <w:pPr>
        <w:pStyle w:val="DBulletlevel1"/>
        <w:spacing w:line="276" w:lineRule="auto"/>
        <w:rPr>
          <w:noProof w:val="0"/>
        </w:rPr>
      </w:pPr>
      <w:r w:rsidRPr="00866D96">
        <w:rPr>
          <w:noProof w:val="0"/>
        </w:rPr>
        <w:t xml:space="preserve">A strategy-driven and holistic document that intends to determine how the three goals of </w:t>
      </w:r>
      <w:r w:rsidR="00FE7056" w:rsidRPr="00866D96">
        <w:rPr>
          <w:noProof w:val="0"/>
          <w:lang w:eastAsia="en-US"/>
        </w:rPr>
        <w:t>SE4ALL</w:t>
      </w:r>
      <w:r w:rsidR="00FE7056" w:rsidRPr="00866D96" w:rsidDel="00FE7056">
        <w:rPr>
          <w:noProof w:val="0"/>
        </w:rPr>
        <w:t xml:space="preserve"> </w:t>
      </w:r>
      <w:r w:rsidR="007B1401" w:rsidRPr="00866D96">
        <w:rPr>
          <w:noProof w:val="0"/>
        </w:rPr>
        <w:t>l</w:t>
      </w:r>
      <w:r w:rsidRPr="00866D96">
        <w:rPr>
          <w:noProof w:val="0"/>
        </w:rPr>
        <w:t xml:space="preserve"> could be achieved by 2030</w:t>
      </w:r>
      <w:r w:rsidR="00AB3EEF" w:rsidRPr="00866D96">
        <w:rPr>
          <w:noProof w:val="0"/>
        </w:rPr>
        <w:t>.</w:t>
      </w:r>
    </w:p>
    <w:p w14:paraId="4156DC72" w14:textId="77777777" w:rsidR="00DB1210" w:rsidRPr="00866D96" w:rsidRDefault="00DB1210" w:rsidP="00B1153E">
      <w:pPr>
        <w:pStyle w:val="DBulletlevel1"/>
        <w:spacing w:line="276" w:lineRule="auto"/>
        <w:rPr>
          <w:noProof w:val="0"/>
        </w:rPr>
      </w:pPr>
      <w:r w:rsidRPr="00866D96">
        <w:rPr>
          <w:noProof w:val="0"/>
        </w:rPr>
        <w:t>An umbrella framework for the sector that includes nexus angles</w:t>
      </w:r>
      <w:r w:rsidR="00AB3EEF" w:rsidRPr="00866D96">
        <w:rPr>
          <w:noProof w:val="0"/>
        </w:rPr>
        <w:t>.</w:t>
      </w:r>
    </w:p>
    <w:p w14:paraId="3C53DD6D" w14:textId="77777777" w:rsidR="00DB1210" w:rsidRPr="00866D96" w:rsidRDefault="00DB1210" w:rsidP="00B1153E">
      <w:pPr>
        <w:pStyle w:val="DBulletlevel1"/>
        <w:spacing w:line="276" w:lineRule="auto"/>
        <w:rPr>
          <w:noProof w:val="0"/>
        </w:rPr>
      </w:pPr>
      <w:r w:rsidRPr="00866D96">
        <w:rPr>
          <w:noProof w:val="0"/>
        </w:rPr>
        <w:t xml:space="preserve">A long-term vision which ensures the sector-wide coherence and synergy of accumulated efforts towards </w:t>
      </w:r>
      <w:r w:rsidR="00FE7056" w:rsidRPr="00866D96">
        <w:rPr>
          <w:noProof w:val="0"/>
          <w:lang w:eastAsia="en-US"/>
        </w:rPr>
        <w:t>SE4ALL</w:t>
      </w:r>
      <w:r w:rsidR="00FE7056" w:rsidRPr="00866D96" w:rsidDel="00FE7056">
        <w:rPr>
          <w:noProof w:val="0"/>
        </w:rPr>
        <w:t xml:space="preserve"> </w:t>
      </w:r>
      <w:r w:rsidR="007B1401" w:rsidRPr="00866D96">
        <w:rPr>
          <w:noProof w:val="0"/>
        </w:rPr>
        <w:t>l</w:t>
      </w:r>
      <w:r w:rsidRPr="00866D96">
        <w:rPr>
          <w:noProof w:val="0"/>
        </w:rPr>
        <w:t xml:space="preserve"> goals</w:t>
      </w:r>
      <w:r w:rsidR="00AB3EEF" w:rsidRPr="00866D96">
        <w:rPr>
          <w:noProof w:val="0"/>
        </w:rPr>
        <w:t>.</w:t>
      </w:r>
    </w:p>
    <w:p w14:paraId="78627A88" w14:textId="77777777" w:rsidR="00DB1210" w:rsidRPr="00866D96" w:rsidRDefault="00DB1210" w:rsidP="00B1153E">
      <w:pPr>
        <w:pStyle w:val="DBulletlevel1"/>
        <w:spacing w:line="276" w:lineRule="auto"/>
        <w:rPr>
          <w:noProof w:val="0"/>
        </w:rPr>
      </w:pPr>
      <w:r w:rsidRPr="00866D96">
        <w:rPr>
          <w:noProof w:val="0"/>
        </w:rPr>
        <w:t>A developed in an inclusive manner</w:t>
      </w:r>
      <w:r w:rsidR="00AB3EEF" w:rsidRPr="00866D96">
        <w:rPr>
          <w:noProof w:val="0"/>
        </w:rPr>
        <w:t>.</w:t>
      </w:r>
    </w:p>
    <w:p w14:paraId="7503AEBC" w14:textId="77777777" w:rsidR="00DB1210" w:rsidRPr="006122EE" w:rsidRDefault="00DB1210" w:rsidP="00B1153E">
      <w:pPr>
        <w:pStyle w:val="Style1"/>
        <w:spacing w:line="276" w:lineRule="auto"/>
      </w:pPr>
      <w:bookmarkStart w:id="606" w:name="_Toc447217108"/>
      <w:r w:rsidRPr="006122EE">
        <w:t>Investment Prospectus</w:t>
      </w:r>
      <w:r w:rsidR="00AB3EEF" w:rsidRPr="006122EE">
        <w:t xml:space="preserve"> </w:t>
      </w:r>
      <w:r w:rsidRPr="006122EE">
        <w:t>(es)</w:t>
      </w:r>
      <w:bookmarkEnd w:id="606"/>
    </w:p>
    <w:p w14:paraId="295361E7" w14:textId="77777777" w:rsidR="00DB1210" w:rsidRPr="006122EE" w:rsidRDefault="00DB1210" w:rsidP="00B1153E">
      <w:pPr>
        <w:spacing w:line="276" w:lineRule="auto"/>
      </w:pPr>
      <w:r w:rsidRPr="006122EE">
        <w:t>The IPs provide:</w:t>
      </w:r>
    </w:p>
    <w:p w14:paraId="7EDF9B47" w14:textId="77777777" w:rsidR="00DB1210" w:rsidRPr="00866D96" w:rsidRDefault="00DB1210" w:rsidP="00B1153E">
      <w:pPr>
        <w:pStyle w:val="DBulletlevel1"/>
        <w:spacing w:line="276" w:lineRule="auto"/>
        <w:rPr>
          <w:noProof w:val="0"/>
        </w:rPr>
      </w:pPr>
      <w:r w:rsidRPr="00866D96">
        <w:rPr>
          <w:noProof w:val="0"/>
        </w:rPr>
        <w:t>An approach to operationalizing the Country Action Agenda</w:t>
      </w:r>
      <w:r w:rsidR="00AB3EEF" w:rsidRPr="00866D96">
        <w:rPr>
          <w:noProof w:val="0"/>
        </w:rPr>
        <w:t>.</w:t>
      </w:r>
    </w:p>
    <w:p w14:paraId="6354F41E" w14:textId="77777777" w:rsidR="00DB1210" w:rsidRPr="00866D96" w:rsidRDefault="00DB1210" w:rsidP="00B1153E">
      <w:pPr>
        <w:pStyle w:val="DBulletlevel1"/>
        <w:spacing w:line="276" w:lineRule="auto"/>
        <w:rPr>
          <w:noProof w:val="0"/>
        </w:rPr>
      </w:pPr>
      <w:r w:rsidRPr="00866D96">
        <w:rPr>
          <w:noProof w:val="0"/>
        </w:rPr>
        <w:t>Short- to medium-term set of investment opportunities (3-5 years)</w:t>
      </w:r>
      <w:r w:rsidR="00AB3EEF" w:rsidRPr="00866D96">
        <w:rPr>
          <w:noProof w:val="0"/>
        </w:rPr>
        <w:t>.</w:t>
      </w:r>
    </w:p>
    <w:p w14:paraId="4D261085" w14:textId="77777777" w:rsidR="00DB1210" w:rsidRPr="00866D96" w:rsidRDefault="00DB1210" w:rsidP="00B1153E">
      <w:pPr>
        <w:pStyle w:val="DBulletlevel1"/>
        <w:spacing w:line="276" w:lineRule="auto"/>
        <w:rPr>
          <w:noProof w:val="0"/>
        </w:rPr>
      </w:pPr>
      <w:r w:rsidRPr="00866D96">
        <w:rPr>
          <w:noProof w:val="0"/>
        </w:rPr>
        <w:t>Conversation starter for a variety of investment opportunities that will provide preliminary information to prospective investors</w:t>
      </w:r>
      <w:r w:rsidR="00AB3EEF" w:rsidRPr="00866D96">
        <w:rPr>
          <w:noProof w:val="0"/>
        </w:rPr>
        <w:t>.</w:t>
      </w:r>
    </w:p>
    <w:p w14:paraId="48548E31" w14:textId="77777777" w:rsidR="00DB1210" w:rsidRPr="006122EE" w:rsidRDefault="00DB1210" w:rsidP="00B1153E">
      <w:pPr>
        <w:pStyle w:val="BSubheading-Blue"/>
        <w:spacing w:line="276" w:lineRule="auto"/>
        <w:rPr>
          <w:noProof w:val="0"/>
          <w:lang w:val="en-GB"/>
        </w:rPr>
      </w:pPr>
      <w:bookmarkStart w:id="607" w:name="_Toc447217109"/>
      <w:bookmarkStart w:id="608" w:name="_Toc481614959"/>
      <w:r w:rsidRPr="006122EE">
        <w:rPr>
          <w:noProof w:val="0"/>
          <w:lang w:val="en-GB"/>
        </w:rPr>
        <w:t>The role of the AA and IP</w:t>
      </w:r>
      <w:bookmarkEnd w:id="607"/>
      <w:bookmarkEnd w:id="608"/>
    </w:p>
    <w:p w14:paraId="6EDFB967" w14:textId="77777777" w:rsidR="00DB1210" w:rsidRPr="006122EE" w:rsidRDefault="00DB1210" w:rsidP="00B1153E">
      <w:pPr>
        <w:pStyle w:val="Style1"/>
        <w:spacing w:line="276" w:lineRule="auto"/>
      </w:pPr>
      <w:bookmarkStart w:id="609" w:name="_Toc447217110"/>
      <w:r w:rsidRPr="006122EE">
        <w:t>Country views on the role of the AA</w:t>
      </w:r>
      <w:bookmarkEnd w:id="609"/>
    </w:p>
    <w:p w14:paraId="17D888D3" w14:textId="77777777" w:rsidR="00DB1210" w:rsidRPr="006122EE" w:rsidRDefault="00DB1210" w:rsidP="00B1153E">
      <w:pPr>
        <w:spacing w:line="276" w:lineRule="auto"/>
      </w:pPr>
      <w:r w:rsidRPr="006122EE">
        <w:t xml:space="preserve">Countries expressed their views on the AA at the </w:t>
      </w:r>
      <w:r w:rsidR="00FE7056" w:rsidRPr="006122EE">
        <w:rPr>
          <w:lang w:eastAsia="en-US"/>
        </w:rPr>
        <w:t>SE4ALL</w:t>
      </w:r>
      <w:r w:rsidRPr="006122EE">
        <w:t xml:space="preserve"> Forum. According to them, the AA:</w:t>
      </w:r>
    </w:p>
    <w:p w14:paraId="6905C969" w14:textId="77777777" w:rsidR="00DB1210" w:rsidRPr="00866D96" w:rsidRDefault="00DB1210" w:rsidP="00B1153E">
      <w:pPr>
        <w:pStyle w:val="DBulletlevel1"/>
        <w:spacing w:line="276" w:lineRule="auto"/>
        <w:rPr>
          <w:noProof w:val="0"/>
        </w:rPr>
      </w:pPr>
      <w:r w:rsidRPr="00866D96">
        <w:rPr>
          <w:noProof w:val="0"/>
        </w:rPr>
        <w:t>Provides a framework to align stakeholder objectives</w:t>
      </w:r>
      <w:r w:rsidR="00AB3EEF" w:rsidRPr="00866D96">
        <w:rPr>
          <w:noProof w:val="0"/>
        </w:rPr>
        <w:t>.</w:t>
      </w:r>
    </w:p>
    <w:p w14:paraId="1E0CBB48" w14:textId="77777777" w:rsidR="00DB1210" w:rsidRPr="00866D96" w:rsidRDefault="00DB1210" w:rsidP="00B1153E">
      <w:pPr>
        <w:pStyle w:val="DBulletlevel1"/>
        <w:spacing w:line="276" w:lineRule="auto"/>
        <w:rPr>
          <w:noProof w:val="0"/>
        </w:rPr>
      </w:pPr>
      <w:r w:rsidRPr="00866D96">
        <w:rPr>
          <w:noProof w:val="0"/>
        </w:rPr>
        <w:t>Provides a long term view of the sector and a holistic planning tool integrated to the broader policy framework of the country</w:t>
      </w:r>
      <w:r w:rsidR="00AB3EEF" w:rsidRPr="00866D96">
        <w:rPr>
          <w:noProof w:val="0"/>
        </w:rPr>
        <w:t>.</w:t>
      </w:r>
    </w:p>
    <w:p w14:paraId="69796F7A" w14:textId="77777777" w:rsidR="00DB1210" w:rsidRPr="00866D96" w:rsidRDefault="00DB1210" w:rsidP="00B1153E">
      <w:pPr>
        <w:pStyle w:val="DBulletlevel1"/>
        <w:spacing w:line="276" w:lineRule="auto"/>
        <w:rPr>
          <w:noProof w:val="0"/>
        </w:rPr>
      </w:pPr>
      <w:r w:rsidRPr="00866D96">
        <w:rPr>
          <w:noProof w:val="0"/>
        </w:rPr>
        <w:t>Identifies sector gaps and suggests actions to address gaps and costs achieving targets</w:t>
      </w:r>
      <w:r w:rsidR="00AB3EEF" w:rsidRPr="00866D96">
        <w:rPr>
          <w:noProof w:val="0"/>
        </w:rPr>
        <w:t>.</w:t>
      </w:r>
    </w:p>
    <w:p w14:paraId="72B68F9B" w14:textId="77777777" w:rsidR="00DB1210" w:rsidRPr="00866D96" w:rsidRDefault="00DB1210" w:rsidP="00B1153E">
      <w:pPr>
        <w:pStyle w:val="DBulletlevel1"/>
        <w:spacing w:line="276" w:lineRule="auto"/>
        <w:rPr>
          <w:noProof w:val="0"/>
        </w:rPr>
      </w:pPr>
      <w:r w:rsidRPr="00866D96">
        <w:rPr>
          <w:noProof w:val="0"/>
        </w:rPr>
        <w:t xml:space="preserve">Identifies central repository of resources for the purpose of coordination of </w:t>
      </w:r>
      <w:r w:rsidR="00FE7056" w:rsidRPr="00866D96">
        <w:rPr>
          <w:noProof w:val="0"/>
          <w:lang w:eastAsia="en-US"/>
        </w:rPr>
        <w:t>SE4ALL</w:t>
      </w:r>
      <w:r w:rsidRPr="00866D96">
        <w:rPr>
          <w:noProof w:val="0"/>
        </w:rPr>
        <w:t xml:space="preserve"> as well as defining follow-up actions</w:t>
      </w:r>
      <w:r w:rsidR="00AB3EEF" w:rsidRPr="00866D96">
        <w:rPr>
          <w:noProof w:val="0"/>
        </w:rPr>
        <w:t>.</w:t>
      </w:r>
    </w:p>
    <w:p w14:paraId="60B029EA" w14:textId="77777777" w:rsidR="00DB1210" w:rsidRPr="00866D96" w:rsidRDefault="00DB1210" w:rsidP="00B1153E">
      <w:pPr>
        <w:pStyle w:val="DBulletlevel1"/>
        <w:spacing w:line="276" w:lineRule="auto"/>
        <w:rPr>
          <w:noProof w:val="0"/>
        </w:rPr>
      </w:pPr>
      <w:r w:rsidRPr="00866D96">
        <w:rPr>
          <w:noProof w:val="0"/>
        </w:rPr>
        <w:t>Provides a platform for sharing experiences on best practices</w:t>
      </w:r>
      <w:r w:rsidR="00AB3EEF" w:rsidRPr="00866D96">
        <w:rPr>
          <w:noProof w:val="0"/>
        </w:rPr>
        <w:t>.</w:t>
      </w:r>
    </w:p>
    <w:p w14:paraId="6144D28B" w14:textId="77777777" w:rsidR="00DB1210" w:rsidRPr="00866D96" w:rsidRDefault="00DB1210" w:rsidP="00B1153E">
      <w:pPr>
        <w:pStyle w:val="DBulletlevel1"/>
        <w:spacing w:line="276" w:lineRule="auto"/>
        <w:rPr>
          <w:noProof w:val="0"/>
        </w:rPr>
      </w:pPr>
      <w:r w:rsidRPr="00866D96">
        <w:rPr>
          <w:noProof w:val="0"/>
        </w:rPr>
        <w:t>Provides a tool to accelerate the mobilization of needed investment into the sector</w:t>
      </w:r>
      <w:r w:rsidR="00AB3EEF" w:rsidRPr="00866D96">
        <w:rPr>
          <w:noProof w:val="0"/>
        </w:rPr>
        <w:t>.</w:t>
      </w:r>
    </w:p>
    <w:p w14:paraId="284E04DA" w14:textId="77777777" w:rsidR="00DB1210" w:rsidRPr="006122EE" w:rsidRDefault="00DB1210" w:rsidP="00B1153E">
      <w:pPr>
        <w:spacing w:line="276" w:lineRule="auto"/>
      </w:pPr>
      <w:r w:rsidRPr="006122EE">
        <w:t>“The Action Agenda is as much a holistic planning tool encompassing our long- term vision as it is a framework to help align stakeholder objectives and partner interventions to mobilize necessary investments.” Alain Harelimana, Advisor to the Ministry of Infrastructure of Rwanda.</w:t>
      </w:r>
    </w:p>
    <w:p w14:paraId="541CD751" w14:textId="77777777" w:rsidR="00DB1210" w:rsidRPr="006122EE" w:rsidRDefault="00DB1210" w:rsidP="00B1153E">
      <w:pPr>
        <w:pStyle w:val="Style1"/>
        <w:spacing w:line="276" w:lineRule="auto"/>
      </w:pPr>
      <w:bookmarkStart w:id="610" w:name="_Toc447217111"/>
      <w:r w:rsidRPr="006122EE">
        <w:t>Mobilizing support and investments</w:t>
      </w:r>
      <w:bookmarkEnd w:id="610"/>
    </w:p>
    <w:p w14:paraId="717D1A23" w14:textId="77777777" w:rsidR="00DB1210" w:rsidRPr="006122EE" w:rsidRDefault="00DB1210" w:rsidP="00B1153E">
      <w:pPr>
        <w:spacing w:line="276" w:lineRule="auto"/>
        <w:rPr>
          <w:lang w:eastAsia="fr-FR"/>
        </w:rPr>
      </w:pPr>
      <w:r w:rsidRPr="006122EE">
        <w:rPr>
          <w:lang w:eastAsia="fr-FR"/>
        </w:rPr>
        <w:t>Mobilizing support and investments:</w:t>
      </w:r>
    </w:p>
    <w:p w14:paraId="67609724" w14:textId="77777777" w:rsidR="00DB1210" w:rsidRPr="00866D96" w:rsidRDefault="00DB1210" w:rsidP="00B1153E">
      <w:pPr>
        <w:pStyle w:val="DBulletlevel1"/>
        <w:spacing w:line="276" w:lineRule="auto"/>
        <w:rPr>
          <w:noProof w:val="0"/>
        </w:rPr>
      </w:pPr>
      <w:r w:rsidRPr="00866D96">
        <w:rPr>
          <w:noProof w:val="0"/>
        </w:rPr>
        <w:t>Provides partners (public and private) with a clear roadmap of what the country envisages to undertake (link to monitoring and tracking)</w:t>
      </w:r>
      <w:r w:rsidR="00AB3EEF" w:rsidRPr="00866D96">
        <w:rPr>
          <w:noProof w:val="0"/>
        </w:rPr>
        <w:t>.</w:t>
      </w:r>
    </w:p>
    <w:p w14:paraId="7F93259A" w14:textId="77777777" w:rsidR="00DB1210" w:rsidRPr="00866D96" w:rsidRDefault="00DB1210" w:rsidP="00B1153E">
      <w:pPr>
        <w:pStyle w:val="DBulletlevel1"/>
        <w:spacing w:line="276" w:lineRule="auto"/>
        <w:rPr>
          <w:noProof w:val="0"/>
        </w:rPr>
      </w:pPr>
      <w:r w:rsidRPr="00866D96">
        <w:rPr>
          <w:noProof w:val="0"/>
        </w:rPr>
        <w:t>Provides development partners with a guiding tool for assistance to the country (link to inclusive development process)</w:t>
      </w:r>
      <w:r w:rsidR="00AB3EEF" w:rsidRPr="00866D96">
        <w:rPr>
          <w:noProof w:val="0"/>
        </w:rPr>
        <w:t>.</w:t>
      </w:r>
    </w:p>
    <w:p w14:paraId="4B1689DE" w14:textId="77777777" w:rsidR="00DB1210" w:rsidRPr="00866D96" w:rsidRDefault="00DB1210" w:rsidP="00B1153E">
      <w:pPr>
        <w:pStyle w:val="DBulletlevel1"/>
        <w:spacing w:line="276" w:lineRule="auto"/>
        <w:rPr>
          <w:noProof w:val="0"/>
        </w:rPr>
      </w:pPr>
      <w:r w:rsidRPr="00866D96">
        <w:rPr>
          <w:noProof w:val="0"/>
        </w:rPr>
        <w:t>Provides countries with a tool to identify investment opportunities as a “live rolling” document with new opportunities being added</w:t>
      </w:r>
      <w:r w:rsidR="00AB3EEF" w:rsidRPr="00866D96">
        <w:rPr>
          <w:noProof w:val="0"/>
        </w:rPr>
        <w:t>.</w:t>
      </w:r>
    </w:p>
    <w:p w14:paraId="3AB3EC7B" w14:textId="77777777" w:rsidR="00DB1210" w:rsidRPr="00866D96" w:rsidRDefault="00DB1210" w:rsidP="00B1153E">
      <w:pPr>
        <w:pStyle w:val="DBulletlevel1"/>
        <w:spacing w:line="276" w:lineRule="auto"/>
        <w:rPr>
          <w:noProof w:val="0"/>
        </w:rPr>
      </w:pPr>
      <w:r w:rsidRPr="00866D96">
        <w:rPr>
          <w:noProof w:val="0"/>
        </w:rPr>
        <w:t xml:space="preserve">Benefit from the convening power of </w:t>
      </w:r>
      <w:r w:rsidR="00FE7056" w:rsidRPr="00866D96">
        <w:rPr>
          <w:noProof w:val="0"/>
          <w:lang w:eastAsia="en-US"/>
        </w:rPr>
        <w:t>SE4ALL</w:t>
      </w:r>
      <w:r w:rsidRPr="00866D96">
        <w:rPr>
          <w:noProof w:val="0"/>
        </w:rPr>
        <w:t xml:space="preserve"> to promote plans and assist with matchmaking between potential investors and facilitating access to finance from available resources of partners</w:t>
      </w:r>
      <w:r w:rsidR="00AB3EEF" w:rsidRPr="00866D96">
        <w:rPr>
          <w:noProof w:val="0"/>
        </w:rPr>
        <w:t>.</w:t>
      </w:r>
    </w:p>
    <w:p w14:paraId="2383F491" w14:textId="77777777" w:rsidR="00DB1210" w:rsidRPr="006122EE" w:rsidRDefault="00DB1210" w:rsidP="00B1153E">
      <w:pPr>
        <w:spacing w:line="276" w:lineRule="auto"/>
        <w:rPr>
          <w:lang w:eastAsia="fr-FR"/>
        </w:rPr>
      </w:pPr>
      <w:r w:rsidRPr="006122EE">
        <w:rPr>
          <w:i/>
          <w:lang w:eastAsia="fr-FR"/>
        </w:rPr>
        <w:t xml:space="preserve">“Promote the </w:t>
      </w:r>
      <w:r w:rsidR="007B1401" w:rsidRPr="006122EE">
        <w:rPr>
          <w:i/>
          <w:lang w:eastAsia="fr-FR"/>
        </w:rPr>
        <w:t>SE4All</w:t>
      </w:r>
      <w:r w:rsidRPr="006122EE">
        <w:rPr>
          <w:i/>
          <w:lang w:eastAsia="fr-FR"/>
        </w:rPr>
        <w:t xml:space="preserve"> Investment Prospectus as a tool to mobilize the required financing for accomplishing both </w:t>
      </w:r>
      <w:r w:rsidR="00FE7056" w:rsidRPr="00866D96">
        <w:rPr>
          <w:i/>
          <w:lang w:eastAsia="en-US"/>
        </w:rPr>
        <w:t>SE4ALL’s</w:t>
      </w:r>
      <w:r w:rsidR="00FE7056" w:rsidRPr="006122EE" w:rsidDel="00FE7056">
        <w:rPr>
          <w:i/>
          <w:lang w:eastAsia="fr-FR"/>
        </w:rPr>
        <w:t xml:space="preserve"> </w:t>
      </w:r>
      <w:r w:rsidRPr="006122EE">
        <w:rPr>
          <w:i/>
          <w:lang w:eastAsia="fr-FR"/>
        </w:rPr>
        <w:t xml:space="preserve"> objectives and those of the proposed SDG 7</w:t>
      </w:r>
      <w:r w:rsidRPr="006122EE">
        <w:rPr>
          <w:rStyle w:val="FootnoteReference"/>
          <w:i/>
          <w:lang w:eastAsia="fr-FR"/>
        </w:rPr>
        <w:footnoteReference w:id="98"/>
      </w:r>
      <w:r w:rsidRPr="006122EE">
        <w:rPr>
          <w:i/>
          <w:lang w:eastAsia="fr-FR"/>
        </w:rPr>
        <w:t xml:space="preserve"> on energy”</w:t>
      </w:r>
      <w:r w:rsidRPr="006122EE">
        <w:rPr>
          <w:lang w:eastAsia="fr-FR"/>
        </w:rPr>
        <w:t xml:space="preserve"> </w:t>
      </w:r>
      <w:r w:rsidR="00FE7056" w:rsidRPr="006122EE">
        <w:rPr>
          <w:lang w:eastAsia="en-US"/>
        </w:rPr>
        <w:t>SE4ALL</w:t>
      </w:r>
      <w:r w:rsidRPr="006122EE">
        <w:rPr>
          <w:lang w:eastAsia="fr-FR"/>
        </w:rPr>
        <w:t xml:space="preserve"> Energy Access Committee, May 2015</w:t>
      </w:r>
      <w:r w:rsidR="00AB3EEF" w:rsidRPr="006122EE">
        <w:rPr>
          <w:lang w:eastAsia="fr-FR"/>
        </w:rPr>
        <w:t>.</w:t>
      </w:r>
    </w:p>
    <w:p w14:paraId="184A15E7" w14:textId="77777777" w:rsidR="00DB1210" w:rsidRPr="006122EE" w:rsidRDefault="00DB1210" w:rsidP="00B1153E">
      <w:pPr>
        <w:pStyle w:val="Style1"/>
        <w:spacing w:line="276" w:lineRule="auto"/>
      </w:pPr>
      <w:bookmarkStart w:id="611" w:name="_Toc447217112"/>
      <w:r w:rsidRPr="006122EE">
        <w:t>Realizing the full potential of the AA/IP</w:t>
      </w:r>
      <w:bookmarkEnd w:id="611"/>
    </w:p>
    <w:p w14:paraId="6D36ED5F" w14:textId="77777777" w:rsidR="00DB1210" w:rsidRPr="006122EE" w:rsidRDefault="00DB1210" w:rsidP="00B1153E">
      <w:pPr>
        <w:spacing w:line="276" w:lineRule="auto"/>
        <w:rPr>
          <w:lang w:eastAsia="fr-FR"/>
        </w:rPr>
      </w:pPr>
      <w:r w:rsidRPr="006122EE">
        <w:rPr>
          <w:lang w:eastAsia="fr-FR"/>
        </w:rPr>
        <w:t>The AA/IPs are potentially powerful tools. To realize their full potential requires:</w:t>
      </w:r>
    </w:p>
    <w:p w14:paraId="6F3D4707" w14:textId="77777777" w:rsidR="00DB1210" w:rsidRPr="006122EE" w:rsidRDefault="00DB1210" w:rsidP="00B1153E">
      <w:pPr>
        <w:pStyle w:val="ListParagraph"/>
        <w:numPr>
          <w:ilvl w:val="0"/>
          <w:numId w:val="41"/>
        </w:numPr>
        <w:spacing w:line="276" w:lineRule="auto"/>
        <w:ind w:left="426" w:hanging="284"/>
        <w:rPr>
          <w:lang w:eastAsia="fr-FR"/>
        </w:rPr>
      </w:pPr>
      <w:r w:rsidRPr="006122EE">
        <w:rPr>
          <w:lang w:eastAsia="fr-FR"/>
        </w:rPr>
        <w:t>High quality outcomes of AA/IP processes:</w:t>
      </w:r>
    </w:p>
    <w:p w14:paraId="1CDAB894" w14:textId="77777777" w:rsidR="00DB1210" w:rsidRPr="00866D96" w:rsidRDefault="00DB1210" w:rsidP="00B1153E">
      <w:pPr>
        <w:pStyle w:val="DBulletlevel1"/>
        <w:spacing w:line="276" w:lineRule="auto"/>
        <w:rPr>
          <w:noProof w:val="0"/>
        </w:rPr>
      </w:pPr>
      <w:r w:rsidRPr="00866D96">
        <w:rPr>
          <w:noProof w:val="0"/>
        </w:rPr>
        <w:t>Application of established “quality circle” as country support mechanism</w:t>
      </w:r>
      <w:r w:rsidR="00AB3EEF" w:rsidRPr="00866D96">
        <w:rPr>
          <w:noProof w:val="0"/>
        </w:rPr>
        <w:t>.</w:t>
      </w:r>
    </w:p>
    <w:p w14:paraId="0DE7C1F0" w14:textId="77777777" w:rsidR="00DB1210" w:rsidRPr="00866D96" w:rsidRDefault="00DB1210" w:rsidP="00B1153E">
      <w:pPr>
        <w:pStyle w:val="DBulletlevel1"/>
        <w:spacing w:line="276" w:lineRule="auto"/>
        <w:rPr>
          <w:noProof w:val="0"/>
        </w:rPr>
      </w:pPr>
      <w:r w:rsidRPr="00866D96">
        <w:rPr>
          <w:noProof w:val="0"/>
        </w:rPr>
        <w:t>Ensuring required high-level buy-in, and inclusive development process</w:t>
      </w:r>
      <w:r w:rsidR="00AB3EEF" w:rsidRPr="00866D96">
        <w:rPr>
          <w:noProof w:val="0"/>
        </w:rPr>
        <w:t>.</w:t>
      </w:r>
    </w:p>
    <w:p w14:paraId="0F07C232" w14:textId="77777777" w:rsidR="00DB1210" w:rsidRPr="00866D96" w:rsidRDefault="00DB1210" w:rsidP="00B1153E">
      <w:pPr>
        <w:pStyle w:val="DBulletlevel1"/>
        <w:spacing w:line="276" w:lineRule="auto"/>
        <w:rPr>
          <w:noProof w:val="0"/>
        </w:rPr>
      </w:pPr>
      <w:r w:rsidRPr="00866D96">
        <w:rPr>
          <w:noProof w:val="0"/>
        </w:rPr>
        <w:t>Involvement of HIOs and thematic Hubs in the development and follow-up processes</w:t>
      </w:r>
      <w:r w:rsidR="00AB3EEF" w:rsidRPr="00866D96">
        <w:rPr>
          <w:noProof w:val="0"/>
        </w:rPr>
        <w:t>.</w:t>
      </w:r>
    </w:p>
    <w:p w14:paraId="37B1BFDF" w14:textId="77777777" w:rsidR="00DB1210" w:rsidRPr="006122EE" w:rsidRDefault="00DB1210" w:rsidP="00B1153E">
      <w:pPr>
        <w:pStyle w:val="ListParagraph"/>
        <w:numPr>
          <w:ilvl w:val="0"/>
          <w:numId w:val="41"/>
        </w:numPr>
        <w:spacing w:line="276" w:lineRule="auto"/>
        <w:ind w:left="426" w:hanging="284"/>
        <w:rPr>
          <w:lang w:eastAsia="fr-FR"/>
        </w:rPr>
      </w:pPr>
      <w:r w:rsidRPr="006122EE">
        <w:rPr>
          <w:lang w:eastAsia="fr-FR"/>
        </w:rPr>
        <w:t xml:space="preserve">Concerted follow-up to AA/IPs: </w:t>
      </w:r>
    </w:p>
    <w:p w14:paraId="391AA155" w14:textId="77777777" w:rsidR="00DB1210" w:rsidRPr="00866D96" w:rsidRDefault="00DB1210" w:rsidP="00B1153E">
      <w:pPr>
        <w:pStyle w:val="DBulletlevel1"/>
        <w:spacing w:line="276" w:lineRule="auto"/>
        <w:rPr>
          <w:noProof w:val="0"/>
        </w:rPr>
      </w:pPr>
      <w:r w:rsidRPr="00866D96">
        <w:rPr>
          <w:noProof w:val="0"/>
        </w:rPr>
        <w:t>AA to be formally recognized as coordination and implementation tool for emerging SDG 7</w:t>
      </w:r>
      <w:r w:rsidR="00AB3EEF" w:rsidRPr="00866D96">
        <w:rPr>
          <w:noProof w:val="0"/>
        </w:rPr>
        <w:t>.</w:t>
      </w:r>
    </w:p>
    <w:p w14:paraId="4DAC131E" w14:textId="77777777" w:rsidR="00DB1210" w:rsidRPr="00866D96" w:rsidRDefault="00DB1210" w:rsidP="00B1153E">
      <w:pPr>
        <w:pStyle w:val="DBulletlevel1"/>
        <w:spacing w:line="276" w:lineRule="auto"/>
        <w:rPr>
          <w:noProof w:val="0"/>
        </w:rPr>
      </w:pPr>
      <w:r w:rsidRPr="00866D96">
        <w:rPr>
          <w:noProof w:val="0"/>
        </w:rPr>
        <w:t>Promotion/marketing for mobilizing finance for implementation of AA/IPs</w:t>
      </w:r>
      <w:r w:rsidR="00AB3EEF" w:rsidRPr="00866D96">
        <w:rPr>
          <w:noProof w:val="0"/>
        </w:rPr>
        <w:t>.</w:t>
      </w:r>
    </w:p>
    <w:p w14:paraId="5D664C8C" w14:textId="77777777" w:rsidR="00DB1210" w:rsidRPr="00866D96" w:rsidRDefault="00DB1210" w:rsidP="00B1153E">
      <w:pPr>
        <w:pStyle w:val="DBulletlevel1"/>
        <w:spacing w:line="276" w:lineRule="auto"/>
        <w:rPr>
          <w:noProof w:val="0"/>
        </w:rPr>
      </w:pPr>
      <w:r w:rsidRPr="00866D96">
        <w:rPr>
          <w:noProof w:val="0"/>
        </w:rPr>
        <w:t>Structured follow-up to AA/IPs (targeted support packages, market-place for IPs)</w:t>
      </w:r>
      <w:r w:rsidR="00AB3EEF" w:rsidRPr="00866D96">
        <w:rPr>
          <w:noProof w:val="0"/>
        </w:rPr>
        <w:t>.</w:t>
      </w:r>
    </w:p>
    <w:p w14:paraId="38939138" w14:textId="77777777" w:rsidR="00DB1210" w:rsidRPr="006122EE" w:rsidRDefault="00DB1210" w:rsidP="00B1153E">
      <w:pPr>
        <w:pStyle w:val="ListParagraph"/>
        <w:numPr>
          <w:ilvl w:val="0"/>
          <w:numId w:val="41"/>
        </w:numPr>
        <w:spacing w:line="276" w:lineRule="auto"/>
        <w:ind w:left="426" w:hanging="284"/>
        <w:rPr>
          <w:lang w:eastAsia="fr-FR"/>
        </w:rPr>
      </w:pPr>
      <w:r w:rsidRPr="006122EE">
        <w:rPr>
          <w:lang w:eastAsia="fr-FR"/>
        </w:rPr>
        <w:t>Strengthening of</w:t>
      </w:r>
      <w:r w:rsidR="00FE7056" w:rsidRPr="006122EE">
        <w:rPr>
          <w:lang w:eastAsia="en-US"/>
        </w:rPr>
        <w:t xml:space="preserve"> SE4ALL</w:t>
      </w:r>
      <w:r w:rsidR="00FE7056" w:rsidRPr="006122EE" w:rsidDel="00FE7056">
        <w:rPr>
          <w:lang w:eastAsia="fr-FR"/>
        </w:rPr>
        <w:t xml:space="preserve"> </w:t>
      </w:r>
      <w:r w:rsidRPr="006122EE">
        <w:rPr>
          <w:lang w:eastAsia="fr-FR"/>
        </w:rPr>
        <w:t>focal points/offices</w:t>
      </w:r>
    </w:p>
    <w:p w14:paraId="1036DC93" w14:textId="77777777" w:rsidR="00DB1210" w:rsidRPr="00866D96" w:rsidRDefault="00DB1210" w:rsidP="006E363C">
      <w:pPr>
        <w:pStyle w:val="APageheading"/>
        <w:pageBreakBefore/>
        <w:numPr>
          <w:ilvl w:val="0"/>
          <w:numId w:val="0"/>
        </w:numPr>
        <w:rPr>
          <w:noProof w:val="0"/>
        </w:rPr>
      </w:pPr>
      <w:bookmarkStart w:id="612" w:name="_Toc441762865"/>
      <w:bookmarkStart w:id="613" w:name="_Toc447217113"/>
      <w:bookmarkStart w:id="614" w:name="_Toc481614960"/>
      <w:r w:rsidRPr="00866D96">
        <w:rPr>
          <w:noProof w:val="0"/>
        </w:rPr>
        <w:t>Annex 2: Stakeholders consulted in the development of AA</w:t>
      </w:r>
      <w:bookmarkEnd w:id="612"/>
      <w:bookmarkEnd w:id="613"/>
      <w:bookmarkEnd w:id="614"/>
    </w:p>
    <w:p w14:paraId="23B8B4F7" w14:textId="77777777" w:rsidR="00DB1210" w:rsidRPr="006122EE" w:rsidRDefault="00DB1210" w:rsidP="00866D96">
      <w:pPr>
        <w:pStyle w:val="Style1"/>
      </w:pPr>
      <w:bookmarkStart w:id="615" w:name="_Toc447217114"/>
      <w:r w:rsidRPr="006122EE">
        <w:t>Renewable energy Working Group</w:t>
      </w:r>
      <w:bookmarkEnd w:id="615"/>
    </w:p>
    <w:tbl>
      <w:tblPr>
        <w:tblW w:w="5000" w:type="pct"/>
        <w:tblCellMar>
          <w:left w:w="70" w:type="dxa"/>
          <w:right w:w="70" w:type="dxa"/>
        </w:tblCellMar>
        <w:tblLook w:val="04A0" w:firstRow="1" w:lastRow="0" w:firstColumn="1" w:lastColumn="0" w:noHBand="0" w:noVBand="1"/>
      </w:tblPr>
      <w:tblGrid>
        <w:gridCol w:w="2171"/>
        <w:gridCol w:w="3101"/>
        <w:gridCol w:w="4122"/>
      </w:tblGrid>
      <w:tr w:rsidR="0094681A" w:rsidRPr="006122EE" w14:paraId="57F74A95" w14:textId="77777777" w:rsidTr="00866D96">
        <w:trPr>
          <w:trHeight w:val="264"/>
        </w:trPr>
        <w:tc>
          <w:tcPr>
            <w:tcW w:w="1156" w:type="pct"/>
            <w:tcBorders>
              <w:top w:val="single" w:sz="4" w:space="0" w:color="auto"/>
              <w:left w:val="single" w:sz="4" w:space="0" w:color="auto"/>
              <w:bottom w:val="single" w:sz="4" w:space="0" w:color="auto"/>
              <w:right w:val="single" w:sz="4" w:space="0" w:color="auto"/>
            </w:tcBorders>
            <w:shd w:val="clear" w:color="000000" w:fill="00A1DE"/>
            <w:noWrap/>
            <w:vAlign w:val="center"/>
            <w:hideMark/>
          </w:tcPr>
          <w:p w14:paraId="00033F1A" w14:textId="77777777" w:rsidR="0094681A" w:rsidRPr="006122EE" w:rsidRDefault="0094681A"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1651" w:type="pct"/>
            <w:tcBorders>
              <w:top w:val="single" w:sz="4" w:space="0" w:color="auto"/>
              <w:left w:val="nil"/>
              <w:bottom w:val="single" w:sz="4" w:space="0" w:color="auto"/>
              <w:right w:val="nil"/>
            </w:tcBorders>
            <w:shd w:val="clear" w:color="000000" w:fill="00A1DE"/>
          </w:tcPr>
          <w:p w14:paraId="179873FB" w14:textId="77777777" w:rsidR="0094681A" w:rsidRPr="006122EE" w:rsidRDefault="0094681A" w:rsidP="00DB1210">
            <w:pPr>
              <w:spacing w:before="0" w:after="0" w:line="240" w:lineRule="auto"/>
              <w:jc w:val="left"/>
              <w:rPr>
                <w:rFonts w:eastAsia="Times New Roman" w:cs="Arial"/>
                <w:b/>
                <w:bCs/>
                <w:color w:val="FFFFFF"/>
                <w:sz w:val="18"/>
                <w:szCs w:val="18"/>
                <w:lang w:eastAsia="fr-FR"/>
              </w:rPr>
            </w:pPr>
          </w:p>
        </w:tc>
        <w:tc>
          <w:tcPr>
            <w:tcW w:w="2194" w:type="pct"/>
            <w:tcBorders>
              <w:top w:val="single" w:sz="4" w:space="0" w:color="auto"/>
              <w:left w:val="nil"/>
              <w:bottom w:val="single" w:sz="4" w:space="0" w:color="auto"/>
              <w:right w:val="single" w:sz="4" w:space="0" w:color="auto"/>
            </w:tcBorders>
            <w:shd w:val="clear" w:color="000000" w:fill="00A1DE"/>
            <w:noWrap/>
            <w:vAlign w:val="center"/>
            <w:hideMark/>
          </w:tcPr>
          <w:p w14:paraId="4EA62C1E" w14:textId="77777777" w:rsidR="0094681A" w:rsidRPr="006122EE" w:rsidRDefault="0094681A"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ORGANISATION </w:t>
            </w:r>
          </w:p>
        </w:tc>
      </w:tr>
      <w:tr w:rsidR="0094681A" w:rsidRPr="006122EE" w14:paraId="5EB06166"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44F529D1"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 xml:space="preserve">Wifreed Kasakula (Chair) </w:t>
            </w:r>
          </w:p>
        </w:tc>
        <w:tc>
          <w:tcPr>
            <w:tcW w:w="1651" w:type="pct"/>
            <w:tcBorders>
              <w:top w:val="nil"/>
              <w:left w:val="nil"/>
              <w:bottom w:val="single" w:sz="4" w:space="0" w:color="auto"/>
              <w:right w:val="nil"/>
            </w:tcBorders>
          </w:tcPr>
          <w:p w14:paraId="0C522227"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45F4E2DF"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Malawi Energy Regulatory Authority (MERA)</w:t>
            </w:r>
          </w:p>
        </w:tc>
      </w:tr>
      <w:tr w:rsidR="0094681A" w:rsidRPr="006122EE" w14:paraId="7E180F37"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2F955E79"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Austin Theu (Rapporteur)</w:t>
            </w:r>
          </w:p>
        </w:tc>
        <w:tc>
          <w:tcPr>
            <w:tcW w:w="1651" w:type="pct"/>
            <w:tcBorders>
              <w:top w:val="nil"/>
              <w:left w:val="nil"/>
              <w:bottom w:val="single" w:sz="4" w:space="0" w:color="auto"/>
              <w:right w:val="nil"/>
            </w:tcBorders>
          </w:tcPr>
          <w:p w14:paraId="10560853"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4F8A0CC0"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 xml:space="preserve">Department of Energy </w:t>
            </w:r>
          </w:p>
        </w:tc>
      </w:tr>
      <w:tr w:rsidR="0094681A" w:rsidRPr="006122EE" w14:paraId="6721C085"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7C0CBFA4"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Chisambazi Nyirenda</w:t>
            </w:r>
          </w:p>
        </w:tc>
        <w:tc>
          <w:tcPr>
            <w:tcW w:w="1651" w:type="pct"/>
            <w:tcBorders>
              <w:top w:val="nil"/>
              <w:left w:val="nil"/>
              <w:bottom w:val="single" w:sz="4" w:space="0" w:color="auto"/>
              <w:right w:val="nil"/>
            </w:tcBorders>
          </w:tcPr>
          <w:p w14:paraId="1020F0CA"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5AC232BF"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RECAPO</w:t>
            </w:r>
          </w:p>
        </w:tc>
      </w:tr>
      <w:tr w:rsidR="0094681A" w:rsidRPr="006122EE" w14:paraId="6F5FD866"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14E3A72E"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Chifundo Tenthani</w:t>
            </w:r>
          </w:p>
        </w:tc>
        <w:tc>
          <w:tcPr>
            <w:tcW w:w="1651" w:type="pct"/>
            <w:tcBorders>
              <w:top w:val="nil"/>
              <w:left w:val="nil"/>
              <w:bottom w:val="single" w:sz="4" w:space="0" w:color="auto"/>
              <w:right w:val="nil"/>
            </w:tcBorders>
          </w:tcPr>
          <w:p w14:paraId="7C9142A9"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6BB73B03"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Polytechnic</w:t>
            </w:r>
          </w:p>
        </w:tc>
      </w:tr>
      <w:tr w:rsidR="0094681A" w:rsidRPr="006122EE" w14:paraId="1F2BE852"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4AFDBA10"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Francis Kambala</w:t>
            </w:r>
          </w:p>
        </w:tc>
        <w:tc>
          <w:tcPr>
            <w:tcW w:w="1651" w:type="pct"/>
            <w:tcBorders>
              <w:top w:val="nil"/>
              <w:left w:val="nil"/>
              <w:bottom w:val="single" w:sz="4" w:space="0" w:color="auto"/>
              <w:right w:val="nil"/>
            </w:tcBorders>
          </w:tcPr>
          <w:p w14:paraId="02D7DF25"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2E982E10"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Sonlite Electricals</w:t>
            </w:r>
          </w:p>
        </w:tc>
      </w:tr>
      <w:tr w:rsidR="0094681A" w:rsidRPr="006122EE" w14:paraId="4C223B59"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727C475C"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Steven Chirambo</w:t>
            </w:r>
          </w:p>
        </w:tc>
        <w:tc>
          <w:tcPr>
            <w:tcW w:w="1651" w:type="pct"/>
            <w:tcBorders>
              <w:top w:val="nil"/>
              <w:left w:val="nil"/>
              <w:bottom w:val="single" w:sz="4" w:space="0" w:color="auto"/>
              <w:right w:val="nil"/>
            </w:tcBorders>
          </w:tcPr>
          <w:p w14:paraId="24CA8FC1"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09F9B85B"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Sunpower Technologies</w:t>
            </w:r>
          </w:p>
        </w:tc>
      </w:tr>
      <w:tr w:rsidR="0094681A" w:rsidRPr="006122EE" w14:paraId="640547A4"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584B9953"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Atamandike Chingwanda</w:t>
            </w:r>
          </w:p>
        </w:tc>
        <w:tc>
          <w:tcPr>
            <w:tcW w:w="1651" w:type="pct"/>
            <w:tcBorders>
              <w:top w:val="nil"/>
              <w:left w:val="nil"/>
              <w:bottom w:val="single" w:sz="4" w:space="0" w:color="auto"/>
              <w:right w:val="nil"/>
            </w:tcBorders>
          </w:tcPr>
          <w:p w14:paraId="6745F6BE"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0217BEF4"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REIAMA</w:t>
            </w:r>
          </w:p>
        </w:tc>
      </w:tr>
      <w:tr w:rsidR="0094681A" w:rsidRPr="006122EE" w14:paraId="6FED1C98"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399A56D7"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Godfrey Sihanda</w:t>
            </w:r>
          </w:p>
        </w:tc>
        <w:tc>
          <w:tcPr>
            <w:tcW w:w="1651" w:type="pct"/>
            <w:tcBorders>
              <w:top w:val="nil"/>
              <w:left w:val="nil"/>
              <w:bottom w:val="single" w:sz="4" w:space="0" w:color="auto"/>
              <w:right w:val="nil"/>
            </w:tcBorders>
          </w:tcPr>
          <w:p w14:paraId="71025509"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01853FCC"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Practical Action</w:t>
            </w:r>
          </w:p>
        </w:tc>
      </w:tr>
      <w:tr w:rsidR="0094681A" w:rsidRPr="006122EE" w14:paraId="0BDEC328"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766EE8DB"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Gift Sageme</w:t>
            </w:r>
          </w:p>
        </w:tc>
        <w:tc>
          <w:tcPr>
            <w:tcW w:w="1651" w:type="pct"/>
            <w:tcBorders>
              <w:top w:val="nil"/>
              <w:left w:val="nil"/>
              <w:bottom w:val="single" w:sz="4" w:space="0" w:color="auto"/>
              <w:right w:val="nil"/>
            </w:tcBorders>
          </w:tcPr>
          <w:p w14:paraId="17E805AF"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3B2EC23F"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Central Region Water Board</w:t>
            </w:r>
          </w:p>
        </w:tc>
      </w:tr>
      <w:tr w:rsidR="0094681A" w:rsidRPr="006122EE" w14:paraId="4B6815E0"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7BF187F4"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Justin Rakasi</w:t>
            </w:r>
          </w:p>
        </w:tc>
        <w:tc>
          <w:tcPr>
            <w:tcW w:w="1651" w:type="pct"/>
            <w:tcBorders>
              <w:top w:val="nil"/>
              <w:left w:val="nil"/>
              <w:bottom w:val="single" w:sz="4" w:space="0" w:color="auto"/>
              <w:right w:val="nil"/>
            </w:tcBorders>
          </w:tcPr>
          <w:p w14:paraId="7BF9A535"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3343CEFA"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REIAMA</w:t>
            </w:r>
          </w:p>
        </w:tc>
      </w:tr>
      <w:tr w:rsidR="0094681A" w:rsidRPr="006122EE" w14:paraId="4CD04AE3" w14:textId="77777777" w:rsidTr="00866D96">
        <w:trPr>
          <w:trHeight w:val="264"/>
        </w:trPr>
        <w:tc>
          <w:tcPr>
            <w:tcW w:w="1156" w:type="pct"/>
            <w:tcBorders>
              <w:top w:val="nil"/>
              <w:left w:val="single" w:sz="4" w:space="0" w:color="auto"/>
              <w:bottom w:val="single" w:sz="4" w:space="0" w:color="auto"/>
              <w:right w:val="single" w:sz="4" w:space="0" w:color="auto"/>
            </w:tcBorders>
            <w:shd w:val="clear" w:color="auto" w:fill="auto"/>
            <w:noWrap/>
            <w:hideMark/>
          </w:tcPr>
          <w:p w14:paraId="731C1008"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Hope Chamdimba</w:t>
            </w:r>
          </w:p>
        </w:tc>
        <w:tc>
          <w:tcPr>
            <w:tcW w:w="1651" w:type="pct"/>
            <w:tcBorders>
              <w:top w:val="nil"/>
              <w:left w:val="nil"/>
              <w:bottom w:val="single" w:sz="4" w:space="0" w:color="auto"/>
              <w:right w:val="nil"/>
            </w:tcBorders>
          </w:tcPr>
          <w:p w14:paraId="16A0050F" w14:textId="77777777" w:rsidR="0094681A" w:rsidRPr="006122EE" w:rsidRDefault="0094681A" w:rsidP="00252FE5">
            <w:pPr>
              <w:spacing w:before="0" w:after="0" w:line="240" w:lineRule="auto"/>
              <w:jc w:val="left"/>
              <w:rPr>
                <w:sz w:val="18"/>
                <w:szCs w:val="18"/>
              </w:rPr>
            </w:pPr>
          </w:p>
        </w:tc>
        <w:tc>
          <w:tcPr>
            <w:tcW w:w="2194" w:type="pct"/>
            <w:tcBorders>
              <w:top w:val="nil"/>
              <w:left w:val="nil"/>
              <w:bottom w:val="single" w:sz="4" w:space="0" w:color="auto"/>
              <w:right w:val="single" w:sz="4" w:space="0" w:color="auto"/>
            </w:tcBorders>
            <w:shd w:val="clear" w:color="auto" w:fill="auto"/>
            <w:noWrap/>
            <w:hideMark/>
          </w:tcPr>
          <w:p w14:paraId="13EED78F" w14:textId="77777777" w:rsidR="0094681A" w:rsidRPr="006122EE" w:rsidRDefault="0094681A" w:rsidP="00252FE5">
            <w:pPr>
              <w:spacing w:before="0" w:after="0" w:line="240" w:lineRule="auto"/>
              <w:jc w:val="left"/>
              <w:rPr>
                <w:rFonts w:eastAsia="Times New Roman" w:cs="Arial"/>
                <w:color w:val="000000"/>
                <w:sz w:val="18"/>
                <w:szCs w:val="18"/>
                <w:lang w:eastAsia="fr-FR"/>
              </w:rPr>
            </w:pPr>
            <w:r w:rsidRPr="006122EE">
              <w:rPr>
                <w:sz w:val="18"/>
                <w:szCs w:val="18"/>
              </w:rPr>
              <w:t>National Commission for Science and Technology</w:t>
            </w:r>
          </w:p>
        </w:tc>
      </w:tr>
    </w:tbl>
    <w:p w14:paraId="6DD5BA4F" w14:textId="77777777" w:rsidR="00DB1210" w:rsidRPr="006122EE" w:rsidRDefault="00DB1210" w:rsidP="00866D96">
      <w:pPr>
        <w:pStyle w:val="Style1"/>
      </w:pPr>
      <w:bookmarkStart w:id="616" w:name="_Toc447217115"/>
      <w:r w:rsidRPr="006122EE">
        <w:t>Energy Access Working Group</w:t>
      </w:r>
      <w:bookmarkEnd w:id="616"/>
    </w:p>
    <w:tbl>
      <w:tblPr>
        <w:tblW w:w="3988" w:type="pct"/>
        <w:tblCellMar>
          <w:left w:w="70" w:type="dxa"/>
          <w:right w:w="70" w:type="dxa"/>
        </w:tblCellMar>
        <w:tblLook w:val="04A0" w:firstRow="1" w:lastRow="0" w:firstColumn="1" w:lastColumn="0" w:noHBand="0" w:noVBand="1"/>
      </w:tblPr>
      <w:tblGrid>
        <w:gridCol w:w="2966"/>
        <w:gridCol w:w="4527"/>
      </w:tblGrid>
      <w:tr w:rsidR="00681C6F" w:rsidRPr="006122EE" w14:paraId="1A0D9CA5" w14:textId="77777777" w:rsidTr="00681C6F">
        <w:trPr>
          <w:trHeight w:val="264"/>
        </w:trPr>
        <w:tc>
          <w:tcPr>
            <w:tcW w:w="1979" w:type="pct"/>
            <w:tcBorders>
              <w:top w:val="single" w:sz="4" w:space="0" w:color="auto"/>
              <w:left w:val="single" w:sz="4" w:space="0" w:color="auto"/>
              <w:bottom w:val="single" w:sz="4" w:space="0" w:color="auto"/>
              <w:right w:val="single" w:sz="4" w:space="0" w:color="auto"/>
            </w:tcBorders>
            <w:shd w:val="clear" w:color="000000" w:fill="00A1DE"/>
            <w:noWrap/>
            <w:vAlign w:val="center"/>
            <w:hideMark/>
          </w:tcPr>
          <w:p w14:paraId="3B594C5B" w14:textId="77777777" w:rsidR="00681C6F" w:rsidRPr="006122EE" w:rsidRDefault="00681C6F"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3021" w:type="pct"/>
            <w:tcBorders>
              <w:top w:val="single" w:sz="4" w:space="0" w:color="auto"/>
              <w:left w:val="nil"/>
              <w:bottom w:val="single" w:sz="4" w:space="0" w:color="auto"/>
              <w:right w:val="single" w:sz="4" w:space="0" w:color="auto"/>
            </w:tcBorders>
            <w:shd w:val="clear" w:color="000000" w:fill="00A1DE"/>
            <w:noWrap/>
            <w:vAlign w:val="center"/>
            <w:hideMark/>
          </w:tcPr>
          <w:p w14:paraId="6BD30903" w14:textId="77777777" w:rsidR="00681C6F" w:rsidRPr="006122EE" w:rsidRDefault="00681C6F"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ORGANISATION </w:t>
            </w:r>
          </w:p>
        </w:tc>
      </w:tr>
      <w:tr w:rsidR="00681C6F" w:rsidRPr="006122EE" w14:paraId="15CAA607"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173F36CB"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Khumbolawo Lungu (Chair)</w:t>
            </w:r>
          </w:p>
        </w:tc>
        <w:tc>
          <w:tcPr>
            <w:tcW w:w="3021" w:type="pct"/>
            <w:tcBorders>
              <w:top w:val="nil"/>
              <w:left w:val="nil"/>
              <w:bottom w:val="single" w:sz="4" w:space="0" w:color="auto"/>
              <w:right w:val="single" w:sz="4" w:space="0" w:color="auto"/>
            </w:tcBorders>
            <w:shd w:val="clear" w:color="auto" w:fill="auto"/>
            <w:noWrap/>
            <w:hideMark/>
          </w:tcPr>
          <w:p w14:paraId="6F25BCD8"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Department of Energy</w:t>
            </w:r>
          </w:p>
        </w:tc>
      </w:tr>
      <w:tr w:rsidR="00681C6F" w:rsidRPr="006122EE" w14:paraId="7607EE47"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1A502241"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Emmanuel Mjimapemba</w:t>
            </w:r>
          </w:p>
        </w:tc>
        <w:tc>
          <w:tcPr>
            <w:tcW w:w="3021" w:type="pct"/>
            <w:tcBorders>
              <w:top w:val="nil"/>
              <w:left w:val="nil"/>
              <w:bottom w:val="single" w:sz="4" w:space="0" w:color="auto"/>
              <w:right w:val="single" w:sz="4" w:space="0" w:color="auto"/>
            </w:tcBorders>
            <w:shd w:val="clear" w:color="auto" w:fill="auto"/>
            <w:noWrap/>
            <w:hideMark/>
          </w:tcPr>
          <w:p w14:paraId="0F3EC493"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UNDP</w:t>
            </w:r>
          </w:p>
        </w:tc>
      </w:tr>
      <w:tr w:rsidR="00681C6F" w:rsidRPr="006122EE" w14:paraId="2C0AEC1E"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294D0072"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Edgar Bayani</w:t>
            </w:r>
          </w:p>
        </w:tc>
        <w:tc>
          <w:tcPr>
            <w:tcW w:w="3021" w:type="pct"/>
            <w:tcBorders>
              <w:top w:val="nil"/>
              <w:left w:val="nil"/>
              <w:bottom w:val="single" w:sz="4" w:space="0" w:color="auto"/>
              <w:right w:val="single" w:sz="4" w:space="0" w:color="auto"/>
            </w:tcBorders>
            <w:shd w:val="clear" w:color="auto" w:fill="auto"/>
            <w:noWrap/>
            <w:hideMark/>
          </w:tcPr>
          <w:p w14:paraId="0A16E990"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Community Energy Malawi</w:t>
            </w:r>
          </w:p>
        </w:tc>
      </w:tr>
      <w:tr w:rsidR="00681C6F" w:rsidRPr="006122EE" w14:paraId="4030D9B9"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3A10F438"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Martina Kunert (rapporteur)</w:t>
            </w:r>
          </w:p>
        </w:tc>
        <w:tc>
          <w:tcPr>
            <w:tcW w:w="3021" w:type="pct"/>
            <w:tcBorders>
              <w:top w:val="nil"/>
              <w:left w:val="nil"/>
              <w:bottom w:val="single" w:sz="4" w:space="0" w:color="auto"/>
              <w:right w:val="single" w:sz="4" w:space="0" w:color="auto"/>
            </w:tcBorders>
            <w:shd w:val="clear" w:color="auto" w:fill="auto"/>
            <w:noWrap/>
            <w:hideMark/>
          </w:tcPr>
          <w:p w14:paraId="3775E076"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RENAMA</w:t>
            </w:r>
          </w:p>
        </w:tc>
      </w:tr>
      <w:tr w:rsidR="00681C6F" w:rsidRPr="006122EE" w14:paraId="027F8696"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2D1D534B"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Thokozani Malunga</w:t>
            </w:r>
          </w:p>
        </w:tc>
        <w:tc>
          <w:tcPr>
            <w:tcW w:w="3021" w:type="pct"/>
            <w:tcBorders>
              <w:top w:val="nil"/>
              <w:left w:val="nil"/>
              <w:bottom w:val="single" w:sz="4" w:space="0" w:color="auto"/>
              <w:right w:val="single" w:sz="4" w:space="0" w:color="auto"/>
            </w:tcBorders>
            <w:shd w:val="clear" w:color="auto" w:fill="auto"/>
            <w:noWrap/>
            <w:hideMark/>
          </w:tcPr>
          <w:p w14:paraId="591129DA"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Department of Energy Affairs</w:t>
            </w:r>
          </w:p>
        </w:tc>
      </w:tr>
      <w:tr w:rsidR="00681C6F" w:rsidRPr="006122EE" w14:paraId="277FCA1C"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715ADBAA"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Cornwell Chisale</w:t>
            </w:r>
          </w:p>
        </w:tc>
        <w:tc>
          <w:tcPr>
            <w:tcW w:w="3021" w:type="pct"/>
            <w:tcBorders>
              <w:top w:val="nil"/>
              <w:left w:val="nil"/>
              <w:bottom w:val="single" w:sz="4" w:space="0" w:color="auto"/>
              <w:right w:val="single" w:sz="4" w:space="0" w:color="auto"/>
            </w:tcBorders>
            <w:shd w:val="clear" w:color="auto" w:fill="auto"/>
            <w:noWrap/>
            <w:hideMark/>
          </w:tcPr>
          <w:p w14:paraId="45AA0B49"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Department of Energy Affairs</w:t>
            </w:r>
          </w:p>
        </w:tc>
      </w:tr>
      <w:tr w:rsidR="00681C6F" w:rsidRPr="006122EE" w14:paraId="58CB2C80"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6C795ECC"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Godfrey Moto</w:t>
            </w:r>
          </w:p>
        </w:tc>
        <w:tc>
          <w:tcPr>
            <w:tcW w:w="3021" w:type="pct"/>
            <w:tcBorders>
              <w:top w:val="nil"/>
              <w:left w:val="nil"/>
              <w:bottom w:val="single" w:sz="4" w:space="0" w:color="auto"/>
              <w:right w:val="single" w:sz="4" w:space="0" w:color="auto"/>
            </w:tcBorders>
            <w:shd w:val="clear" w:color="auto" w:fill="auto"/>
            <w:noWrap/>
            <w:hideMark/>
          </w:tcPr>
          <w:p w14:paraId="0736B505"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Imani Development</w:t>
            </w:r>
          </w:p>
        </w:tc>
      </w:tr>
      <w:tr w:rsidR="00681C6F" w:rsidRPr="006122EE" w14:paraId="19D043FB" w14:textId="77777777" w:rsidTr="00603DE0">
        <w:trPr>
          <w:trHeight w:val="264"/>
        </w:trPr>
        <w:tc>
          <w:tcPr>
            <w:tcW w:w="1979" w:type="pct"/>
            <w:tcBorders>
              <w:top w:val="nil"/>
              <w:left w:val="single" w:sz="4" w:space="0" w:color="auto"/>
              <w:bottom w:val="single" w:sz="4" w:space="0" w:color="auto"/>
              <w:right w:val="single" w:sz="4" w:space="0" w:color="auto"/>
            </w:tcBorders>
            <w:shd w:val="clear" w:color="auto" w:fill="auto"/>
            <w:noWrap/>
            <w:hideMark/>
          </w:tcPr>
          <w:p w14:paraId="0577005F"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Gift D.Kasamira</w:t>
            </w:r>
          </w:p>
        </w:tc>
        <w:tc>
          <w:tcPr>
            <w:tcW w:w="3021" w:type="pct"/>
            <w:tcBorders>
              <w:top w:val="nil"/>
              <w:left w:val="nil"/>
              <w:bottom w:val="single" w:sz="4" w:space="0" w:color="auto"/>
              <w:right w:val="single" w:sz="4" w:space="0" w:color="auto"/>
            </w:tcBorders>
            <w:shd w:val="clear" w:color="auto" w:fill="auto"/>
            <w:noWrap/>
            <w:hideMark/>
          </w:tcPr>
          <w:p w14:paraId="4155F622"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Lilongwe City Council</w:t>
            </w:r>
          </w:p>
        </w:tc>
      </w:tr>
    </w:tbl>
    <w:p w14:paraId="65CCAE8D" w14:textId="77777777" w:rsidR="00DB1210" w:rsidRPr="006122EE" w:rsidRDefault="00DB1210" w:rsidP="00866D96">
      <w:pPr>
        <w:pStyle w:val="Style1"/>
      </w:pPr>
      <w:bookmarkStart w:id="617" w:name="_Toc447217116"/>
      <w:r w:rsidRPr="006122EE">
        <w:t>Energy efficiency Working Group</w:t>
      </w:r>
      <w:bookmarkEnd w:id="617"/>
    </w:p>
    <w:tbl>
      <w:tblPr>
        <w:tblW w:w="3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6"/>
        <w:gridCol w:w="4473"/>
      </w:tblGrid>
      <w:tr w:rsidR="00681C6F" w:rsidRPr="006122EE" w14:paraId="01E05CA2" w14:textId="77777777" w:rsidTr="00681C6F">
        <w:trPr>
          <w:trHeight w:val="264"/>
        </w:trPr>
        <w:tc>
          <w:tcPr>
            <w:tcW w:w="1973" w:type="pct"/>
            <w:shd w:val="clear" w:color="000000" w:fill="00A1DE"/>
            <w:noWrap/>
            <w:vAlign w:val="center"/>
            <w:hideMark/>
          </w:tcPr>
          <w:p w14:paraId="7851442A" w14:textId="77777777" w:rsidR="00681C6F" w:rsidRPr="006122EE" w:rsidRDefault="00681C6F"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3027" w:type="pct"/>
            <w:shd w:val="clear" w:color="000000" w:fill="00A1DE"/>
            <w:noWrap/>
            <w:vAlign w:val="center"/>
            <w:hideMark/>
          </w:tcPr>
          <w:p w14:paraId="60B10381" w14:textId="77777777" w:rsidR="00681C6F" w:rsidRPr="006122EE" w:rsidRDefault="00681C6F" w:rsidP="00DB1210">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ORGANISATION </w:t>
            </w:r>
          </w:p>
        </w:tc>
      </w:tr>
      <w:tr w:rsidR="00681C6F" w:rsidRPr="006122EE" w14:paraId="6A972D2A" w14:textId="77777777" w:rsidTr="00603DE0">
        <w:trPr>
          <w:trHeight w:val="264"/>
        </w:trPr>
        <w:tc>
          <w:tcPr>
            <w:tcW w:w="1973" w:type="pct"/>
            <w:shd w:val="clear" w:color="auto" w:fill="auto"/>
            <w:noWrap/>
            <w:hideMark/>
          </w:tcPr>
          <w:p w14:paraId="174E747E"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Dr Collen Zalengera (chair)</w:t>
            </w:r>
          </w:p>
        </w:tc>
        <w:tc>
          <w:tcPr>
            <w:tcW w:w="3027" w:type="pct"/>
            <w:shd w:val="clear" w:color="auto" w:fill="auto"/>
            <w:noWrap/>
            <w:hideMark/>
          </w:tcPr>
          <w:p w14:paraId="37D7BDBF"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University of Mzuzu - Department of Energy Studies</w:t>
            </w:r>
          </w:p>
        </w:tc>
      </w:tr>
      <w:tr w:rsidR="00681C6F" w:rsidRPr="006122EE" w14:paraId="4D31F456" w14:textId="77777777" w:rsidTr="00603DE0">
        <w:trPr>
          <w:trHeight w:val="264"/>
        </w:trPr>
        <w:tc>
          <w:tcPr>
            <w:tcW w:w="1973" w:type="pct"/>
            <w:shd w:val="clear" w:color="auto" w:fill="auto"/>
            <w:noWrap/>
            <w:hideMark/>
          </w:tcPr>
          <w:p w14:paraId="44AC89DC"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Sophie Makoloma</w:t>
            </w:r>
          </w:p>
        </w:tc>
        <w:tc>
          <w:tcPr>
            <w:tcW w:w="3027" w:type="pct"/>
            <w:shd w:val="clear" w:color="auto" w:fill="auto"/>
            <w:noWrap/>
            <w:hideMark/>
          </w:tcPr>
          <w:p w14:paraId="2A31A274"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Christian Aid</w:t>
            </w:r>
          </w:p>
        </w:tc>
      </w:tr>
      <w:tr w:rsidR="00681C6F" w:rsidRPr="006122EE" w14:paraId="125C1677" w14:textId="77777777" w:rsidTr="00603DE0">
        <w:trPr>
          <w:trHeight w:val="264"/>
        </w:trPr>
        <w:tc>
          <w:tcPr>
            <w:tcW w:w="1973" w:type="pct"/>
            <w:shd w:val="clear" w:color="auto" w:fill="auto"/>
            <w:noWrap/>
            <w:hideMark/>
          </w:tcPr>
          <w:p w14:paraId="107769ED"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Blessings Mwale</w:t>
            </w:r>
          </w:p>
        </w:tc>
        <w:tc>
          <w:tcPr>
            <w:tcW w:w="3027" w:type="pct"/>
            <w:shd w:val="clear" w:color="auto" w:fill="auto"/>
            <w:noWrap/>
            <w:hideMark/>
          </w:tcPr>
          <w:p w14:paraId="5027650A"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Kulera Biodiversity Project - Total Land Care</w:t>
            </w:r>
          </w:p>
        </w:tc>
      </w:tr>
      <w:tr w:rsidR="00681C6F" w:rsidRPr="006122EE" w14:paraId="7795187A" w14:textId="77777777" w:rsidTr="00603DE0">
        <w:trPr>
          <w:trHeight w:val="264"/>
        </w:trPr>
        <w:tc>
          <w:tcPr>
            <w:tcW w:w="1973" w:type="pct"/>
            <w:shd w:val="clear" w:color="auto" w:fill="auto"/>
            <w:noWrap/>
            <w:hideMark/>
          </w:tcPr>
          <w:p w14:paraId="71D680EF"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Yamungu Botha</w:t>
            </w:r>
          </w:p>
        </w:tc>
        <w:tc>
          <w:tcPr>
            <w:tcW w:w="3027" w:type="pct"/>
            <w:shd w:val="clear" w:color="auto" w:fill="auto"/>
            <w:noWrap/>
            <w:hideMark/>
          </w:tcPr>
          <w:p w14:paraId="4D1D4962"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Concern Universal</w:t>
            </w:r>
          </w:p>
        </w:tc>
      </w:tr>
      <w:tr w:rsidR="00681C6F" w:rsidRPr="006122EE" w14:paraId="0C73C6FB" w14:textId="77777777" w:rsidTr="00603DE0">
        <w:trPr>
          <w:trHeight w:val="264"/>
        </w:trPr>
        <w:tc>
          <w:tcPr>
            <w:tcW w:w="1973" w:type="pct"/>
            <w:shd w:val="clear" w:color="auto" w:fill="auto"/>
            <w:noWrap/>
            <w:hideMark/>
          </w:tcPr>
          <w:p w14:paraId="2DD90565"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Lusungu Kumwenda</w:t>
            </w:r>
          </w:p>
        </w:tc>
        <w:tc>
          <w:tcPr>
            <w:tcW w:w="3027" w:type="pct"/>
            <w:shd w:val="clear" w:color="auto" w:fill="auto"/>
            <w:noWrap/>
            <w:hideMark/>
          </w:tcPr>
          <w:p w14:paraId="79B0BDF1"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MEGA Ltd.</w:t>
            </w:r>
          </w:p>
        </w:tc>
      </w:tr>
      <w:tr w:rsidR="00681C6F" w:rsidRPr="006122EE" w14:paraId="4B3BA9C2" w14:textId="77777777" w:rsidTr="00603DE0">
        <w:trPr>
          <w:trHeight w:val="264"/>
        </w:trPr>
        <w:tc>
          <w:tcPr>
            <w:tcW w:w="1973" w:type="pct"/>
            <w:shd w:val="clear" w:color="auto" w:fill="auto"/>
            <w:noWrap/>
            <w:hideMark/>
          </w:tcPr>
          <w:p w14:paraId="50A54B8C"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Temwani Mkandawire</w:t>
            </w:r>
          </w:p>
        </w:tc>
        <w:tc>
          <w:tcPr>
            <w:tcW w:w="3027" w:type="pct"/>
            <w:shd w:val="clear" w:color="auto" w:fill="auto"/>
            <w:noWrap/>
            <w:hideMark/>
          </w:tcPr>
          <w:p w14:paraId="705014D2"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UNIMA</w:t>
            </w:r>
          </w:p>
        </w:tc>
      </w:tr>
      <w:tr w:rsidR="00681C6F" w:rsidRPr="006122EE" w14:paraId="73347142" w14:textId="77777777" w:rsidTr="00603DE0">
        <w:trPr>
          <w:trHeight w:val="264"/>
        </w:trPr>
        <w:tc>
          <w:tcPr>
            <w:tcW w:w="1973" w:type="pct"/>
            <w:shd w:val="clear" w:color="auto" w:fill="auto"/>
            <w:noWrap/>
            <w:hideMark/>
          </w:tcPr>
          <w:p w14:paraId="4AEC5FDA"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Gift Chiwayula</w:t>
            </w:r>
          </w:p>
        </w:tc>
        <w:tc>
          <w:tcPr>
            <w:tcW w:w="3027" w:type="pct"/>
            <w:shd w:val="clear" w:color="auto" w:fill="auto"/>
            <w:noWrap/>
            <w:hideMark/>
          </w:tcPr>
          <w:p w14:paraId="69260902"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Department of Energy Affairs</w:t>
            </w:r>
          </w:p>
        </w:tc>
      </w:tr>
      <w:tr w:rsidR="00681C6F" w:rsidRPr="006122EE" w14:paraId="796D2C95" w14:textId="77777777" w:rsidTr="00603DE0">
        <w:trPr>
          <w:trHeight w:val="264"/>
        </w:trPr>
        <w:tc>
          <w:tcPr>
            <w:tcW w:w="1973" w:type="pct"/>
            <w:shd w:val="clear" w:color="auto" w:fill="auto"/>
            <w:noWrap/>
            <w:hideMark/>
          </w:tcPr>
          <w:p w14:paraId="3DE9E185"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Samuel Perenje</w:t>
            </w:r>
          </w:p>
        </w:tc>
        <w:tc>
          <w:tcPr>
            <w:tcW w:w="3027" w:type="pct"/>
            <w:shd w:val="clear" w:color="auto" w:fill="auto"/>
            <w:noWrap/>
            <w:hideMark/>
          </w:tcPr>
          <w:p w14:paraId="507D7E90"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Press Corporation</w:t>
            </w:r>
          </w:p>
        </w:tc>
      </w:tr>
      <w:tr w:rsidR="00681C6F" w:rsidRPr="006122EE" w14:paraId="0919F3D5" w14:textId="77777777" w:rsidTr="00603DE0">
        <w:trPr>
          <w:trHeight w:val="264"/>
        </w:trPr>
        <w:tc>
          <w:tcPr>
            <w:tcW w:w="1973" w:type="pct"/>
            <w:shd w:val="clear" w:color="auto" w:fill="auto"/>
            <w:noWrap/>
            <w:hideMark/>
          </w:tcPr>
          <w:p w14:paraId="6C543AE6"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Griffin Salima</w:t>
            </w:r>
          </w:p>
        </w:tc>
        <w:tc>
          <w:tcPr>
            <w:tcW w:w="3027" w:type="pct"/>
            <w:shd w:val="clear" w:color="auto" w:fill="auto"/>
            <w:noWrap/>
            <w:hideMark/>
          </w:tcPr>
          <w:p w14:paraId="7664839C"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UNIMA</w:t>
            </w:r>
          </w:p>
        </w:tc>
      </w:tr>
      <w:tr w:rsidR="00681C6F" w:rsidRPr="006122EE" w14:paraId="572391EA" w14:textId="77777777" w:rsidTr="00603DE0">
        <w:trPr>
          <w:trHeight w:val="264"/>
        </w:trPr>
        <w:tc>
          <w:tcPr>
            <w:tcW w:w="1973" w:type="pct"/>
            <w:shd w:val="clear" w:color="auto" w:fill="auto"/>
            <w:noWrap/>
          </w:tcPr>
          <w:p w14:paraId="43ABE51B" w14:textId="77777777" w:rsidR="00681C6F" w:rsidRPr="006122EE" w:rsidRDefault="00681C6F" w:rsidP="00681C6F">
            <w:pPr>
              <w:spacing w:before="0" w:after="0" w:line="240" w:lineRule="auto"/>
              <w:jc w:val="left"/>
              <w:rPr>
                <w:sz w:val="18"/>
                <w:szCs w:val="18"/>
              </w:rPr>
            </w:pPr>
            <w:r w:rsidRPr="006122EE">
              <w:rPr>
                <w:sz w:val="18"/>
                <w:szCs w:val="18"/>
              </w:rPr>
              <w:t>Ephraim Banda</w:t>
            </w:r>
          </w:p>
        </w:tc>
        <w:tc>
          <w:tcPr>
            <w:tcW w:w="3027" w:type="pct"/>
            <w:shd w:val="clear" w:color="auto" w:fill="auto"/>
            <w:noWrap/>
          </w:tcPr>
          <w:p w14:paraId="34811586"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LWB</w:t>
            </w:r>
          </w:p>
        </w:tc>
      </w:tr>
      <w:tr w:rsidR="00681C6F" w:rsidRPr="006122EE" w14:paraId="4227F7B0" w14:textId="77777777" w:rsidTr="00603DE0">
        <w:trPr>
          <w:trHeight w:val="264"/>
        </w:trPr>
        <w:tc>
          <w:tcPr>
            <w:tcW w:w="1973" w:type="pct"/>
            <w:shd w:val="clear" w:color="auto" w:fill="auto"/>
            <w:noWrap/>
          </w:tcPr>
          <w:p w14:paraId="0AA1AEDA" w14:textId="77777777" w:rsidR="00681C6F" w:rsidRPr="006122EE" w:rsidRDefault="00681C6F" w:rsidP="00681C6F">
            <w:pPr>
              <w:spacing w:before="0" w:after="0" w:line="240" w:lineRule="auto"/>
              <w:jc w:val="left"/>
              <w:rPr>
                <w:sz w:val="18"/>
                <w:szCs w:val="18"/>
              </w:rPr>
            </w:pPr>
            <w:r w:rsidRPr="006122EE">
              <w:rPr>
                <w:sz w:val="18"/>
                <w:szCs w:val="18"/>
              </w:rPr>
              <w:t>Edaward Chilima</w:t>
            </w:r>
          </w:p>
        </w:tc>
        <w:tc>
          <w:tcPr>
            <w:tcW w:w="3027" w:type="pct"/>
            <w:shd w:val="clear" w:color="auto" w:fill="auto"/>
            <w:noWrap/>
          </w:tcPr>
          <w:p w14:paraId="77BDA9CC"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ECAMA</w:t>
            </w:r>
          </w:p>
        </w:tc>
      </w:tr>
      <w:tr w:rsidR="00681C6F" w:rsidRPr="006122EE" w14:paraId="0199212E" w14:textId="77777777" w:rsidTr="00603DE0">
        <w:trPr>
          <w:trHeight w:val="264"/>
        </w:trPr>
        <w:tc>
          <w:tcPr>
            <w:tcW w:w="1973" w:type="pct"/>
            <w:shd w:val="clear" w:color="auto" w:fill="auto"/>
            <w:noWrap/>
          </w:tcPr>
          <w:p w14:paraId="1255E917" w14:textId="77777777" w:rsidR="00681C6F" w:rsidRPr="006122EE" w:rsidRDefault="00681C6F" w:rsidP="00681C6F">
            <w:pPr>
              <w:spacing w:before="0" w:after="0" w:line="240" w:lineRule="auto"/>
              <w:jc w:val="left"/>
              <w:rPr>
                <w:sz w:val="18"/>
                <w:szCs w:val="18"/>
              </w:rPr>
            </w:pPr>
            <w:r w:rsidRPr="006122EE">
              <w:rPr>
                <w:sz w:val="18"/>
                <w:szCs w:val="18"/>
              </w:rPr>
              <w:t>Weyani Mhango</w:t>
            </w:r>
          </w:p>
        </w:tc>
        <w:tc>
          <w:tcPr>
            <w:tcW w:w="3027" w:type="pct"/>
            <w:shd w:val="clear" w:color="auto" w:fill="auto"/>
            <w:noWrap/>
          </w:tcPr>
          <w:p w14:paraId="04DBDC25" w14:textId="77777777" w:rsidR="00681C6F" w:rsidRPr="006122EE" w:rsidRDefault="00681C6F" w:rsidP="00681C6F">
            <w:pPr>
              <w:spacing w:before="0" w:after="0" w:line="240" w:lineRule="auto"/>
              <w:jc w:val="left"/>
              <w:rPr>
                <w:rFonts w:eastAsia="Times New Roman" w:cs="Arial"/>
                <w:color w:val="000000"/>
                <w:sz w:val="18"/>
                <w:szCs w:val="18"/>
                <w:lang w:eastAsia="fr-FR"/>
              </w:rPr>
            </w:pPr>
            <w:r w:rsidRPr="006122EE">
              <w:rPr>
                <w:sz w:val="18"/>
                <w:szCs w:val="18"/>
              </w:rPr>
              <w:t>Lilongwe City Council</w:t>
            </w:r>
          </w:p>
        </w:tc>
      </w:tr>
    </w:tbl>
    <w:p w14:paraId="6A9A9BDA" w14:textId="77777777" w:rsidR="00DB1210" w:rsidRPr="006122EE" w:rsidRDefault="00DB1210" w:rsidP="00866D96">
      <w:pPr>
        <w:pStyle w:val="Style1"/>
      </w:pPr>
      <w:bookmarkStart w:id="618" w:name="_Toc447217117"/>
      <w:r w:rsidRPr="006122EE">
        <w:t>Transport Working Group</w:t>
      </w:r>
      <w:bookmarkEnd w:id="618"/>
    </w:p>
    <w:tbl>
      <w:tblPr>
        <w:tblW w:w="4278" w:type="pct"/>
        <w:tblCellMar>
          <w:left w:w="70" w:type="dxa"/>
          <w:right w:w="70" w:type="dxa"/>
        </w:tblCellMar>
        <w:tblLook w:val="04A0" w:firstRow="1" w:lastRow="0" w:firstColumn="1" w:lastColumn="0" w:noHBand="0" w:noVBand="1"/>
      </w:tblPr>
      <w:tblGrid>
        <w:gridCol w:w="3030"/>
        <w:gridCol w:w="5008"/>
      </w:tblGrid>
      <w:tr w:rsidR="00681C6F" w:rsidRPr="006122EE" w14:paraId="0D8F53CD" w14:textId="77777777" w:rsidTr="00681C6F">
        <w:trPr>
          <w:trHeight w:val="264"/>
        </w:trPr>
        <w:tc>
          <w:tcPr>
            <w:tcW w:w="1885" w:type="pct"/>
            <w:tcBorders>
              <w:top w:val="single" w:sz="4" w:space="0" w:color="auto"/>
              <w:left w:val="single" w:sz="4" w:space="0" w:color="auto"/>
              <w:bottom w:val="single" w:sz="4" w:space="0" w:color="auto"/>
              <w:right w:val="single" w:sz="4" w:space="0" w:color="auto"/>
            </w:tcBorders>
            <w:shd w:val="clear" w:color="000000" w:fill="00A1DE"/>
            <w:noWrap/>
            <w:vAlign w:val="center"/>
            <w:hideMark/>
          </w:tcPr>
          <w:p w14:paraId="4859F89A" w14:textId="77777777" w:rsidR="00681C6F" w:rsidRPr="006122EE" w:rsidRDefault="00681C6F" w:rsidP="00681C6F">
            <w:pPr>
              <w:keepNext/>
              <w:keepLines/>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3115" w:type="pct"/>
            <w:tcBorders>
              <w:top w:val="single" w:sz="4" w:space="0" w:color="auto"/>
              <w:left w:val="nil"/>
              <w:bottom w:val="single" w:sz="4" w:space="0" w:color="auto"/>
              <w:right w:val="single" w:sz="4" w:space="0" w:color="auto"/>
            </w:tcBorders>
            <w:shd w:val="clear" w:color="000000" w:fill="00A1DE"/>
            <w:noWrap/>
            <w:vAlign w:val="center"/>
            <w:hideMark/>
          </w:tcPr>
          <w:p w14:paraId="3EA2FB4B" w14:textId="77777777" w:rsidR="00681C6F" w:rsidRPr="006122EE" w:rsidRDefault="00681C6F" w:rsidP="00681C6F">
            <w:pPr>
              <w:keepNext/>
              <w:keepLines/>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ORGANISATION </w:t>
            </w:r>
          </w:p>
        </w:tc>
      </w:tr>
      <w:tr w:rsidR="00681C6F" w:rsidRPr="006122EE" w14:paraId="306A1F23"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4E8E93FF"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Dr I Ngoma (Chair)</w:t>
            </w:r>
          </w:p>
        </w:tc>
        <w:tc>
          <w:tcPr>
            <w:tcW w:w="3115" w:type="pct"/>
            <w:tcBorders>
              <w:top w:val="nil"/>
              <w:left w:val="nil"/>
              <w:bottom w:val="single" w:sz="4" w:space="0" w:color="auto"/>
              <w:right w:val="single" w:sz="4" w:space="0" w:color="auto"/>
            </w:tcBorders>
            <w:shd w:val="clear" w:color="auto" w:fill="auto"/>
            <w:noWrap/>
            <w:hideMark/>
          </w:tcPr>
          <w:p w14:paraId="4ED08423"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Polytechnic - University of Malawi</w:t>
            </w:r>
          </w:p>
        </w:tc>
      </w:tr>
      <w:tr w:rsidR="00681C6F" w:rsidRPr="006122EE" w14:paraId="55061CBC"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7239552F"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Kenneth J Gondwe (Rapporteur)</w:t>
            </w:r>
          </w:p>
        </w:tc>
        <w:tc>
          <w:tcPr>
            <w:tcW w:w="3115" w:type="pct"/>
            <w:tcBorders>
              <w:top w:val="nil"/>
              <w:left w:val="nil"/>
              <w:bottom w:val="single" w:sz="4" w:space="0" w:color="auto"/>
              <w:right w:val="single" w:sz="4" w:space="0" w:color="auto"/>
            </w:tcBorders>
            <w:shd w:val="clear" w:color="auto" w:fill="auto"/>
            <w:noWrap/>
            <w:hideMark/>
          </w:tcPr>
          <w:p w14:paraId="1C85D341"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Polytechnic - University of Malawi</w:t>
            </w:r>
          </w:p>
        </w:tc>
      </w:tr>
      <w:tr w:rsidR="00681C6F" w:rsidRPr="006122EE" w14:paraId="7D8E189E"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66893402"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Dominic Chanyenga</w:t>
            </w:r>
          </w:p>
        </w:tc>
        <w:tc>
          <w:tcPr>
            <w:tcW w:w="3115" w:type="pct"/>
            <w:tcBorders>
              <w:top w:val="nil"/>
              <w:left w:val="nil"/>
              <w:bottom w:val="single" w:sz="4" w:space="0" w:color="auto"/>
              <w:right w:val="single" w:sz="4" w:space="0" w:color="auto"/>
            </w:tcBorders>
            <w:shd w:val="clear" w:color="auto" w:fill="auto"/>
            <w:noWrap/>
            <w:hideMark/>
          </w:tcPr>
          <w:p w14:paraId="389D1728"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MITC</w:t>
            </w:r>
          </w:p>
        </w:tc>
      </w:tr>
      <w:tr w:rsidR="00681C6F" w:rsidRPr="006122EE" w14:paraId="13FA7BF1"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4F53635A"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Emmanuel Muleso</w:t>
            </w:r>
          </w:p>
        </w:tc>
        <w:tc>
          <w:tcPr>
            <w:tcW w:w="3115" w:type="pct"/>
            <w:tcBorders>
              <w:top w:val="nil"/>
              <w:left w:val="nil"/>
              <w:bottom w:val="single" w:sz="4" w:space="0" w:color="auto"/>
              <w:right w:val="single" w:sz="4" w:space="0" w:color="auto"/>
            </w:tcBorders>
            <w:shd w:val="clear" w:color="auto" w:fill="auto"/>
            <w:noWrap/>
            <w:hideMark/>
          </w:tcPr>
          <w:p w14:paraId="4D175A92"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MITC</w:t>
            </w:r>
          </w:p>
        </w:tc>
      </w:tr>
      <w:tr w:rsidR="00681C6F" w:rsidRPr="006122EE" w14:paraId="3F7F1CC0"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0B718B6B"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Dr B O Mkandawire</w:t>
            </w:r>
          </w:p>
        </w:tc>
        <w:tc>
          <w:tcPr>
            <w:tcW w:w="3115" w:type="pct"/>
            <w:tcBorders>
              <w:top w:val="nil"/>
              <w:left w:val="nil"/>
              <w:bottom w:val="single" w:sz="4" w:space="0" w:color="auto"/>
              <w:right w:val="single" w:sz="4" w:space="0" w:color="auto"/>
            </w:tcBorders>
            <w:shd w:val="clear" w:color="auto" w:fill="auto"/>
            <w:noWrap/>
            <w:hideMark/>
          </w:tcPr>
          <w:p w14:paraId="1DFE4A8F"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University of Malawi-Polytechnic</w:t>
            </w:r>
          </w:p>
        </w:tc>
      </w:tr>
      <w:tr w:rsidR="00681C6F" w:rsidRPr="006122EE" w14:paraId="17EE5944"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0A7ED290"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Chikaiko Chadzunda</w:t>
            </w:r>
          </w:p>
        </w:tc>
        <w:tc>
          <w:tcPr>
            <w:tcW w:w="3115" w:type="pct"/>
            <w:tcBorders>
              <w:top w:val="nil"/>
              <w:left w:val="nil"/>
              <w:bottom w:val="single" w:sz="4" w:space="0" w:color="auto"/>
              <w:right w:val="single" w:sz="4" w:space="0" w:color="auto"/>
            </w:tcBorders>
            <w:shd w:val="clear" w:color="auto" w:fill="auto"/>
            <w:noWrap/>
            <w:hideMark/>
          </w:tcPr>
          <w:p w14:paraId="3E608580"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BioEnergy Resources Ltd (BERL)</w:t>
            </w:r>
          </w:p>
        </w:tc>
      </w:tr>
      <w:tr w:rsidR="00681C6F" w:rsidRPr="006122EE" w14:paraId="3709A219"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2DE35068"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Moses Zuze</w:t>
            </w:r>
          </w:p>
        </w:tc>
        <w:tc>
          <w:tcPr>
            <w:tcW w:w="3115" w:type="pct"/>
            <w:tcBorders>
              <w:top w:val="nil"/>
              <w:left w:val="nil"/>
              <w:bottom w:val="single" w:sz="4" w:space="0" w:color="auto"/>
              <w:right w:val="single" w:sz="4" w:space="0" w:color="auto"/>
            </w:tcBorders>
            <w:shd w:val="clear" w:color="auto" w:fill="auto"/>
            <w:noWrap/>
            <w:hideMark/>
          </w:tcPr>
          <w:p w14:paraId="0490834C"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Ministry of Local Government</w:t>
            </w:r>
          </w:p>
        </w:tc>
      </w:tr>
      <w:tr w:rsidR="00681C6F" w:rsidRPr="006122EE" w14:paraId="6DCEB196"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079C685C"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Walter Mkandawire</w:t>
            </w:r>
          </w:p>
        </w:tc>
        <w:tc>
          <w:tcPr>
            <w:tcW w:w="3115" w:type="pct"/>
            <w:tcBorders>
              <w:top w:val="nil"/>
              <w:left w:val="nil"/>
              <w:bottom w:val="single" w:sz="4" w:space="0" w:color="auto"/>
              <w:right w:val="single" w:sz="4" w:space="0" w:color="auto"/>
            </w:tcBorders>
            <w:shd w:val="clear" w:color="auto" w:fill="auto"/>
            <w:noWrap/>
            <w:hideMark/>
          </w:tcPr>
          <w:p w14:paraId="165C4BA5"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MIE LTD</w:t>
            </w:r>
          </w:p>
        </w:tc>
      </w:tr>
      <w:tr w:rsidR="00681C6F" w:rsidRPr="006122EE" w14:paraId="75AFAF8C"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2D7FAD9F"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Kondwani Ndau</w:t>
            </w:r>
          </w:p>
        </w:tc>
        <w:tc>
          <w:tcPr>
            <w:tcW w:w="3115" w:type="pct"/>
            <w:tcBorders>
              <w:top w:val="nil"/>
              <w:left w:val="nil"/>
              <w:bottom w:val="single" w:sz="4" w:space="0" w:color="auto"/>
              <w:right w:val="single" w:sz="4" w:space="0" w:color="auto"/>
            </w:tcBorders>
            <w:shd w:val="clear" w:color="auto" w:fill="auto"/>
            <w:noWrap/>
            <w:hideMark/>
          </w:tcPr>
          <w:p w14:paraId="1634766B"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 xml:space="preserve">Ethanol Company of Malawi Ltd </w:t>
            </w:r>
          </w:p>
        </w:tc>
      </w:tr>
      <w:tr w:rsidR="00681C6F" w:rsidRPr="006122EE" w14:paraId="5BEB50AA" w14:textId="77777777" w:rsidTr="00603DE0">
        <w:trPr>
          <w:trHeight w:val="264"/>
        </w:trPr>
        <w:tc>
          <w:tcPr>
            <w:tcW w:w="1885" w:type="pct"/>
            <w:tcBorders>
              <w:top w:val="nil"/>
              <w:left w:val="single" w:sz="4" w:space="0" w:color="auto"/>
              <w:bottom w:val="single" w:sz="4" w:space="0" w:color="auto"/>
              <w:right w:val="single" w:sz="4" w:space="0" w:color="auto"/>
            </w:tcBorders>
            <w:shd w:val="clear" w:color="auto" w:fill="auto"/>
            <w:noWrap/>
            <w:hideMark/>
          </w:tcPr>
          <w:p w14:paraId="6FEE9567"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Mphatso Chiwewe</w:t>
            </w:r>
          </w:p>
        </w:tc>
        <w:tc>
          <w:tcPr>
            <w:tcW w:w="3115" w:type="pct"/>
            <w:tcBorders>
              <w:top w:val="nil"/>
              <w:left w:val="nil"/>
              <w:bottom w:val="single" w:sz="4" w:space="0" w:color="auto"/>
              <w:right w:val="single" w:sz="4" w:space="0" w:color="auto"/>
            </w:tcBorders>
            <w:shd w:val="clear" w:color="auto" w:fill="auto"/>
            <w:noWrap/>
            <w:hideMark/>
          </w:tcPr>
          <w:p w14:paraId="2EE680E3" w14:textId="77777777" w:rsidR="00681C6F" w:rsidRPr="006122EE" w:rsidRDefault="00681C6F" w:rsidP="00681C6F">
            <w:pPr>
              <w:keepNext/>
              <w:keepLines/>
              <w:spacing w:before="0" w:after="0" w:line="240" w:lineRule="auto"/>
              <w:jc w:val="left"/>
              <w:rPr>
                <w:rFonts w:eastAsia="Times New Roman" w:cs="Arial"/>
                <w:color w:val="000000"/>
                <w:sz w:val="18"/>
                <w:szCs w:val="18"/>
                <w:lang w:eastAsia="fr-FR"/>
              </w:rPr>
            </w:pPr>
            <w:r w:rsidRPr="006122EE">
              <w:rPr>
                <w:sz w:val="18"/>
                <w:szCs w:val="18"/>
              </w:rPr>
              <w:t>Department of Energy Affairs</w:t>
            </w:r>
          </w:p>
        </w:tc>
      </w:tr>
    </w:tbl>
    <w:p w14:paraId="6D827F8B" w14:textId="77777777" w:rsidR="00A8593C" w:rsidRPr="006122EE" w:rsidRDefault="00A8593C" w:rsidP="00866D96">
      <w:pPr>
        <w:pStyle w:val="Style1"/>
      </w:pPr>
      <w:bookmarkStart w:id="619" w:name="_Toc452372895"/>
      <w:r w:rsidRPr="006122EE">
        <w:t>Ministry of Energy and Power Development</w:t>
      </w:r>
      <w:bookmarkEnd w:id="619"/>
    </w:p>
    <w:tbl>
      <w:tblPr>
        <w:tblW w:w="5000" w:type="pct"/>
        <w:tblCellMar>
          <w:left w:w="70" w:type="dxa"/>
          <w:right w:w="70" w:type="dxa"/>
        </w:tblCellMar>
        <w:tblLook w:val="04A0" w:firstRow="1" w:lastRow="0" w:firstColumn="1" w:lastColumn="0" w:noHBand="0" w:noVBand="1"/>
      </w:tblPr>
      <w:tblGrid>
        <w:gridCol w:w="4255"/>
        <w:gridCol w:w="5139"/>
      </w:tblGrid>
      <w:tr w:rsidR="00A8593C" w:rsidRPr="006122EE" w14:paraId="68D77117" w14:textId="77777777" w:rsidTr="004D65CC">
        <w:trPr>
          <w:trHeight w:val="264"/>
        </w:trPr>
        <w:tc>
          <w:tcPr>
            <w:tcW w:w="2265" w:type="pct"/>
            <w:tcBorders>
              <w:top w:val="single" w:sz="4" w:space="0" w:color="auto"/>
              <w:left w:val="single" w:sz="4" w:space="0" w:color="auto"/>
              <w:bottom w:val="single" w:sz="4" w:space="0" w:color="auto"/>
              <w:right w:val="single" w:sz="4" w:space="0" w:color="auto"/>
            </w:tcBorders>
            <w:shd w:val="clear" w:color="000000" w:fill="00A1DE"/>
            <w:noWrap/>
            <w:vAlign w:val="center"/>
            <w:hideMark/>
          </w:tcPr>
          <w:p w14:paraId="4263E604" w14:textId="77777777" w:rsidR="00A8593C" w:rsidRPr="006122EE" w:rsidRDefault="00A8593C" w:rsidP="00A8593C">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2735" w:type="pct"/>
            <w:tcBorders>
              <w:top w:val="single" w:sz="4" w:space="0" w:color="auto"/>
              <w:left w:val="nil"/>
              <w:bottom w:val="single" w:sz="4" w:space="0" w:color="auto"/>
              <w:right w:val="single" w:sz="4" w:space="0" w:color="auto"/>
            </w:tcBorders>
            <w:shd w:val="clear" w:color="000000" w:fill="00A1DE"/>
            <w:noWrap/>
            <w:vAlign w:val="center"/>
            <w:hideMark/>
          </w:tcPr>
          <w:p w14:paraId="0D7BFE4C" w14:textId="77777777" w:rsidR="00A8593C" w:rsidRPr="006122EE" w:rsidRDefault="00A8593C" w:rsidP="00A8593C">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NAME </w:t>
            </w:r>
          </w:p>
        </w:tc>
      </w:tr>
      <w:tr w:rsidR="00A8593C" w:rsidRPr="006122EE" w14:paraId="54D4E32B"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2C1A6423"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CHATSAMA </w:t>
            </w:r>
          </w:p>
        </w:tc>
        <w:tc>
          <w:tcPr>
            <w:tcW w:w="2735" w:type="pct"/>
            <w:tcBorders>
              <w:top w:val="nil"/>
              <w:left w:val="nil"/>
              <w:bottom w:val="single" w:sz="4" w:space="0" w:color="auto"/>
              <w:right w:val="single" w:sz="4" w:space="0" w:color="auto"/>
            </w:tcBorders>
            <w:shd w:val="clear" w:color="auto" w:fill="auto"/>
            <w:noWrap/>
            <w:vAlign w:val="center"/>
            <w:hideMark/>
          </w:tcPr>
          <w:p w14:paraId="0B8051F5"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278F68A3"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061BC72F"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GUBBA</w:t>
            </w:r>
          </w:p>
        </w:tc>
        <w:tc>
          <w:tcPr>
            <w:tcW w:w="2735" w:type="pct"/>
            <w:tcBorders>
              <w:top w:val="nil"/>
              <w:left w:val="nil"/>
              <w:bottom w:val="single" w:sz="4" w:space="0" w:color="auto"/>
              <w:right w:val="single" w:sz="4" w:space="0" w:color="auto"/>
            </w:tcBorders>
            <w:shd w:val="clear" w:color="auto" w:fill="auto"/>
            <w:noWrap/>
            <w:vAlign w:val="center"/>
            <w:hideMark/>
          </w:tcPr>
          <w:p w14:paraId="72B51264"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ALECK </w:t>
            </w:r>
          </w:p>
        </w:tc>
      </w:tr>
      <w:tr w:rsidR="00A8593C" w:rsidRPr="006122EE" w14:paraId="5B3C1B5A"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43ADF4AE"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KAVU </w:t>
            </w:r>
          </w:p>
        </w:tc>
        <w:tc>
          <w:tcPr>
            <w:tcW w:w="2735" w:type="pct"/>
            <w:tcBorders>
              <w:top w:val="nil"/>
              <w:left w:val="nil"/>
              <w:bottom w:val="single" w:sz="4" w:space="0" w:color="auto"/>
              <w:right w:val="single" w:sz="4" w:space="0" w:color="auto"/>
            </w:tcBorders>
            <w:shd w:val="clear" w:color="auto" w:fill="auto"/>
            <w:noWrap/>
            <w:vAlign w:val="center"/>
            <w:hideMark/>
          </w:tcPr>
          <w:p w14:paraId="03908B49"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15762DE7"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2BF22F80"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MAKICHI </w:t>
            </w:r>
          </w:p>
        </w:tc>
        <w:tc>
          <w:tcPr>
            <w:tcW w:w="2735" w:type="pct"/>
            <w:tcBorders>
              <w:top w:val="nil"/>
              <w:left w:val="nil"/>
              <w:bottom w:val="single" w:sz="4" w:space="0" w:color="auto"/>
              <w:right w:val="single" w:sz="4" w:space="0" w:color="auto"/>
            </w:tcBorders>
            <w:shd w:val="clear" w:color="auto" w:fill="auto"/>
            <w:noWrap/>
            <w:vAlign w:val="center"/>
            <w:hideMark/>
          </w:tcPr>
          <w:p w14:paraId="0515193F"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49581365"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71CBAA3E"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MANYUNDO </w:t>
            </w:r>
          </w:p>
        </w:tc>
        <w:tc>
          <w:tcPr>
            <w:tcW w:w="2735" w:type="pct"/>
            <w:tcBorders>
              <w:top w:val="nil"/>
              <w:left w:val="nil"/>
              <w:bottom w:val="single" w:sz="4" w:space="0" w:color="auto"/>
              <w:right w:val="single" w:sz="4" w:space="0" w:color="auto"/>
            </w:tcBorders>
            <w:shd w:val="clear" w:color="auto" w:fill="auto"/>
            <w:noWrap/>
            <w:vAlign w:val="center"/>
            <w:hideMark/>
          </w:tcPr>
          <w:p w14:paraId="2D4EF6A0"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2CE45AB2"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52ECD72B"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MUKUZUNGA </w:t>
            </w:r>
          </w:p>
        </w:tc>
        <w:tc>
          <w:tcPr>
            <w:tcW w:w="2735" w:type="pct"/>
            <w:tcBorders>
              <w:top w:val="nil"/>
              <w:left w:val="nil"/>
              <w:bottom w:val="single" w:sz="4" w:space="0" w:color="auto"/>
              <w:right w:val="single" w:sz="4" w:space="0" w:color="auto"/>
            </w:tcBorders>
            <w:shd w:val="clear" w:color="auto" w:fill="auto"/>
            <w:noWrap/>
            <w:vAlign w:val="center"/>
            <w:hideMark/>
          </w:tcPr>
          <w:p w14:paraId="63075F6A"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JOHHANES </w:t>
            </w:r>
          </w:p>
        </w:tc>
      </w:tr>
      <w:tr w:rsidR="00A8593C" w:rsidRPr="006122EE" w14:paraId="1E495A5A"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4F783BCD"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MUNYARADZI </w:t>
            </w:r>
          </w:p>
        </w:tc>
        <w:tc>
          <w:tcPr>
            <w:tcW w:w="2735" w:type="pct"/>
            <w:tcBorders>
              <w:top w:val="nil"/>
              <w:left w:val="nil"/>
              <w:bottom w:val="single" w:sz="4" w:space="0" w:color="auto"/>
              <w:right w:val="single" w:sz="4" w:space="0" w:color="auto"/>
            </w:tcBorders>
            <w:shd w:val="clear" w:color="auto" w:fill="auto"/>
            <w:noWrap/>
            <w:vAlign w:val="center"/>
            <w:hideMark/>
          </w:tcPr>
          <w:p w14:paraId="529AF8D8"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BENSON </w:t>
            </w:r>
          </w:p>
        </w:tc>
      </w:tr>
      <w:tr w:rsidR="00A8593C" w:rsidRPr="006122EE" w14:paraId="53688063"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7F1BE70A"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MUSARIRI </w:t>
            </w:r>
          </w:p>
        </w:tc>
        <w:tc>
          <w:tcPr>
            <w:tcW w:w="2735" w:type="pct"/>
            <w:tcBorders>
              <w:top w:val="nil"/>
              <w:left w:val="nil"/>
              <w:bottom w:val="single" w:sz="4" w:space="0" w:color="auto"/>
              <w:right w:val="single" w:sz="4" w:space="0" w:color="auto"/>
            </w:tcBorders>
            <w:shd w:val="clear" w:color="auto" w:fill="auto"/>
            <w:noWrap/>
            <w:vAlign w:val="center"/>
            <w:hideMark/>
          </w:tcPr>
          <w:p w14:paraId="6C7B5B3F"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DAVID </w:t>
            </w:r>
          </w:p>
        </w:tc>
      </w:tr>
      <w:tr w:rsidR="00A8593C" w:rsidRPr="006122EE" w14:paraId="3DB65EE7"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6B124395"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MUVERENGWI </w:t>
            </w:r>
          </w:p>
        </w:tc>
        <w:tc>
          <w:tcPr>
            <w:tcW w:w="2735" w:type="pct"/>
            <w:tcBorders>
              <w:top w:val="nil"/>
              <w:left w:val="nil"/>
              <w:bottom w:val="single" w:sz="4" w:space="0" w:color="auto"/>
              <w:right w:val="single" w:sz="4" w:space="0" w:color="auto"/>
            </w:tcBorders>
            <w:shd w:val="clear" w:color="auto" w:fill="auto"/>
            <w:noWrap/>
            <w:vAlign w:val="center"/>
            <w:hideMark/>
          </w:tcPr>
          <w:p w14:paraId="36B7A15E"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PHANUEL </w:t>
            </w:r>
          </w:p>
        </w:tc>
      </w:tr>
      <w:tr w:rsidR="00A8593C" w:rsidRPr="006122EE" w14:paraId="545F1E6C"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18638FE6"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MUVIRIMI </w:t>
            </w:r>
          </w:p>
        </w:tc>
        <w:tc>
          <w:tcPr>
            <w:tcW w:w="2735" w:type="pct"/>
            <w:tcBorders>
              <w:top w:val="nil"/>
              <w:left w:val="nil"/>
              <w:bottom w:val="single" w:sz="4" w:space="0" w:color="auto"/>
              <w:right w:val="single" w:sz="4" w:space="0" w:color="auto"/>
            </w:tcBorders>
            <w:shd w:val="clear" w:color="auto" w:fill="auto"/>
            <w:noWrap/>
            <w:vAlign w:val="center"/>
            <w:hideMark/>
          </w:tcPr>
          <w:p w14:paraId="3E942513"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TAFARA </w:t>
            </w:r>
          </w:p>
        </w:tc>
      </w:tr>
      <w:tr w:rsidR="00A8593C" w:rsidRPr="006122EE" w14:paraId="43651FEA"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601EEAE0"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MUVUYA</w:t>
            </w:r>
          </w:p>
        </w:tc>
        <w:tc>
          <w:tcPr>
            <w:tcW w:w="2735" w:type="pct"/>
            <w:tcBorders>
              <w:top w:val="nil"/>
              <w:left w:val="nil"/>
              <w:bottom w:val="single" w:sz="4" w:space="0" w:color="auto"/>
              <w:right w:val="single" w:sz="4" w:space="0" w:color="auto"/>
            </w:tcBorders>
            <w:shd w:val="clear" w:color="auto" w:fill="auto"/>
            <w:noWrap/>
            <w:vAlign w:val="center"/>
            <w:hideMark/>
          </w:tcPr>
          <w:p w14:paraId="1D2584D2"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0D1C9AD6"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1986339E"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MUZENDA </w:t>
            </w:r>
          </w:p>
        </w:tc>
        <w:tc>
          <w:tcPr>
            <w:tcW w:w="2735" w:type="pct"/>
            <w:tcBorders>
              <w:top w:val="nil"/>
              <w:left w:val="nil"/>
              <w:bottom w:val="single" w:sz="4" w:space="0" w:color="auto"/>
              <w:right w:val="single" w:sz="4" w:space="0" w:color="auto"/>
            </w:tcBorders>
            <w:shd w:val="clear" w:color="auto" w:fill="auto"/>
            <w:noWrap/>
            <w:vAlign w:val="center"/>
            <w:hideMark/>
          </w:tcPr>
          <w:p w14:paraId="4C77058C"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TSITSI VERONICA </w:t>
            </w:r>
          </w:p>
        </w:tc>
      </w:tr>
      <w:tr w:rsidR="00A8593C" w:rsidRPr="006122EE" w14:paraId="117FE2B3"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1D6CC874"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NDEMERA </w:t>
            </w:r>
          </w:p>
        </w:tc>
        <w:tc>
          <w:tcPr>
            <w:tcW w:w="2735" w:type="pct"/>
            <w:tcBorders>
              <w:top w:val="nil"/>
              <w:left w:val="nil"/>
              <w:bottom w:val="single" w:sz="4" w:space="0" w:color="auto"/>
              <w:right w:val="single" w:sz="4" w:space="0" w:color="auto"/>
            </w:tcBorders>
            <w:shd w:val="clear" w:color="auto" w:fill="auto"/>
            <w:noWrap/>
            <w:vAlign w:val="center"/>
            <w:hideMark/>
          </w:tcPr>
          <w:p w14:paraId="7152D345"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r w:rsidR="00A8593C" w:rsidRPr="006122EE" w14:paraId="2BC53A5F"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72289E67"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NYATSANZA </w:t>
            </w:r>
          </w:p>
        </w:tc>
        <w:tc>
          <w:tcPr>
            <w:tcW w:w="2735" w:type="pct"/>
            <w:tcBorders>
              <w:top w:val="nil"/>
              <w:left w:val="nil"/>
              <w:bottom w:val="single" w:sz="4" w:space="0" w:color="auto"/>
              <w:right w:val="single" w:sz="4" w:space="0" w:color="auto"/>
            </w:tcBorders>
            <w:shd w:val="clear" w:color="auto" w:fill="auto"/>
            <w:noWrap/>
            <w:vAlign w:val="center"/>
            <w:hideMark/>
          </w:tcPr>
          <w:p w14:paraId="1B51CA29"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CHENGETAI G </w:t>
            </w:r>
          </w:p>
        </w:tc>
      </w:tr>
      <w:tr w:rsidR="00A8593C" w:rsidRPr="006122EE" w14:paraId="56EE9774" w14:textId="77777777" w:rsidTr="004D65CC">
        <w:trPr>
          <w:trHeight w:val="264"/>
        </w:trPr>
        <w:tc>
          <w:tcPr>
            <w:tcW w:w="2265" w:type="pct"/>
            <w:tcBorders>
              <w:top w:val="nil"/>
              <w:left w:val="single" w:sz="4" w:space="0" w:color="auto"/>
              <w:bottom w:val="single" w:sz="4" w:space="0" w:color="auto"/>
              <w:right w:val="single" w:sz="4" w:space="0" w:color="auto"/>
            </w:tcBorders>
            <w:shd w:val="clear" w:color="auto" w:fill="auto"/>
            <w:noWrap/>
            <w:vAlign w:val="center"/>
            <w:hideMark/>
          </w:tcPr>
          <w:p w14:paraId="485D202F" w14:textId="77777777" w:rsidR="00A8593C" w:rsidRPr="006122EE" w:rsidRDefault="00A8593C"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ZHOU</w:t>
            </w:r>
          </w:p>
        </w:tc>
        <w:tc>
          <w:tcPr>
            <w:tcW w:w="2735" w:type="pct"/>
            <w:tcBorders>
              <w:top w:val="nil"/>
              <w:left w:val="nil"/>
              <w:bottom w:val="single" w:sz="4" w:space="0" w:color="auto"/>
              <w:right w:val="single" w:sz="4" w:space="0" w:color="auto"/>
            </w:tcBorders>
            <w:shd w:val="clear" w:color="auto" w:fill="auto"/>
            <w:noWrap/>
            <w:vAlign w:val="center"/>
            <w:hideMark/>
          </w:tcPr>
          <w:p w14:paraId="37A88477" w14:textId="77777777" w:rsidR="00A8593C" w:rsidRPr="006122EE" w:rsidRDefault="00A8593C" w:rsidP="00A8593C">
            <w:pPr>
              <w:spacing w:before="0" w:after="0" w:line="240" w:lineRule="auto"/>
              <w:jc w:val="left"/>
              <w:rPr>
                <w:rFonts w:eastAsia="Times New Roman" w:cs="Arial"/>
                <w:color w:val="000000"/>
                <w:sz w:val="18"/>
                <w:szCs w:val="18"/>
                <w:lang w:eastAsia="fr-FR"/>
              </w:rPr>
            </w:pPr>
          </w:p>
        </w:tc>
      </w:tr>
    </w:tbl>
    <w:p w14:paraId="1A352F42" w14:textId="77777777" w:rsidR="00A8593C" w:rsidRPr="006122EE" w:rsidRDefault="00A8593C" w:rsidP="00866D96">
      <w:pPr>
        <w:pStyle w:val="Style1"/>
      </w:pPr>
      <w:bookmarkStart w:id="620" w:name="_Toc452372896"/>
      <w:r w:rsidRPr="006122EE">
        <w:t>Other actors consulted</w:t>
      </w:r>
      <w:bookmarkEnd w:id="6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96"/>
        <w:gridCol w:w="1417"/>
        <w:gridCol w:w="6331"/>
      </w:tblGrid>
      <w:tr w:rsidR="00A8593C" w:rsidRPr="006122EE" w14:paraId="2A5BA22C" w14:textId="77777777" w:rsidTr="00833CE2">
        <w:trPr>
          <w:trHeight w:val="264"/>
        </w:trPr>
        <w:tc>
          <w:tcPr>
            <w:tcW w:w="1796" w:type="dxa"/>
            <w:shd w:val="clear" w:color="000000" w:fill="00A1DE"/>
            <w:noWrap/>
            <w:vAlign w:val="center"/>
            <w:hideMark/>
          </w:tcPr>
          <w:p w14:paraId="0562C2F5" w14:textId="77777777" w:rsidR="00A8593C" w:rsidRPr="006122EE" w:rsidRDefault="00A8593C" w:rsidP="00A8593C">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SURNAME </w:t>
            </w:r>
          </w:p>
        </w:tc>
        <w:tc>
          <w:tcPr>
            <w:tcW w:w="1417" w:type="dxa"/>
            <w:shd w:val="clear" w:color="000000" w:fill="00A1DE"/>
            <w:vAlign w:val="center"/>
          </w:tcPr>
          <w:p w14:paraId="38DDEB86" w14:textId="77777777" w:rsidR="00A8593C" w:rsidRPr="006122EE" w:rsidRDefault="00A8593C" w:rsidP="00A8593C">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NAME</w:t>
            </w:r>
          </w:p>
        </w:tc>
        <w:tc>
          <w:tcPr>
            <w:tcW w:w="6331" w:type="dxa"/>
            <w:shd w:val="clear" w:color="000000" w:fill="00A1DE"/>
            <w:noWrap/>
            <w:vAlign w:val="center"/>
            <w:hideMark/>
          </w:tcPr>
          <w:p w14:paraId="34A14833" w14:textId="77777777" w:rsidR="00A8593C" w:rsidRPr="006122EE" w:rsidRDefault="00A8593C" w:rsidP="00A8593C">
            <w:pPr>
              <w:spacing w:before="0" w:after="0" w:line="240" w:lineRule="auto"/>
              <w:jc w:val="left"/>
              <w:rPr>
                <w:rFonts w:eastAsia="Times New Roman" w:cs="Arial"/>
                <w:b/>
                <w:bCs/>
                <w:color w:val="FFFFFF"/>
                <w:sz w:val="18"/>
                <w:szCs w:val="18"/>
                <w:lang w:eastAsia="fr-FR"/>
              </w:rPr>
            </w:pPr>
            <w:r w:rsidRPr="006122EE">
              <w:rPr>
                <w:rFonts w:eastAsia="Times New Roman" w:cs="Arial"/>
                <w:b/>
                <w:bCs/>
                <w:color w:val="FFFFFF"/>
                <w:sz w:val="18"/>
                <w:szCs w:val="18"/>
                <w:lang w:eastAsia="fr-FR"/>
              </w:rPr>
              <w:t xml:space="preserve">ORGANISATION </w:t>
            </w:r>
          </w:p>
        </w:tc>
      </w:tr>
      <w:tr w:rsidR="001F134B" w:rsidRPr="006122EE" w14:paraId="6CA7D6C6" w14:textId="77777777" w:rsidTr="00833CE2">
        <w:trPr>
          <w:trHeight w:val="264"/>
        </w:trPr>
        <w:tc>
          <w:tcPr>
            <w:tcW w:w="1796" w:type="dxa"/>
            <w:shd w:val="clear" w:color="auto" w:fill="auto"/>
            <w:noWrap/>
            <w:vAlign w:val="center"/>
          </w:tcPr>
          <w:p w14:paraId="18693D11" w14:textId="77777777" w:rsidR="001F134B" w:rsidRPr="006122EE" w:rsidDel="006F1CF6"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Chingwanda</w:t>
            </w:r>
          </w:p>
        </w:tc>
        <w:tc>
          <w:tcPr>
            <w:tcW w:w="1417" w:type="dxa"/>
            <w:vAlign w:val="center"/>
          </w:tcPr>
          <w:p w14:paraId="185868CE" w14:textId="77777777" w:rsidR="001F134B" w:rsidRPr="006122EE"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Atamandike</w:t>
            </w:r>
          </w:p>
        </w:tc>
        <w:tc>
          <w:tcPr>
            <w:tcW w:w="6331" w:type="dxa"/>
            <w:shd w:val="clear" w:color="auto" w:fill="auto"/>
            <w:noWrap/>
            <w:vAlign w:val="center"/>
          </w:tcPr>
          <w:p w14:paraId="12B96016" w14:textId="77777777" w:rsidR="001F134B" w:rsidRPr="006122EE"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Renewable Energy Industries Association of Malawi</w:t>
            </w:r>
          </w:p>
        </w:tc>
      </w:tr>
      <w:tr w:rsidR="001558B5" w:rsidRPr="006122EE" w14:paraId="26F92484" w14:textId="77777777" w:rsidTr="00833CE2">
        <w:trPr>
          <w:trHeight w:val="264"/>
        </w:trPr>
        <w:tc>
          <w:tcPr>
            <w:tcW w:w="1796" w:type="dxa"/>
            <w:shd w:val="clear" w:color="auto" w:fill="auto"/>
            <w:noWrap/>
            <w:vAlign w:val="center"/>
          </w:tcPr>
          <w:p w14:paraId="7DE75F44"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Andrews</w:t>
            </w:r>
          </w:p>
        </w:tc>
        <w:tc>
          <w:tcPr>
            <w:tcW w:w="1417" w:type="dxa"/>
            <w:vAlign w:val="center"/>
          </w:tcPr>
          <w:p w14:paraId="303E9EED"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Jane</w:t>
            </w:r>
          </w:p>
        </w:tc>
        <w:tc>
          <w:tcPr>
            <w:tcW w:w="6331" w:type="dxa"/>
            <w:shd w:val="clear" w:color="auto" w:fill="auto"/>
            <w:noWrap/>
            <w:vAlign w:val="center"/>
          </w:tcPr>
          <w:p w14:paraId="6D63C13D"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University of Strathclyde</w:t>
            </w:r>
          </w:p>
        </w:tc>
      </w:tr>
      <w:tr w:rsidR="001F134B" w:rsidRPr="006122EE" w14:paraId="5BF3D1F7" w14:textId="77777777" w:rsidTr="00833CE2">
        <w:trPr>
          <w:trHeight w:val="264"/>
        </w:trPr>
        <w:tc>
          <w:tcPr>
            <w:tcW w:w="1796" w:type="dxa"/>
            <w:shd w:val="clear" w:color="auto" w:fill="auto"/>
            <w:noWrap/>
            <w:vAlign w:val="center"/>
          </w:tcPr>
          <w:p w14:paraId="3EFAB066" w14:textId="77777777" w:rsidR="001F134B" w:rsidRPr="006122EE" w:rsidDel="006F1CF6"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Rakasi</w:t>
            </w:r>
          </w:p>
        </w:tc>
        <w:tc>
          <w:tcPr>
            <w:tcW w:w="1417" w:type="dxa"/>
            <w:vAlign w:val="center"/>
          </w:tcPr>
          <w:p w14:paraId="324E07BB" w14:textId="77777777" w:rsidR="001F134B" w:rsidRPr="006122EE"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Justin</w:t>
            </w:r>
          </w:p>
        </w:tc>
        <w:tc>
          <w:tcPr>
            <w:tcW w:w="6331" w:type="dxa"/>
            <w:shd w:val="clear" w:color="auto" w:fill="auto"/>
            <w:noWrap/>
            <w:vAlign w:val="center"/>
          </w:tcPr>
          <w:p w14:paraId="768B6021" w14:textId="77777777" w:rsidR="001F134B" w:rsidRPr="006122EE"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Renewable Energy Industries Association of Malawi</w:t>
            </w:r>
          </w:p>
        </w:tc>
      </w:tr>
      <w:tr w:rsidR="001558B5" w:rsidRPr="006122EE" w14:paraId="2EB21999" w14:textId="77777777" w:rsidTr="00833CE2">
        <w:trPr>
          <w:trHeight w:val="264"/>
        </w:trPr>
        <w:tc>
          <w:tcPr>
            <w:tcW w:w="1796" w:type="dxa"/>
            <w:shd w:val="clear" w:color="auto" w:fill="auto"/>
            <w:noWrap/>
            <w:vAlign w:val="center"/>
          </w:tcPr>
          <w:p w14:paraId="33CAD3DD"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Mapfumo</w:t>
            </w:r>
          </w:p>
        </w:tc>
        <w:tc>
          <w:tcPr>
            <w:tcW w:w="1417" w:type="dxa"/>
            <w:vAlign w:val="center"/>
          </w:tcPr>
          <w:p w14:paraId="072E84AE"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Reginald</w:t>
            </w:r>
          </w:p>
        </w:tc>
        <w:tc>
          <w:tcPr>
            <w:tcW w:w="6331" w:type="dxa"/>
            <w:shd w:val="clear" w:color="auto" w:fill="auto"/>
            <w:noWrap/>
            <w:vAlign w:val="center"/>
          </w:tcPr>
          <w:p w14:paraId="1EA4ADF4"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Humanist Institute for Co-operation with Developing Countries</w:t>
            </w:r>
          </w:p>
        </w:tc>
      </w:tr>
      <w:tr w:rsidR="001F134B" w:rsidRPr="006122EE" w14:paraId="34ADA75A" w14:textId="77777777" w:rsidTr="00833CE2">
        <w:trPr>
          <w:trHeight w:val="264"/>
        </w:trPr>
        <w:tc>
          <w:tcPr>
            <w:tcW w:w="1796" w:type="dxa"/>
            <w:shd w:val="clear" w:color="auto" w:fill="auto"/>
            <w:noWrap/>
            <w:vAlign w:val="center"/>
          </w:tcPr>
          <w:p w14:paraId="018CBFA7" w14:textId="77777777" w:rsidR="001F134B" w:rsidRPr="006122EE" w:rsidDel="006F1CF6"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Kainja</w:t>
            </w:r>
          </w:p>
        </w:tc>
        <w:tc>
          <w:tcPr>
            <w:tcW w:w="1417" w:type="dxa"/>
            <w:vAlign w:val="center"/>
          </w:tcPr>
          <w:p w14:paraId="0FA11E92" w14:textId="77777777" w:rsidR="001F134B" w:rsidRPr="006122EE" w:rsidRDefault="001F134B"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Gautoni</w:t>
            </w:r>
          </w:p>
        </w:tc>
        <w:tc>
          <w:tcPr>
            <w:tcW w:w="6331" w:type="dxa"/>
            <w:shd w:val="clear" w:color="auto" w:fill="auto"/>
            <w:noWrap/>
            <w:vAlign w:val="center"/>
          </w:tcPr>
          <w:p w14:paraId="331E83A9" w14:textId="77777777" w:rsidR="001F134B" w:rsidRPr="006122EE" w:rsidRDefault="00D95C5F"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Kainja and Dzonzi/Price Waterhouse Coopers</w:t>
            </w:r>
          </w:p>
        </w:tc>
      </w:tr>
      <w:tr w:rsidR="001558B5" w:rsidRPr="006122EE" w14:paraId="567156F0" w14:textId="77777777" w:rsidTr="00833CE2">
        <w:trPr>
          <w:trHeight w:val="264"/>
        </w:trPr>
        <w:tc>
          <w:tcPr>
            <w:tcW w:w="1796" w:type="dxa"/>
            <w:shd w:val="clear" w:color="auto" w:fill="auto"/>
            <w:noWrap/>
            <w:vAlign w:val="center"/>
          </w:tcPr>
          <w:p w14:paraId="04F9E554"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Achoka</w:t>
            </w:r>
          </w:p>
        </w:tc>
        <w:tc>
          <w:tcPr>
            <w:tcW w:w="1417" w:type="dxa"/>
            <w:vAlign w:val="center"/>
          </w:tcPr>
          <w:p w14:paraId="01DF7723"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Pauline</w:t>
            </w:r>
          </w:p>
        </w:tc>
        <w:tc>
          <w:tcPr>
            <w:tcW w:w="6331" w:type="dxa"/>
            <w:shd w:val="clear" w:color="auto" w:fill="auto"/>
            <w:noWrap/>
            <w:vAlign w:val="center"/>
          </w:tcPr>
          <w:p w14:paraId="74EA2A9A" w14:textId="77777777" w:rsidR="001558B5" w:rsidRPr="006122EE" w:rsidRDefault="001558B5"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UNDP</w:t>
            </w:r>
          </w:p>
        </w:tc>
      </w:tr>
      <w:tr w:rsidR="001F134B" w:rsidRPr="006122EE" w14:paraId="335469BA" w14:textId="77777777" w:rsidTr="00833CE2">
        <w:trPr>
          <w:trHeight w:val="264"/>
        </w:trPr>
        <w:tc>
          <w:tcPr>
            <w:tcW w:w="1796" w:type="dxa"/>
            <w:shd w:val="clear" w:color="auto" w:fill="auto"/>
            <w:noWrap/>
            <w:vAlign w:val="center"/>
          </w:tcPr>
          <w:p w14:paraId="5521073C" w14:textId="77777777" w:rsidR="001F134B" w:rsidRPr="006122EE" w:rsidDel="006F1CF6"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M’mangisa</w:t>
            </w:r>
          </w:p>
        </w:tc>
        <w:tc>
          <w:tcPr>
            <w:tcW w:w="1417" w:type="dxa"/>
            <w:vAlign w:val="center"/>
          </w:tcPr>
          <w:p w14:paraId="6F1F5EAA"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Etta Rachel</w:t>
            </w:r>
          </w:p>
        </w:tc>
        <w:tc>
          <w:tcPr>
            <w:tcW w:w="6331" w:type="dxa"/>
            <w:shd w:val="clear" w:color="auto" w:fill="auto"/>
            <w:noWrap/>
            <w:vAlign w:val="center"/>
          </w:tcPr>
          <w:p w14:paraId="217F7FBE"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UNDP</w:t>
            </w:r>
          </w:p>
        </w:tc>
      </w:tr>
      <w:tr w:rsidR="00284E54" w:rsidRPr="006122EE" w14:paraId="340C297F" w14:textId="77777777" w:rsidTr="00F821F8">
        <w:trPr>
          <w:trHeight w:val="264"/>
        </w:trPr>
        <w:tc>
          <w:tcPr>
            <w:tcW w:w="1796" w:type="dxa"/>
            <w:shd w:val="clear" w:color="auto" w:fill="auto"/>
            <w:noWrap/>
            <w:vAlign w:val="center"/>
          </w:tcPr>
          <w:p w14:paraId="4868C5E8" w14:textId="77777777" w:rsidR="00284E54" w:rsidRPr="006122EE" w:rsidRDefault="00284E54"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Flores</w:t>
            </w:r>
          </w:p>
        </w:tc>
        <w:tc>
          <w:tcPr>
            <w:tcW w:w="1417" w:type="dxa"/>
            <w:vAlign w:val="center"/>
          </w:tcPr>
          <w:p w14:paraId="767D3E1A" w14:textId="77777777" w:rsidR="00284E54" w:rsidRPr="006122EE" w:rsidRDefault="00284E54"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Raoul</w:t>
            </w:r>
          </w:p>
        </w:tc>
        <w:tc>
          <w:tcPr>
            <w:tcW w:w="6331" w:type="dxa"/>
            <w:shd w:val="clear" w:color="auto" w:fill="auto"/>
            <w:noWrap/>
            <w:vAlign w:val="center"/>
          </w:tcPr>
          <w:p w14:paraId="3DC47012" w14:textId="77777777" w:rsidR="00284E54" w:rsidRPr="006122EE" w:rsidRDefault="00284E54"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USAID/Power Africa</w:t>
            </w:r>
          </w:p>
        </w:tc>
      </w:tr>
      <w:tr w:rsidR="00F25B97" w:rsidRPr="006122EE" w14:paraId="58E89FE7" w14:textId="77777777" w:rsidTr="00F821F8">
        <w:trPr>
          <w:trHeight w:val="264"/>
        </w:trPr>
        <w:tc>
          <w:tcPr>
            <w:tcW w:w="1796" w:type="dxa"/>
            <w:shd w:val="clear" w:color="auto" w:fill="auto"/>
            <w:noWrap/>
            <w:vAlign w:val="center"/>
          </w:tcPr>
          <w:p w14:paraId="51A0C780" w14:textId="77777777" w:rsidR="00F25B97" w:rsidRPr="006122EE" w:rsidRDefault="00151AA5"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Bashir</w:t>
            </w:r>
          </w:p>
        </w:tc>
        <w:tc>
          <w:tcPr>
            <w:tcW w:w="1417" w:type="dxa"/>
            <w:vAlign w:val="center"/>
          </w:tcPr>
          <w:p w14:paraId="20125597" w14:textId="77777777" w:rsidR="00F25B97" w:rsidRPr="006122EE" w:rsidRDefault="00151AA5"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Jehangir</w:t>
            </w:r>
          </w:p>
        </w:tc>
        <w:tc>
          <w:tcPr>
            <w:tcW w:w="6331" w:type="dxa"/>
            <w:shd w:val="clear" w:color="auto" w:fill="auto"/>
            <w:noWrap/>
            <w:vAlign w:val="center"/>
          </w:tcPr>
          <w:p w14:paraId="7A6A3E65" w14:textId="77777777" w:rsidR="00F25B97" w:rsidRPr="006122EE" w:rsidRDefault="00151AA5"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Atlas Energies Ltd.</w:t>
            </w:r>
          </w:p>
        </w:tc>
      </w:tr>
      <w:tr w:rsidR="00284E54" w:rsidRPr="006122EE" w14:paraId="41477052" w14:textId="77777777" w:rsidTr="001B491E">
        <w:trPr>
          <w:trHeight w:val="264"/>
        </w:trPr>
        <w:tc>
          <w:tcPr>
            <w:tcW w:w="1796" w:type="dxa"/>
            <w:shd w:val="clear" w:color="auto" w:fill="auto"/>
            <w:noWrap/>
            <w:vAlign w:val="center"/>
          </w:tcPr>
          <w:p w14:paraId="6F4B3A74"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Msimuko</w:t>
            </w:r>
          </w:p>
        </w:tc>
        <w:tc>
          <w:tcPr>
            <w:tcW w:w="1417" w:type="dxa"/>
            <w:vAlign w:val="center"/>
          </w:tcPr>
          <w:p w14:paraId="340E76AB"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Tumusime</w:t>
            </w:r>
          </w:p>
        </w:tc>
        <w:tc>
          <w:tcPr>
            <w:tcW w:w="6331" w:type="dxa"/>
            <w:shd w:val="clear" w:color="auto" w:fill="auto"/>
            <w:noWrap/>
            <w:vAlign w:val="center"/>
          </w:tcPr>
          <w:p w14:paraId="29EB41C8"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Press Corporation Ltd.</w:t>
            </w:r>
          </w:p>
        </w:tc>
      </w:tr>
      <w:tr w:rsidR="00284E54" w:rsidRPr="006122EE" w14:paraId="09CBAF72" w14:textId="77777777" w:rsidTr="001B491E">
        <w:trPr>
          <w:trHeight w:val="264"/>
        </w:trPr>
        <w:tc>
          <w:tcPr>
            <w:tcW w:w="1796" w:type="dxa"/>
            <w:shd w:val="clear" w:color="auto" w:fill="auto"/>
            <w:noWrap/>
            <w:vAlign w:val="center"/>
          </w:tcPr>
          <w:p w14:paraId="6CACCB62"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Satar</w:t>
            </w:r>
          </w:p>
        </w:tc>
        <w:tc>
          <w:tcPr>
            <w:tcW w:w="1417" w:type="dxa"/>
            <w:vAlign w:val="center"/>
          </w:tcPr>
          <w:p w14:paraId="3C036763"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Shakil</w:t>
            </w:r>
          </w:p>
        </w:tc>
        <w:tc>
          <w:tcPr>
            <w:tcW w:w="6331" w:type="dxa"/>
            <w:shd w:val="clear" w:color="auto" w:fill="auto"/>
            <w:noWrap/>
            <w:vAlign w:val="center"/>
          </w:tcPr>
          <w:p w14:paraId="69A2134F" w14:textId="77777777" w:rsidR="00284E54" w:rsidRPr="006122EE" w:rsidRDefault="00284E54"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Standard Bank</w:t>
            </w:r>
          </w:p>
        </w:tc>
      </w:tr>
      <w:tr w:rsidR="00284E54" w:rsidRPr="006122EE" w14:paraId="722FEB12" w14:textId="77777777" w:rsidTr="001B491E">
        <w:trPr>
          <w:trHeight w:val="264"/>
        </w:trPr>
        <w:tc>
          <w:tcPr>
            <w:tcW w:w="1796" w:type="dxa"/>
            <w:shd w:val="clear" w:color="auto" w:fill="auto"/>
            <w:noWrap/>
            <w:vAlign w:val="center"/>
          </w:tcPr>
          <w:p w14:paraId="6616518C" w14:textId="77777777" w:rsidR="00284E54" w:rsidRPr="006122EE" w:rsidRDefault="00A32830"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Chinoko</w:t>
            </w:r>
          </w:p>
        </w:tc>
        <w:tc>
          <w:tcPr>
            <w:tcW w:w="1417" w:type="dxa"/>
            <w:vAlign w:val="center"/>
          </w:tcPr>
          <w:p w14:paraId="01435D5A" w14:textId="77777777" w:rsidR="00284E54" w:rsidRPr="006122EE" w:rsidRDefault="00A32830"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Vitumbiko</w:t>
            </w:r>
          </w:p>
        </w:tc>
        <w:tc>
          <w:tcPr>
            <w:tcW w:w="6331" w:type="dxa"/>
            <w:shd w:val="clear" w:color="auto" w:fill="auto"/>
            <w:noWrap/>
            <w:vAlign w:val="center"/>
          </w:tcPr>
          <w:p w14:paraId="1060F1FB" w14:textId="77777777" w:rsidR="00284E54" w:rsidRPr="006122EE" w:rsidRDefault="00A32830" w:rsidP="001B491E">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ECRP/Christian Aid</w:t>
            </w:r>
          </w:p>
        </w:tc>
      </w:tr>
      <w:tr w:rsidR="00284E54" w:rsidRPr="006122EE" w14:paraId="7F5991AE" w14:textId="77777777" w:rsidTr="00F821F8">
        <w:trPr>
          <w:trHeight w:val="264"/>
        </w:trPr>
        <w:tc>
          <w:tcPr>
            <w:tcW w:w="1796" w:type="dxa"/>
            <w:shd w:val="clear" w:color="auto" w:fill="auto"/>
            <w:noWrap/>
            <w:vAlign w:val="center"/>
          </w:tcPr>
          <w:p w14:paraId="335A026B" w14:textId="77777777" w:rsidR="00284E54" w:rsidRPr="006122EE" w:rsidRDefault="00A32830"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Simwaka</w:t>
            </w:r>
          </w:p>
        </w:tc>
        <w:tc>
          <w:tcPr>
            <w:tcW w:w="1417" w:type="dxa"/>
            <w:vAlign w:val="center"/>
          </w:tcPr>
          <w:p w14:paraId="1F1BA242" w14:textId="77777777" w:rsidR="00284E54" w:rsidRPr="006122EE" w:rsidRDefault="00A32830"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Grace</w:t>
            </w:r>
          </w:p>
        </w:tc>
        <w:tc>
          <w:tcPr>
            <w:tcW w:w="6331" w:type="dxa"/>
            <w:shd w:val="clear" w:color="auto" w:fill="auto"/>
            <w:noWrap/>
            <w:vAlign w:val="center"/>
          </w:tcPr>
          <w:p w14:paraId="022C7A39" w14:textId="77777777" w:rsidR="00284E54" w:rsidRPr="006122EE" w:rsidRDefault="00A32830"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Millennium Challenge Corporation</w:t>
            </w:r>
          </w:p>
        </w:tc>
      </w:tr>
      <w:tr w:rsidR="001F134B" w:rsidRPr="006122EE" w14:paraId="581E27C6" w14:textId="77777777" w:rsidTr="00833CE2">
        <w:trPr>
          <w:trHeight w:val="264"/>
        </w:trPr>
        <w:tc>
          <w:tcPr>
            <w:tcW w:w="1796" w:type="dxa"/>
            <w:shd w:val="clear" w:color="auto" w:fill="auto"/>
            <w:noWrap/>
            <w:vAlign w:val="center"/>
          </w:tcPr>
          <w:p w14:paraId="2A36AA2A" w14:textId="77777777" w:rsidR="001F134B" w:rsidRPr="006122EE" w:rsidDel="006F1CF6"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Nthakomwa</w:t>
            </w:r>
          </w:p>
        </w:tc>
        <w:tc>
          <w:tcPr>
            <w:tcW w:w="1417" w:type="dxa"/>
            <w:vAlign w:val="center"/>
          </w:tcPr>
          <w:p w14:paraId="0E2AD1AC"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Joshua</w:t>
            </w:r>
          </w:p>
        </w:tc>
        <w:tc>
          <w:tcPr>
            <w:tcW w:w="6331" w:type="dxa"/>
            <w:shd w:val="clear" w:color="auto" w:fill="auto"/>
            <w:noWrap/>
            <w:vAlign w:val="center"/>
          </w:tcPr>
          <w:p w14:paraId="1BBA60BE"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Malawi Investment &amp; Trade Center</w:t>
            </w:r>
          </w:p>
        </w:tc>
      </w:tr>
      <w:tr w:rsidR="001F134B" w:rsidRPr="006122EE" w14:paraId="64963D83" w14:textId="77777777" w:rsidTr="00833CE2">
        <w:trPr>
          <w:trHeight w:val="264"/>
        </w:trPr>
        <w:tc>
          <w:tcPr>
            <w:tcW w:w="1796" w:type="dxa"/>
            <w:shd w:val="clear" w:color="auto" w:fill="auto"/>
            <w:noWrap/>
            <w:vAlign w:val="center"/>
          </w:tcPr>
          <w:p w14:paraId="17E8AD1A" w14:textId="77777777" w:rsidR="001F134B" w:rsidRPr="006122EE" w:rsidDel="006F1CF6"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Kumbemba</w:t>
            </w:r>
          </w:p>
        </w:tc>
        <w:tc>
          <w:tcPr>
            <w:tcW w:w="1417" w:type="dxa"/>
            <w:vAlign w:val="center"/>
          </w:tcPr>
          <w:p w14:paraId="54456D93"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Clement</w:t>
            </w:r>
          </w:p>
        </w:tc>
        <w:tc>
          <w:tcPr>
            <w:tcW w:w="6331" w:type="dxa"/>
            <w:shd w:val="clear" w:color="auto" w:fill="auto"/>
            <w:noWrap/>
            <w:vAlign w:val="center"/>
          </w:tcPr>
          <w:p w14:paraId="068983E9" w14:textId="77777777" w:rsidR="001F134B" w:rsidRPr="006122EE" w:rsidRDefault="001F134B"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Malawi Investment &amp; Trade Center</w:t>
            </w:r>
          </w:p>
        </w:tc>
      </w:tr>
      <w:tr w:rsidR="00F821F8" w:rsidRPr="006122EE" w14:paraId="30163F35" w14:textId="77777777" w:rsidTr="00833CE2">
        <w:trPr>
          <w:trHeight w:val="264"/>
        </w:trPr>
        <w:tc>
          <w:tcPr>
            <w:tcW w:w="1796" w:type="dxa"/>
            <w:shd w:val="clear" w:color="auto" w:fill="auto"/>
            <w:noWrap/>
            <w:vAlign w:val="center"/>
          </w:tcPr>
          <w:p w14:paraId="72C2A972" w14:textId="77777777" w:rsidR="00F821F8" w:rsidRPr="006122EE" w:rsidDel="006F1CF6"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 xml:space="preserve">KARIMANZIRA </w:t>
            </w:r>
          </w:p>
        </w:tc>
        <w:tc>
          <w:tcPr>
            <w:tcW w:w="1417" w:type="dxa"/>
            <w:vAlign w:val="center"/>
          </w:tcPr>
          <w:p w14:paraId="30EB78F8" w14:textId="77777777" w:rsidR="00F821F8" w:rsidRPr="006122EE"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RUNGANO P.</w:t>
            </w:r>
          </w:p>
        </w:tc>
        <w:tc>
          <w:tcPr>
            <w:tcW w:w="6331" w:type="dxa"/>
            <w:shd w:val="clear" w:color="auto" w:fill="auto"/>
            <w:noWrap/>
            <w:vAlign w:val="center"/>
          </w:tcPr>
          <w:p w14:paraId="548C93FD" w14:textId="77777777" w:rsidR="00F821F8" w:rsidRPr="006122EE"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Director in the Ministry of Higher Education and Harare Polytechnic (consulted for ethanol production data)</w:t>
            </w:r>
          </w:p>
        </w:tc>
      </w:tr>
      <w:tr w:rsidR="00F821F8" w:rsidRPr="006122EE" w14:paraId="17262130" w14:textId="77777777" w:rsidTr="00833CE2">
        <w:trPr>
          <w:trHeight w:val="264"/>
        </w:trPr>
        <w:tc>
          <w:tcPr>
            <w:tcW w:w="1796" w:type="dxa"/>
            <w:shd w:val="clear" w:color="auto" w:fill="auto"/>
            <w:noWrap/>
            <w:vAlign w:val="center"/>
          </w:tcPr>
          <w:p w14:paraId="6083961D" w14:textId="77777777" w:rsidR="00F821F8" w:rsidRPr="006122EE" w:rsidDel="006F1CF6"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MPALA</w:t>
            </w:r>
            <w:r w:rsidRPr="006122EE" w:rsidDel="006F1CF6">
              <w:rPr>
                <w:rFonts w:eastAsia="Times New Roman" w:cs="Arial"/>
                <w:color w:val="000000"/>
                <w:sz w:val="18"/>
                <w:szCs w:val="18"/>
                <w:lang w:eastAsia="fr-FR"/>
              </w:rPr>
              <w:t>TBC</w:t>
            </w:r>
          </w:p>
        </w:tc>
        <w:tc>
          <w:tcPr>
            <w:tcW w:w="1417" w:type="dxa"/>
            <w:vAlign w:val="center"/>
          </w:tcPr>
          <w:p w14:paraId="3322C9C7" w14:textId="77777777" w:rsidR="00F821F8" w:rsidRPr="006122EE"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PATRICK</w:t>
            </w:r>
          </w:p>
        </w:tc>
        <w:tc>
          <w:tcPr>
            <w:tcW w:w="6331" w:type="dxa"/>
            <w:shd w:val="clear" w:color="auto" w:fill="auto"/>
            <w:noWrap/>
            <w:vAlign w:val="center"/>
          </w:tcPr>
          <w:p w14:paraId="58A398B4" w14:textId="77777777" w:rsidR="00F821F8" w:rsidRPr="006122EE" w:rsidRDefault="00F821F8" w:rsidP="004D65C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Finealt Biodiesel Project</w:t>
            </w:r>
          </w:p>
        </w:tc>
      </w:tr>
      <w:tr w:rsidR="00F821F8" w:rsidRPr="006122EE" w14:paraId="77DEB5FA" w14:textId="77777777" w:rsidTr="00833CE2">
        <w:trPr>
          <w:trHeight w:val="264"/>
        </w:trPr>
        <w:tc>
          <w:tcPr>
            <w:tcW w:w="1796" w:type="dxa"/>
            <w:shd w:val="clear" w:color="auto" w:fill="auto"/>
            <w:noWrap/>
            <w:vAlign w:val="center"/>
          </w:tcPr>
          <w:p w14:paraId="2CD3E237" w14:textId="77777777" w:rsidR="00F821F8" w:rsidRPr="006122EE" w:rsidDel="006F1CF6" w:rsidRDefault="00F821F8"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MAKONI</w:t>
            </w:r>
          </w:p>
        </w:tc>
        <w:tc>
          <w:tcPr>
            <w:tcW w:w="1417" w:type="dxa"/>
            <w:vAlign w:val="center"/>
          </w:tcPr>
          <w:p w14:paraId="579A1F29" w14:textId="77777777" w:rsidR="00F821F8" w:rsidRPr="006122EE" w:rsidRDefault="00F821F8"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G.</w:t>
            </w:r>
          </w:p>
        </w:tc>
        <w:tc>
          <w:tcPr>
            <w:tcW w:w="6331" w:type="dxa"/>
            <w:shd w:val="clear" w:color="auto" w:fill="auto"/>
            <w:noWrap/>
            <w:vAlign w:val="center"/>
          </w:tcPr>
          <w:p w14:paraId="4EAA572A" w14:textId="77777777" w:rsidR="00F821F8" w:rsidRPr="006122EE" w:rsidRDefault="00F821F8" w:rsidP="00A8593C">
            <w:pPr>
              <w:spacing w:before="0" w:after="0" w:line="240" w:lineRule="auto"/>
              <w:jc w:val="left"/>
              <w:rPr>
                <w:rFonts w:eastAsia="Times New Roman" w:cs="Arial"/>
                <w:color w:val="000000"/>
                <w:sz w:val="18"/>
                <w:szCs w:val="18"/>
                <w:lang w:eastAsia="fr-FR"/>
              </w:rPr>
            </w:pPr>
            <w:r w:rsidRPr="006122EE">
              <w:rPr>
                <w:rFonts w:eastAsia="Times New Roman" w:cs="Arial"/>
                <w:color w:val="000000"/>
                <w:sz w:val="18"/>
                <w:szCs w:val="18"/>
                <w:lang w:eastAsia="fr-FR"/>
              </w:rPr>
              <w:t>Central Vehicle Registry</w:t>
            </w:r>
          </w:p>
        </w:tc>
      </w:tr>
    </w:tbl>
    <w:p w14:paraId="35F84237" w14:textId="77777777" w:rsidR="003265BD" w:rsidRPr="006122EE" w:rsidRDefault="003265BD" w:rsidP="00726AF3">
      <w:pPr>
        <w:sectPr w:rsidR="003265BD" w:rsidRPr="006122EE" w:rsidSect="00312C85">
          <w:footerReference w:type="even" r:id="rId59"/>
          <w:pgSz w:w="11899" w:h="16838" w:code="9"/>
          <w:pgMar w:top="851" w:right="1134" w:bottom="851" w:left="1134" w:header="680" w:footer="794" w:gutter="227"/>
          <w:cols w:space="708"/>
          <w:docGrid w:linePitch="272"/>
        </w:sectPr>
      </w:pPr>
    </w:p>
    <w:p w14:paraId="1010FE57" w14:textId="77777777" w:rsidR="004F328A" w:rsidRPr="00866D96" w:rsidRDefault="00315EB2" w:rsidP="006E363C">
      <w:pPr>
        <w:pStyle w:val="APageheading"/>
        <w:numPr>
          <w:ilvl w:val="0"/>
          <w:numId w:val="0"/>
        </w:numPr>
        <w:ind w:left="811"/>
        <w:rPr>
          <w:noProof w:val="0"/>
        </w:rPr>
      </w:pPr>
      <w:bookmarkStart w:id="621" w:name="_Toc481614961"/>
      <w:r w:rsidRPr="00866D96">
        <w:rPr>
          <w:noProof w:val="0"/>
        </w:rPr>
        <w:t xml:space="preserve">Annex </w:t>
      </w:r>
      <w:r w:rsidR="003265BD" w:rsidRPr="00866D96">
        <w:rPr>
          <w:noProof w:val="0"/>
        </w:rPr>
        <w:t xml:space="preserve">3: </w:t>
      </w:r>
      <w:r w:rsidR="00FE7056" w:rsidRPr="00866D96">
        <w:rPr>
          <w:noProof w:val="0"/>
        </w:rPr>
        <w:t>SE4ALL</w:t>
      </w:r>
      <w:r w:rsidR="00474991" w:rsidRPr="00866D96">
        <w:rPr>
          <w:noProof w:val="0"/>
        </w:rPr>
        <w:t xml:space="preserve"> implementation plan</w:t>
      </w:r>
      <w:bookmarkEnd w:id="621"/>
    </w:p>
    <w:p w14:paraId="76FA1895" w14:textId="77777777" w:rsidR="00CD5EEA" w:rsidRPr="006122EE" w:rsidRDefault="00BC204F" w:rsidP="00CD5EEA">
      <w:pPr>
        <w:pStyle w:val="Caption"/>
        <w:jc w:val="left"/>
      </w:pPr>
      <w:r w:rsidRPr="006122EE">
        <w:rPr>
          <w:b w:val="0"/>
          <w:color w:val="auto"/>
        </w:rPr>
        <w:t>This table is a distillation of the priority actions from Chapter 5, along with their timetable, lead agency and estimated investment cost</w:t>
      </w:r>
      <w:r w:rsidR="0094681A" w:rsidRPr="006122EE">
        <w:rPr>
          <w:b w:val="0"/>
          <w:color w:val="auto"/>
        </w:rPr>
        <w:t xml:space="preserve">. </w:t>
      </w:r>
      <w:r w:rsidRPr="006122EE">
        <w:rPr>
          <w:b w:val="0"/>
          <w:color w:val="auto"/>
        </w:rPr>
        <w:t>The timeframe definitions are short-term (1-5 years), mid-term (5-10 years) and long-term (&gt;10 years). The estimated costs are for capital costs, not operating costs. The units for estimated costs are US$.</w:t>
      </w:r>
    </w:p>
    <w:p w14:paraId="738E092E" w14:textId="77777777" w:rsidR="008B7A66" w:rsidRPr="006122EE" w:rsidRDefault="008B7A66" w:rsidP="00BC204F">
      <w:pPr>
        <w:pStyle w:val="Caption"/>
      </w:pPr>
    </w:p>
    <w:p w14:paraId="2B03300F" w14:textId="77777777" w:rsidR="009213F6" w:rsidRPr="006122EE" w:rsidRDefault="009213F6" w:rsidP="00866D96">
      <w:pPr>
        <w:pStyle w:val="Caption"/>
      </w:pPr>
      <w:bookmarkStart w:id="622" w:name="_Toc481615028"/>
      <w:r w:rsidRPr="006122EE">
        <w:t xml:space="preserve">Table </w:t>
      </w:r>
      <w:r w:rsidR="00DC7D8C">
        <w:fldChar w:fldCharType="begin"/>
      </w:r>
      <w:r w:rsidR="00DC7D8C">
        <w:instrText xml:space="preserve"> SEQ Table \* ARABIC </w:instrText>
      </w:r>
      <w:r w:rsidR="00DC7D8C">
        <w:fldChar w:fldCharType="separate"/>
      </w:r>
      <w:r w:rsidR="00866D96">
        <w:rPr>
          <w:noProof/>
        </w:rPr>
        <w:t>43</w:t>
      </w:r>
      <w:r w:rsidR="00DC7D8C">
        <w:rPr>
          <w:noProof/>
        </w:rPr>
        <w:fldChar w:fldCharType="end"/>
      </w:r>
      <w:r w:rsidRPr="006122EE">
        <w:t>: Implementation of priority actions: Energy Access</w:t>
      </w:r>
      <w:bookmarkEnd w:id="622"/>
    </w:p>
    <w:tbl>
      <w:tblPr>
        <w:tblW w:w="5000" w:type="pct"/>
        <w:tblLayout w:type="fixed"/>
        <w:tblCellMar>
          <w:left w:w="70" w:type="dxa"/>
          <w:right w:w="70" w:type="dxa"/>
        </w:tblCellMar>
        <w:tblLook w:val="04A0" w:firstRow="1" w:lastRow="0" w:firstColumn="1" w:lastColumn="0" w:noHBand="0" w:noVBand="1"/>
      </w:tblPr>
      <w:tblGrid>
        <w:gridCol w:w="2987"/>
        <w:gridCol w:w="3695"/>
        <w:gridCol w:w="2127"/>
        <w:gridCol w:w="1558"/>
        <w:gridCol w:w="2127"/>
        <w:gridCol w:w="2632"/>
      </w:tblGrid>
      <w:tr w:rsidR="00046EA5" w:rsidRPr="006122EE" w14:paraId="503BF773" w14:textId="77777777" w:rsidTr="005A7401">
        <w:trPr>
          <w:trHeight w:val="264"/>
          <w:tblHeader/>
        </w:trPr>
        <w:tc>
          <w:tcPr>
            <w:tcW w:w="987" w:type="pct"/>
            <w:tcBorders>
              <w:top w:val="single" w:sz="4" w:space="0" w:color="auto"/>
              <w:left w:val="single" w:sz="4" w:space="0" w:color="auto"/>
              <w:bottom w:val="single" w:sz="4" w:space="0" w:color="auto"/>
              <w:right w:val="single" w:sz="4" w:space="0" w:color="auto"/>
            </w:tcBorders>
            <w:shd w:val="clear" w:color="000000" w:fill="00A1DE"/>
            <w:noWrap/>
            <w:vAlign w:val="center"/>
          </w:tcPr>
          <w:p w14:paraId="34577D27" w14:textId="77777777" w:rsidR="00046EA5" w:rsidRPr="00866D96" w:rsidRDefault="00046EA5" w:rsidP="005A7401">
            <w:pPr>
              <w:rPr>
                <w:b/>
                <w:bCs/>
                <w:color w:val="FFFFFF" w:themeColor="background1"/>
              </w:rPr>
            </w:pPr>
            <w:r w:rsidRPr="00866D96">
              <w:rPr>
                <w:b/>
                <w:bCs/>
                <w:color w:val="FFFFFF" w:themeColor="background1"/>
              </w:rPr>
              <w:t>Category</w:t>
            </w:r>
          </w:p>
        </w:tc>
        <w:tc>
          <w:tcPr>
            <w:tcW w:w="1221" w:type="pct"/>
            <w:tcBorders>
              <w:top w:val="single" w:sz="4" w:space="0" w:color="auto"/>
              <w:left w:val="nil"/>
              <w:bottom w:val="single" w:sz="4" w:space="0" w:color="auto"/>
              <w:right w:val="single" w:sz="4" w:space="0" w:color="auto"/>
            </w:tcBorders>
            <w:shd w:val="clear" w:color="000000" w:fill="00A1DE"/>
            <w:noWrap/>
            <w:vAlign w:val="center"/>
          </w:tcPr>
          <w:p w14:paraId="1B690282" w14:textId="77777777" w:rsidR="00046EA5" w:rsidRPr="00866D96" w:rsidRDefault="00046EA5" w:rsidP="005A7401">
            <w:pPr>
              <w:rPr>
                <w:b/>
                <w:bCs/>
                <w:color w:val="FFFFFF" w:themeColor="background1"/>
              </w:rPr>
            </w:pPr>
            <w:r w:rsidRPr="00866D96">
              <w:rPr>
                <w:b/>
                <w:bCs/>
                <w:color w:val="FFFFFF" w:themeColor="background1"/>
              </w:rPr>
              <w:t>Action</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2691F7B1" w14:textId="77777777" w:rsidR="00046EA5" w:rsidRPr="00866D96" w:rsidRDefault="00046EA5" w:rsidP="00866D96">
            <w:pPr>
              <w:jc w:val="left"/>
              <w:rPr>
                <w:b/>
                <w:bCs/>
                <w:color w:val="FFFFFF" w:themeColor="background1"/>
              </w:rPr>
            </w:pPr>
            <w:r w:rsidRPr="00866D96">
              <w:rPr>
                <w:b/>
                <w:bCs/>
                <w:color w:val="FFFFFF" w:themeColor="background1"/>
              </w:rPr>
              <w:t>Indicative time frame*</w:t>
            </w:r>
          </w:p>
        </w:tc>
        <w:tc>
          <w:tcPr>
            <w:tcW w:w="515" w:type="pct"/>
            <w:tcBorders>
              <w:top w:val="single" w:sz="4" w:space="0" w:color="auto"/>
              <w:left w:val="nil"/>
              <w:bottom w:val="single" w:sz="4" w:space="0" w:color="auto"/>
              <w:right w:val="single" w:sz="4" w:space="0" w:color="auto"/>
            </w:tcBorders>
            <w:shd w:val="clear" w:color="000000" w:fill="00A1DE"/>
            <w:vAlign w:val="center"/>
          </w:tcPr>
          <w:p w14:paraId="48D7F932" w14:textId="77777777" w:rsidR="00046EA5" w:rsidRPr="00866D96" w:rsidRDefault="00046EA5" w:rsidP="005A7401">
            <w:pPr>
              <w:rPr>
                <w:b/>
                <w:bCs/>
                <w:color w:val="FFFFFF" w:themeColor="background1"/>
              </w:rPr>
            </w:pPr>
            <w:r w:rsidRPr="00866D96">
              <w:rPr>
                <w:b/>
                <w:bCs/>
                <w:color w:val="FFFFFF" w:themeColor="background1"/>
              </w:rPr>
              <w:t>Lead agency</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207FE056" w14:textId="77777777" w:rsidR="00046EA5" w:rsidRPr="00866D96" w:rsidRDefault="00046EA5" w:rsidP="005A7401">
            <w:pPr>
              <w:rPr>
                <w:b/>
                <w:bCs/>
                <w:color w:val="FFFFFF" w:themeColor="background1"/>
              </w:rPr>
            </w:pPr>
            <w:r w:rsidRPr="00866D96">
              <w:rPr>
                <w:b/>
                <w:bCs/>
                <w:color w:val="FFFFFF" w:themeColor="background1"/>
              </w:rPr>
              <w:t>Cooperating stakeholders</w:t>
            </w:r>
          </w:p>
        </w:tc>
        <w:tc>
          <w:tcPr>
            <w:tcW w:w="870" w:type="pct"/>
            <w:tcBorders>
              <w:top w:val="single" w:sz="4" w:space="0" w:color="auto"/>
              <w:left w:val="nil"/>
              <w:bottom w:val="single" w:sz="4" w:space="0" w:color="auto"/>
              <w:right w:val="single" w:sz="4" w:space="0" w:color="auto"/>
            </w:tcBorders>
            <w:shd w:val="clear" w:color="000000" w:fill="00A1DE"/>
            <w:vAlign w:val="center"/>
          </w:tcPr>
          <w:p w14:paraId="64CE0FAB" w14:textId="77777777" w:rsidR="00046EA5" w:rsidRPr="00866D96" w:rsidRDefault="00046EA5" w:rsidP="005A7401">
            <w:pPr>
              <w:rPr>
                <w:b/>
                <w:bCs/>
                <w:color w:val="FFFFFF" w:themeColor="background1"/>
              </w:rPr>
            </w:pPr>
            <w:r w:rsidRPr="00866D96">
              <w:rPr>
                <w:b/>
                <w:bCs/>
                <w:color w:val="FFFFFF" w:themeColor="background1"/>
              </w:rPr>
              <w:t>Estimated costs</w:t>
            </w:r>
          </w:p>
        </w:tc>
      </w:tr>
      <w:tr w:rsidR="00046EA5" w:rsidRPr="006122EE" w14:paraId="5A8D18D2"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0D8EF" w14:textId="77777777" w:rsidR="00046EA5" w:rsidRPr="006122EE" w:rsidRDefault="00046EA5" w:rsidP="005A7401">
            <w:pPr>
              <w:jc w:val="left"/>
              <w:rPr>
                <w:bCs/>
              </w:rPr>
            </w:pPr>
            <w:r w:rsidRPr="006122EE">
              <w:rPr>
                <w:bCs/>
              </w:rPr>
              <w:t>Biomass supply intervention</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7ADF20B6" w14:textId="77777777" w:rsidR="00046EA5" w:rsidRPr="006122EE" w:rsidRDefault="00046EA5" w:rsidP="005A7401">
            <w:pPr>
              <w:jc w:val="left"/>
              <w:rPr>
                <w:bCs/>
              </w:rPr>
            </w:pPr>
            <w:r w:rsidRPr="006122EE">
              <w:rPr>
                <w:bCs/>
              </w:rPr>
              <w:t>Improve coordination between Department of Energy and Department of Forestry</w:t>
            </w:r>
          </w:p>
        </w:tc>
        <w:tc>
          <w:tcPr>
            <w:tcW w:w="703" w:type="pct"/>
            <w:tcBorders>
              <w:top w:val="single" w:sz="4" w:space="0" w:color="auto"/>
              <w:left w:val="nil"/>
              <w:bottom w:val="single" w:sz="4" w:space="0" w:color="auto"/>
              <w:right w:val="single" w:sz="4" w:space="0" w:color="auto"/>
            </w:tcBorders>
            <w:shd w:val="clear" w:color="auto" w:fill="auto"/>
            <w:vAlign w:val="center"/>
          </w:tcPr>
          <w:p w14:paraId="5CF6E8CA" w14:textId="77777777" w:rsidR="00046EA5" w:rsidRPr="006122EE" w:rsidRDefault="00046EA5" w:rsidP="005A7401">
            <w:pPr>
              <w:jc w:val="left"/>
              <w:rPr>
                <w:bCs/>
              </w:rPr>
            </w:pPr>
            <w:r w:rsidRPr="006122EE">
              <w:rPr>
                <w:bCs/>
              </w:rPr>
              <w:t>Short</w:t>
            </w:r>
          </w:p>
        </w:tc>
        <w:tc>
          <w:tcPr>
            <w:tcW w:w="515" w:type="pct"/>
            <w:tcBorders>
              <w:top w:val="single" w:sz="4" w:space="0" w:color="auto"/>
              <w:left w:val="nil"/>
              <w:bottom w:val="single" w:sz="4" w:space="0" w:color="auto"/>
              <w:right w:val="single" w:sz="4" w:space="0" w:color="auto"/>
            </w:tcBorders>
            <w:shd w:val="clear" w:color="auto" w:fill="auto"/>
            <w:vAlign w:val="center"/>
          </w:tcPr>
          <w:p w14:paraId="074D8532" w14:textId="77777777" w:rsidR="00046EA5" w:rsidRPr="006122EE" w:rsidRDefault="00046EA5" w:rsidP="005A7401">
            <w:pPr>
              <w:jc w:val="left"/>
              <w:rPr>
                <w:bCs/>
              </w:rPr>
            </w:pPr>
            <w:r w:rsidRPr="006122EE">
              <w:rPr>
                <w:bCs/>
              </w:rPr>
              <w:t>DOE</w:t>
            </w:r>
            <w:r w:rsidR="003D471C">
              <w:rPr>
                <w:bCs/>
              </w:rPr>
              <w:t>A</w:t>
            </w:r>
            <w:r w:rsidRPr="006122EE">
              <w:rPr>
                <w:bCs/>
              </w:rPr>
              <w:t xml:space="preserve"> and DOF</w:t>
            </w:r>
          </w:p>
        </w:tc>
        <w:tc>
          <w:tcPr>
            <w:tcW w:w="703" w:type="pct"/>
            <w:tcBorders>
              <w:top w:val="single" w:sz="4" w:space="0" w:color="auto"/>
              <w:left w:val="nil"/>
              <w:bottom w:val="single" w:sz="4" w:space="0" w:color="auto"/>
              <w:right w:val="single" w:sz="4" w:space="0" w:color="auto"/>
            </w:tcBorders>
            <w:shd w:val="clear" w:color="auto" w:fill="auto"/>
            <w:vAlign w:val="center"/>
          </w:tcPr>
          <w:p w14:paraId="43FB93A6" w14:textId="77777777" w:rsidR="00046EA5" w:rsidRPr="006122EE" w:rsidRDefault="00046EA5" w:rsidP="005A7401">
            <w:pPr>
              <w:jc w:val="left"/>
              <w:rPr>
                <w:bCs/>
              </w:rPr>
            </w:pPr>
            <w:r w:rsidRPr="006122EE">
              <w:rPr>
                <w:bCs/>
              </w:rPr>
              <w:t>MoNREM</w:t>
            </w:r>
          </w:p>
        </w:tc>
        <w:tc>
          <w:tcPr>
            <w:tcW w:w="870" w:type="pct"/>
            <w:tcBorders>
              <w:top w:val="single" w:sz="4" w:space="0" w:color="auto"/>
              <w:left w:val="nil"/>
              <w:bottom w:val="single" w:sz="4" w:space="0" w:color="auto"/>
              <w:right w:val="single" w:sz="4" w:space="0" w:color="auto"/>
            </w:tcBorders>
            <w:shd w:val="clear" w:color="auto" w:fill="auto"/>
            <w:vAlign w:val="center"/>
          </w:tcPr>
          <w:p w14:paraId="255C21E5" w14:textId="77777777" w:rsidR="00046EA5" w:rsidRPr="006122EE" w:rsidRDefault="00046EA5" w:rsidP="005A7401">
            <w:pPr>
              <w:jc w:val="left"/>
              <w:rPr>
                <w:bCs/>
              </w:rPr>
            </w:pPr>
            <w:r w:rsidRPr="006122EE">
              <w:rPr>
                <w:bCs/>
              </w:rPr>
              <w:t>n.a.</w:t>
            </w:r>
          </w:p>
        </w:tc>
      </w:tr>
      <w:tr w:rsidR="00046EA5" w:rsidRPr="006122EE" w14:paraId="2AB27D69"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E06D4" w14:textId="77777777" w:rsidR="00046EA5" w:rsidRPr="006122EE" w:rsidRDefault="00046EA5" w:rsidP="005A7401">
            <w:pPr>
              <w:jc w:val="left"/>
              <w:rPr>
                <w:bCs/>
              </w:rPr>
            </w:pPr>
            <w:r w:rsidRPr="006122EE">
              <w:rPr>
                <w:bCs/>
              </w:rPr>
              <w:t xml:space="preserve">Awareness campaign for efficient cook stoves and alternative cooking technologies </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958EB5A" w14:textId="77777777" w:rsidR="00046EA5" w:rsidRPr="006122EE" w:rsidRDefault="00046EA5" w:rsidP="005A7401">
            <w:pPr>
              <w:jc w:val="left"/>
              <w:rPr>
                <w:bCs/>
              </w:rPr>
            </w:pPr>
            <w:r w:rsidRPr="006122EE">
              <w:rPr>
                <w:bCs/>
              </w:rPr>
              <w:t>Work with private sector and other stakeholders to promote clean cooking technologies and provide financial incentives for private firms to increase supply of these technologies</w:t>
            </w:r>
          </w:p>
        </w:tc>
        <w:tc>
          <w:tcPr>
            <w:tcW w:w="703" w:type="pct"/>
            <w:tcBorders>
              <w:top w:val="single" w:sz="4" w:space="0" w:color="auto"/>
              <w:left w:val="nil"/>
              <w:bottom w:val="single" w:sz="4" w:space="0" w:color="auto"/>
              <w:right w:val="single" w:sz="4" w:space="0" w:color="auto"/>
            </w:tcBorders>
            <w:shd w:val="clear" w:color="auto" w:fill="auto"/>
            <w:vAlign w:val="center"/>
          </w:tcPr>
          <w:p w14:paraId="2349AABF" w14:textId="77777777" w:rsidR="00046EA5" w:rsidRPr="006122EE" w:rsidRDefault="00046EA5" w:rsidP="005A7401">
            <w:pPr>
              <w:jc w:val="left"/>
              <w:rPr>
                <w:bCs/>
              </w:rPr>
            </w:pPr>
            <w:r w:rsidRPr="006122EE">
              <w:rPr>
                <w:bCs/>
              </w:rPr>
              <w:t>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5C282D10"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0C55AA30" w14:textId="77777777" w:rsidR="00046EA5" w:rsidRPr="006122EE" w:rsidRDefault="00046EA5" w:rsidP="005A7401">
            <w:pPr>
              <w:jc w:val="left"/>
              <w:rPr>
                <w:bCs/>
              </w:rPr>
            </w:pPr>
            <w:r w:rsidRPr="006122EE">
              <w:rPr>
                <w:bCs/>
              </w:rPr>
              <w:t>Ministry of Finance, Malawi Revenue Authority, Malawi Trade Investment Centre, private firms, NGOs</w:t>
            </w:r>
          </w:p>
        </w:tc>
        <w:tc>
          <w:tcPr>
            <w:tcW w:w="870" w:type="pct"/>
            <w:tcBorders>
              <w:top w:val="single" w:sz="4" w:space="0" w:color="auto"/>
              <w:left w:val="nil"/>
              <w:bottom w:val="single" w:sz="4" w:space="0" w:color="auto"/>
              <w:right w:val="single" w:sz="4" w:space="0" w:color="auto"/>
            </w:tcBorders>
            <w:shd w:val="clear" w:color="auto" w:fill="auto"/>
            <w:vAlign w:val="center"/>
          </w:tcPr>
          <w:p w14:paraId="4D6EB214" w14:textId="77777777" w:rsidR="00046EA5" w:rsidRPr="006122EE" w:rsidRDefault="00046EA5" w:rsidP="005A7401">
            <w:pPr>
              <w:jc w:val="left"/>
              <w:rPr>
                <w:bCs/>
              </w:rPr>
            </w:pPr>
            <w:r w:rsidRPr="006122EE">
              <w:rPr>
                <w:bCs/>
              </w:rPr>
              <w:t>Awareness campaign $250,000/year; Financial incentives for private firms $2-3 million/year</w:t>
            </w:r>
          </w:p>
        </w:tc>
      </w:tr>
      <w:tr w:rsidR="00046EA5" w:rsidRPr="006122EE" w14:paraId="77295781"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1FE50" w14:textId="77777777" w:rsidR="00046EA5" w:rsidRPr="006122EE" w:rsidRDefault="00046EA5" w:rsidP="005A7401">
            <w:pPr>
              <w:jc w:val="left"/>
              <w:rPr>
                <w:bCs/>
              </w:rPr>
            </w:pPr>
            <w:r w:rsidRPr="006122EE">
              <w:rPr>
                <w:bCs/>
              </w:rPr>
              <w:t>Support implementation of efficient biomass cook stove initiatives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4205FC62" w14:textId="77777777" w:rsidR="00046EA5" w:rsidRPr="006122EE" w:rsidRDefault="00046EA5" w:rsidP="005A7401">
            <w:pPr>
              <w:jc w:val="left"/>
              <w:rPr>
                <w:bCs/>
              </w:rPr>
            </w:pPr>
            <w:r w:rsidRPr="006122EE">
              <w:rPr>
                <w:bCs/>
              </w:rPr>
              <w:t>Provide support to NGOs implementing cook stove projects; Pursue implementation of Cook Stove Road Map</w:t>
            </w:r>
          </w:p>
        </w:tc>
        <w:tc>
          <w:tcPr>
            <w:tcW w:w="703" w:type="pct"/>
            <w:tcBorders>
              <w:top w:val="single" w:sz="4" w:space="0" w:color="auto"/>
              <w:left w:val="nil"/>
              <w:bottom w:val="single" w:sz="4" w:space="0" w:color="auto"/>
              <w:right w:val="single" w:sz="4" w:space="0" w:color="auto"/>
            </w:tcBorders>
            <w:shd w:val="clear" w:color="auto" w:fill="auto"/>
            <w:vAlign w:val="center"/>
          </w:tcPr>
          <w:p w14:paraId="7AB013B7" w14:textId="77777777" w:rsidR="00046EA5" w:rsidRPr="006122EE" w:rsidRDefault="00046EA5" w:rsidP="005A7401">
            <w:pPr>
              <w:jc w:val="left"/>
              <w:rPr>
                <w:bCs/>
              </w:rPr>
            </w:pPr>
            <w:r w:rsidRPr="006122EE">
              <w:rPr>
                <w:bCs/>
              </w:rPr>
              <w:t>Short to 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4FF144B2"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75E54C2F" w14:textId="77777777" w:rsidR="00046EA5" w:rsidRPr="006122EE" w:rsidRDefault="00046EA5" w:rsidP="005A7401">
            <w:pPr>
              <w:jc w:val="left"/>
              <w:rPr>
                <w:bCs/>
              </w:rPr>
            </w:pPr>
            <w:r w:rsidRPr="006122EE">
              <w:rPr>
                <w:bCs/>
              </w:rPr>
              <w:t>NGOs</w:t>
            </w:r>
          </w:p>
        </w:tc>
        <w:tc>
          <w:tcPr>
            <w:tcW w:w="870" w:type="pct"/>
            <w:tcBorders>
              <w:top w:val="single" w:sz="4" w:space="0" w:color="auto"/>
              <w:left w:val="nil"/>
              <w:bottom w:val="single" w:sz="4" w:space="0" w:color="auto"/>
              <w:right w:val="single" w:sz="4" w:space="0" w:color="auto"/>
            </w:tcBorders>
            <w:shd w:val="clear" w:color="auto" w:fill="auto"/>
            <w:vAlign w:val="center"/>
          </w:tcPr>
          <w:p w14:paraId="78A89A03" w14:textId="77777777" w:rsidR="00046EA5" w:rsidRPr="006122EE" w:rsidRDefault="00046EA5" w:rsidP="005A7401">
            <w:pPr>
              <w:jc w:val="left"/>
              <w:rPr>
                <w:bCs/>
              </w:rPr>
            </w:pPr>
            <w:r w:rsidRPr="006122EE">
              <w:rPr>
                <w:bCs/>
              </w:rPr>
              <w:t>Budget to be determined</w:t>
            </w:r>
          </w:p>
        </w:tc>
      </w:tr>
      <w:tr w:rsidR="00046EA5" w:rsidRPr="006122EE" w14:paraId="5BFFE2BD"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ED7CB" w14:textId="77777777" w:rsidR="00046EA5" w:rsidRPr="006122EE" w:rsidRDefault="00046EA5" w:rsidP="005A7401">
            <w:pPr>
              <w:jc w:val="left"/>
              <w:rPr>
                <w:bCs/>
              </w:rPr>
            </w:pPr>
            <w:r w:rsidRPr="006122EE">
              <w:rPr>
                <w:bCs/>
              </w:rPr>
              <w:t>Monitor and ensure implementation of clean cook stove initiatives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C7937D3" w14:textId="77777777" w:rsidR="00046EA5" w:rsidRPr="006122EE" w:rsidRDefault="00046EA5" w:rsidP="005A7401">
            <w:pPr>
              <w:jc w:val="left"/>
              <w:rPr>
                <w:bCs/>
              </w:rPr>
            </w:pPr>
            <w:r w:rsidRPr="006122EE">
              <w:rPr>
                <w:bCs/>
              </w:rPr>
              <w:t>Implement BEST and monitor its impact. Arrange for independent evaluation of the Cook Stoves Road Map Programme</w:t>
            </w:r>
            <w:r w:rsidR="00B70C84">
              <w:rPr>
                <w:bCs/>
              </w:rPr>
              <w:t>, including household surveys pursuant to the World Bank’s Global Tracking Framework.</w:t>
            </w:r>
          </w:p>
        </w:tc>
        <w:tc>
          <w:tcPr>
            <w:tcW w:w="703" w:type="pct"/>
            <w:tcBorders>
              <w:top w:val="single" w:sz="4" w:space="0" w:color="auto"/>
              <w:left w:val="nil"/>
              <w:bottom w:val="single" w:sz="4" w:space="0" w:color="auto"/>
              <w:right w:val="single" w:sz="4" w:space="0" w:color="auto"/>
            </w:tcBorders>
            <w:shd w:val="clear" w:color="auto" w:fill="auto"/>
            <w:vAlign w:val="center"/>
          </w:tcPr>
          <w:p w14:paraId="115F7285" w14:textId="77777777" w:rsidR="00046EA5" w:rsidRPr="006122EE" w:rsidRDefault="00046EA5" w:rsidP="005A7401">
            <w:pPr>
              <w:jc w:val="left"/>
              <w:rPr>
                <w:bCs/>
              </w:rPr>
            </w:pPr>
            <w:r w:rsidRPr="006122EE">
              <w:rPr>
                <w:bCs/>
              </w:rPr>
              <w:t>Short to 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15B91C21"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7978E039" w14:textId="77777777" w:rsidR="00046EA5" w:rsidRPr="006122EE" w:rsidRDefault="00046EA5" w:rsidP="005A7401">
            <w:pPr>
              <w:jc w:val="left"/>
              <w:rPr>
                <w:bCs/>
              </w:rPr>
            </w:pPr>
            <w:r w:rsidRPr="006122EE">
              <w:rPr>
                <w:bCs/>
              </w:rPr>
              <w:t>NGOs, Development partners</w:t>
            </w:r>
          </w:p>
        </w:tc>
        <w:tc>
          <w:tcPr>
            <w:tcW w:w="870" w:type="pct"/>
            <w:tcBorders>
              <w:top w:val="single" w:sz="4" w:space="0" w:color="auto"/>
              <w:left w:val="nil"/>
              <w:bottom w:val="single" w:sz="4" w:space="0" w:color="auto"/>
              <w:right w:val="single" w:sz="4" w:space="0" w:color="auto"/>
            </w:tcBorders>
            <w:shd w:val="clear" w:color="auto" w:fill="auto"/>
            <w:vAlign w:val="center"/>
          </w:tcPr>
          <w:p w14:paraId="2D3EDA6D" w14:textId="77777777" w:rsidR="00046EA5" w:rsidRDefault="00B70C84" w:rsidP="005A7401">
            <w:pPr>
              <w:jc w:val="left"/>
              <w:rPr>
                <w:bCs/>
              </w:rPr>
            </w:pPr>
            <w:r>
              <w:rPr>
                <w:bCs/>
              </w:rPr>
              <w:t>$</w:t>
            </w:r>
            <w:r w:rsidR="00046EA5" w:rsidRPr="006122EE">
              <w:rPr>
                <w:bCs/>
              </w:rPr>
              <w:t>50,000/year for monitoring and evaluation</w:t>
            </w:r>
          </w:p>
          <w:p w14:paraId="5F4E5AD7" w14:textId="77777777" w:rsidR="00B70C84" w:rsidRPr="006122EE" w:rsidRDefault="00B70C84" w:rsidP="005A7401">
            <w:pPr>
              <w:jc w:val="left"/>
              <w:rPr>
                <w:bCs/>
              </w:rPr>
            </w:pPr>
            <w:r>
              <w:rPr>
                <w:bCs/>
              </w:rPr>
              <w:t>Mid-term evaluation: $80,000</w:t>
            </w:r>
          </w:p>
        </w:tc>
      </w:tr>
      <w:tr w:rsidR="00046EA5" w:rsidRPr="006122EE" w14:paraId="0511BBE8"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A5770" w14:textId="77777777" w:rsidR="00046EA5" w:rsidRPr="006122EE" w:rsidRDefault="00046EA5" w:rsidP="005A7401">
            <w:pPr>
              <w:jc w:val="left"/>
              <w:rPr>
                <w:bCs/>
              </w:rPr>
            </w:pPr>
            <w:r w:rsidRPr="006122EE">
              <w:rPr>
                <w:bCs/>
              </w:rPr>
              <w:t>LPG expansion</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5BE910F1" w14:textId="77777777" w:rsidR="00046EA5" w:rsidRPr="006122EE" w:rsidRDefault="00046EA5" w:rsidP="005A7401">
            <w:pPr>
              <w:jc w:val="left"/>
              <w:rPr>
                <w:bCs/>
              </w:rPr>
            </w:pPr>
            <w:r w:rsidRPr="006122EE">
              <w:rPr>
                <w:bCs/>
              </w:rPr>
              <w:t>Roll out a campaign to greatly increase LPG use for cooking, addressing legal, financial, safety and ownership issues</w:t>
            </w:r>
          </w:p>
        </w:tc>
        <w:tc>
          <w:tcPr>
            <w:tcW w:w="703" w:type="pct"/>
            <w:tcBorders>
              <w:top w:val="single" w:sz="4" w:space="0" w:color="auto"/>
              <w:left w:val="nil"/>
              <w:bottom w:val="single" w:sz="4" w:space="0" w:color="auto"/>
              <w:right w:val="single" w:sz="4" w:space="0" w:color="auto"/>
            </w:tcBorders>
            <w:shd w:val="clear" w:color="auto" w:fill="auto"/>
            <w:vAlign w:val="center"/>
          </w:tcPr>
          <w:p w14:paraId="173BE2AB" w14:textId="77777777" w:rsidR="00046EA5" w:rsidRPr="006122EE" w:rsidRDefault="00046EA5" w:rsidP="005A7401">
            <w:pPr>
              <w:jc w:val="left"/>
              <w:rPr>
                <w:bCs/>
              </w:rPr>
            </w:pPr>
            <w:r w:rsidRPr="006122EE">
              <w:rPr>
                <w:bCs/>
              </w:rPr>
              <w:t>Medium to Long</w:t>
            </w:r>
          </w:p>
        </w:tc>
        <w:tc>
          <w:tcPr>
            <w:tcW w:w="515" w:type="pct"/>
            <w:tcBorders>
              <w:top w:val="single" w:sz="4" w:space="0" w:color="auto"/>
              <w:left w:val="nil"/>
              <w:bottom w:val="single" w:sz="4" w:space="0" w:color="auto"/>
              <w:right w:val="single" w:sz="4" w:space="0" w:color="auto"/>
            </w:tcBorders>
            <w:shd w:val="clear" w:color="auto" w:fill="auto"/>
            <w:vAlign w:val="center"/>
          </w:tcPr>
          <w:p w14:paraId="6F7380ED" w14:textId="77777777" w:rsidR="00046EA5" w:rsidRPr="006122EE" w:rsidRDefault="00046EA5" w:rsidP="005A7401">
            <w:pPr>
              <w:jc w:val="left"/>
              <w:rPr>
                <w:bCs/>
              </w:rPr>
            </w:pPr>
            <w:r w:rsidRPr="006122EE">
              <w:rPr>
                <w:bCs/>
              </w:rPr>
              <w:t>DOE</w:t>
            </w:r>
            <w:r w:rsidR="003D471C">
              <w:rPr>
                <w:bCs/>
              </w:rPr>
              <w:t>A</w:t>
            </w:r>
            <w:r w:rsidRPr="006122EE">
              <w:rPr>
                <w:bCs/>
              </w:rPr>
              <w:t xml:space="preserve"> </w:t>
            </w:r>
          </w:p>
        </w:tc>
        <w:tc>
          <w:tcPr>
            <w:tcW w:w="703" w:type="pct"/>
            <w:tcBorders>
              <w:top w:val="single" w:sz="4" w:space="0" w:color="auto"/>
              <w:left w:val="nil"/>
              <w:bottom w:val="single" w:sz="4" w:space="0" w:color="auto"/>
              <w:right w:val="single" w:sz="4" w:space="0" w:color="auto"/>
            </w:tcBorders>
            <w:shd w:val="clear" w:color="auto" w:fill="auto"/>
            <w:vAlign w:val="center"/>
          </w:tcPr>
          <w:p w14:paraId="3D25F6E3" w14:textId="77777777" w:rsidR="00046EA5" w:rsidRPr="006122EE" w:rsidRDefault="00046EA5" w:rsidP="005A7401">
            <w:pPr>
              <w:jc w:val="left"/>
              <w:rPr>
                <w:bCs/>
              </w:rPr>
            </w:pPr>
            <w:r w:rsidRPr="006122EE">
              <w:rPr>
                <w:bCs/>
              </w:rPr>
              <w:t>Ministry of Finance, Malawi Bureau of Standards, oil companies, private companies, local governments, Small and Medium Enterprise Development Institute</w:t>
            </w:r>
          </w:p>
        </w:tc>
        <w:tc>
          <w:tcPr>
            <w:tcW w:w="870" w:type="pct"/>
            <w:tcBorders>
              <w:top w:val="single" w:sz="4" w:space="0" w:color="auto"/>
              <w:left w:val="nil"/>
              <w:bottom w:val="single" w:sz="4" w:space="0" w:color="auto"/>
              <w:right w:val="single" w:sz="4" w:space="0" w:color="auto"/>
            </w:tcBorders>
            <w:shd w:val="clear" w:color="auto" w:fill="auto"/>
            <w:vAlign w:val="center"/>
          </w:tcPr>
          <w:p w14:paraId="747D46CA" w14:textId="77777777" w:rsidR="00046EA5" w:rsidRPr="006122EE" w:rsidRDefault="00046EA5" w:rsidP="005A7401">
            <w:pPr>
              <w:jc w:val="left"/>
              <w:rPr>
                <w:bCs/>
              </w:rPr>
            </w:pPr>
            <w:r w:rsidRPr="006122EE">
              <w:rPr>
                <w:bCs/>
              </w:rPr>
              <w:t>Preparing the LPG roll-out plan $400,000; incentives for businesses $1.2 million over 2-3 years; public awareness campaign $175,00/year</w:t>
            </w:r>
          </w:p>
        </w:tc>
      </w:tr>
      <w:tr w:rsidR="00046EA5" w:rsidRPr="006122EE" w14:paraId="0DC4AD7D"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264F6" w14:textId="77777777" w:rsidR="00046EA5" w:rsidRPr="006122EE" w:rsidRDefault="00046EA5" w:rsidP="005A7401">
            <w:pPr>
              <w:jc w:val="left"/>
              <w:rPr>
                <w:bCs/>
              </w:rPr>
            </w:pPr>
            <w:r w:rsidRPr="006122EE">
              <w:rPr>
                <w:bCs/>
              </w:rPr>
              <w:t>Promotion of biogas plants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1DC7F541" w14:textId="77777777" w:rsidR="00046EA5" w:rsidRPr="006122EE" w:rsidRDefault="00046EA5" w:rsidP="005A7401">
            <w:pPr>
              <w:jc w:val="left"/>
              <w:rPr>
                <w:bCs/>
              </w:rPr>
            </w:pPr>
            <w:r w:rsidRPr="006122EE">
              <w:rPr>
                <w:bCs/>
              </w:rPr>
              <w:t>Increase the use of biogas plants at institutions such as schools; undertake pilot projects</w:t>
            </w:r>
          </w:p>
        </w:tc>
        <w:tc>
          <w:tcPr>
            <w:tcW w:w="703" w:type="pct"/>
            <w:tcBorders>
              <w:top w:val="single" w:sz="4" w:space="0" w:color="auto"/>
              <w:left w:val="nil"/>
              <w:bottom w:val="single" w:sz="4" w:space="0" w:color="auto"/>
              <w:right w:val="single" w:sz="4" w:space="0" w:color="auto"/>
            </w:tcBorders>
            <w:shd w:val="clear" w:color="auto" w:fill="auto"/>
            <w:vAlign w:val="center"/>
          </w:tcPr>
          <w:p w14:paraId="1B1887D2" w14:textId="77777777" w:rsidR="00046EA5" w:rsidRPr="006122EE" w:rsidRDefault="00046EA5" w:rsidP="005A7401">
            <w:pPr>
              <w:jc w:val="left"/>
              <w:rPr>
                <w:bCs/>
              </w:rPr>
            </w:pPr>
            <w:r w:rsidRPr="006122EE">
              <w:rPr>
                <w:bCs/>
              </w:rPr>
              <w:t>Short to 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171F4887"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262E103A" w14:textId="77777777" w:rsidR="00046EA5" w:rsidRPr="006122EE" w:rsidRDefault="00046EA5" w:rsidP="005A7401">
            <w:pPr>
              <w:jc w:val="left"/>
              <w:rPr>
                <w:bCs/>
              </w:rPr>
            </w:pPr>
            <w:r w:rsidRPr="006122EE">
              <w:rPr>
                <w:bCs/>
              </w:rPr>
              <w:t>Schools, hospitals, clinics, biogas plant manufacturers</w:t>
            </w:r>
          </w:p>
        </w:tc>
        <w:tc>
          <w:tcPr>
            <w:tcW w:w="870" w:type="pct"/>
            <w:tcBorders>
              <w:top w:val="single" w:sz="4" w:space="0" w:color="auto"/>
              <w:left w:val="nil"/>
              <w:bottom w:val="single" w:sz="4" w:space="0" w:color="auto"/>
              <w:right w:val="single" w:sz="4" w:space="0" w:color="auto"/>
            </w:tcBorders>
            <w:shd w:val="clear" w:color="auto" w:fill="auto"/>
            <w:vAlign w:val="center"/>
          </w:tcPr>
          <w:p w14:paraId="503148DA" w14:textId="77777777" w:rsidR="00046EA5" w:rsidRPr="006122EE" w:rsidRDefault="00046EA5" w:rsidP="005A7401">
            <w:pPr>
              <w:jc w:val="left"/>
              <w:rPr>
                <w:bCs/>
              </w:rPr>
            </w:pPr>
            <w:r w:rsidRPr="006122EE">
              <w:rPr>
                <w:bCs/>
              </w:rPr>
              <w:t>Pilot projects $750,000</w:t>
            </w:r>
          </w:p>
        </w:tc>
      </w:tr>
      <w:tr w:rsidR="00046EA5" w:rsidRPr="006122EE" w14:paraId="645633AE"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0432A" w14:textId="77777777" w:rsidR="00046EA5" w:rsidRPr="006122EE" w:rsidRDefault="00046EA5" w:rsidP="005A7401">
            <w:pPr>
              <w:jc w:val="left"/>
              <w:rPr>
                <w:bCs/>
              </w:rPr>
            </w:pPr>
            <w:r w:rsidRPr="006122EE">
              <w:rPr>
                <w:bCs/>
              </w:rPr>
              <w:t>Innovation at MAREP</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55D8949" w14:textId="77777777" w:rsidR="00046EA5" w:rsidRPr="006122EE" w:rsidRDefault="00046EA5" w:rsidP="005A7401">
            <w:pPr>
              <w:jc w:val="left"/>
              <w:rPr>
                <w:bCs/>
              </w:rPr>
            </w:pPr>
            <w:r w:rsidRPr="006122EE">
              <w:rPr>
                <w:bCs/>
              </w:rPr>
              <w:t>Connect households in close proximity to distribution lines, monitor trading centre connections, revive maintain the dysfunctional mini-grids</w:t>
            </w:r>
          </w:p>
        </w:tc>
        <w:tc>
          <w:tcPr>
            <w:tcW w:w="703" w:type="pct"/>
            <w:tcBorders>
              <w:top w:val="single" w:sz="4" w:space="0" w:color="auto"/>
              <w:left w:val="nil"/>
              <w:bottom w:val="single" w:sz="4" w:space="0" w:color="auto"/>
              <w:right w:val="single" w:sz="4" w:space="0" w:color="auto"/>
            </w:tcBorders>
            <w:shd w:val="clear" w:color="auto" w:fill="auto"/>
            <w:vAlign w:val="center"/>
          </w:tcPr>
          <w:p w14:paraId="606885FE" w14:textId="77777777" w:rsidR="00046EA5" w:rsidRPr="006122EE" w:rsidRDefault="00046EA5" w:rsidP="005A7401">
            <w:pPr>
              <w:jc w:val="left"/>
              <w:rPr>
                <w:bCs/>
              </w:rPr>
            </w:pPr>
            <w:r w:rsidRPr="006122EE">
              <w:rPr>
                <w:bCs/>
              </w:rPr>
              <w:t>Short, medium, long</w:t>
            </w:r>
          </w:p>
        </w:tc>
        <w:tc>
          <w:tcPr>
            <w:tcW w:w="515" w:type="pct"/>
            <w:tcBorders>
              <w:top w:val="single" w:sz="4" w:space="0" w:color="auto"/>
              <w:left w:val="nil"/>
              <w:bottom w:val="single" w:sz="4" w:space="0" w:color="auto"/>
              <w:right w:val="single" w:sz="4" w:space="0" w:color="auto"/>
            </w:tcBorders>
            <w:shd w:val="clear" w:color="auto" w:fill="auto"/>
            <w:vAlign w:val="center"/>
          </w:tcPr>
          <w:p w14:paraId="24E93E43"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230653C7" w14:textId="77777777" w:rsidR="00046EA5" w:rsidRPr="006122EE" w:rsidRDefault="00046EA5" w:rsidP="005A7401">
            <w:pPr>
              <w:jc w:val="left"/>
              <w:rPr>
                <w:bCs/>
              </w:rPr>
            </w:pPr>
            <w:r w:rsidRPr="006122EE">
              <w:rPr>
                <w:bCs/>
              </w:rPr>
              <w:t>MAREP</w:t>
            </w:r>
          </w:p>
        </w:tc>
        <w:tc>
          <w:tcPr>
            <w:tcW w:w="870" w:type="pct"/>
            <w:tcBorders>
              <w:top w:val="single" w:sz="4" w:space="0" w:color="auto"/>
              <w:left w:val="nil"/>
              <w:bottom w:val="single" w:sz="4" w:space="0" w:color="auto"/>
              <w:right w:val="single" w:sz="4" w:space="0" w:color="auto"/>
            </w:tcBorders>
            <w:shd w:val="clear" w:color="auto" w:fill="auto"/>
            <w:vAlign w:val="center"/>
          </w:tcPr>
          <w:p w14:paraId="44C8BF0D" w14:textId="77777777" w:rsidR="00046EA5" w:rsidRPr="006122EE" w:rsidRDefault="00046EA5" w:rsidP="005A7401">
            <w:pPr>
              <w:jc w:val="left"/>
              <w:rPr>
                <w:bCs/>
              </w:rPr>
            </w:pPr>
            <w:r w:rsidRPr="006122EE">
              <w:rPr>
                <w:bCs/>
              </w:rPr>
              <w:t>Budgets to be determined</w:t>
            </w:r>
          </w:p>
        </w:tc>
      </w:tr>
      <w:tr w:rsidR="00046EA5" w:rsidRPr="006122EE" w14:paraId="260DAAFE"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991DF" w14:textId="77777777" w:rsidR="00046EA5" w:rsidRPr="006122EE" w:rsidRDefault="00046EA5" w:rsidP="005A7401">
            <w:pPr>
              <w:jc w:val="left"/>
              <w:rPr>
                <w:bCs/>
              </w:rPr>
            </w:pPr>
            <w:r w:rsidRPr="006122EE">
              <w:rPr>
                <w:bCs/>
              </w:rPr>
              <w:t>Subsidies for solar home systems and mini-grids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C2DF4EC" w14:textId="77777777" w:rsidR="00046EA5" w:rsidRPr="006122EE" w:rsidRDefault="00046EA5" w:rsidP="005A7401">
            <w:pPr>
              <w:jc w:val="left"/>
              <w:rPr>
                <w:bCs/>
              </w:rPr>
            </w:pPr>
            <w:r w:rsidRPr="006122EE">
              <w:rPr>
                <w:bCs/>
              </w:rPr>
              <w:t>Appraise subsidy options e.g., tax credits, interest rate subsidies, reduced fees, etc.) and provide them to providers and/or consumers.</w:t>
            </w:r>
          </w:p>
        </w:tc>
        <w:tc>
          <w:tcPr>
            <w:tcW w:w="703" w:type="pct"/>
            <w:tcBorders>
              <w:top w:val="single" w:sz="4" w:space="0" w:color="auto"/>
              <w:left w:val="nil"/>
              <w:bottom w:val="single" w:sz="4" w:space="0" w:color="auto"/>
              <w:right w:val="single" w:sz="4" w:space="0" w:color="auto"/>
            </w:tcBorders>
            <w:shd w:val="clear" w:color="auto" w:fill="auto"/>
            <w:vAlign w:val="center"/>
          </w:tcPr>
          <w:p w14:paraId="4A19E491" w14:textId="77777777" w:rsidR="00046EA5" w:rsidRPr="006122EE" w:rsidRDefault="00046EA5" w:rsidP="005A7401">
            <w:pPr>
              <w:jc w:val="left"/>
              <w:rPr>
                <w:bCs/>
              </w:rPr>
            </w:pPr>
            <w:r w:rsidRPr="006122EE">
              <w:rPr>
                <w:bCs/>
              </w:rPr>
              <w:t>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5E62588E"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7DEC1D2B" w14:textId="77777777" w:rsidR="00046EA5" w:rsidRPr="006122EE" w:rsidRDefault="00046EA5" w:rsidP="005A7401">
            <w:pPr>
              <w:jc w:val="left"/>
              <w:rPr>
                <w:bCs/>
              </w:rPr>
            </w:pPr>
            <w:r w:rsidRPr="006122EE">
              <w:rPr>
                <w:bCs/>
              </w:rPr>
              <w:t>Ministry of Finance, solar companies, ESCOM,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vAlign w:val="center"/>
          </w:tcPr>
          <w:p w14:paraId="6627F5CD" w14:textId="77777777" w:rsidR="00046EA5" w:rsidRPr="006122EE" w:rsidRDefault="00046EA5" w:rsidP="005A7401">
            <w:pPr>
              <w:jc w:val="left"/>
              <w:rPr>
                <w:bCs/>
              </w:rPr>
            </w:pPr>
            <w:r w:rsidRPr="006122EE">
              <w:rPr>
                <w:bCs/>
              </w:rPr>
              <w:t>Appraisal $100,000; Cost of subsidies to be determined</w:t>
            </w:r>
          </w:p>
        </w:tc>
      </w:tr>
      <w:tr w:rsidR="00046EA5" w:rsidRPr="006122EE" w14:paraId="4F7D3E0A"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58CDD" w14:textId="77777777" w:rsidR="00046EA5" w:rsidRPr="006122EE" w:rsidRDefault="00046EA5" w:rsidP="005A7401">
            <w:pPr>
              <w:jc w:val="left"/>
              <w:rPr>
                <w:bCs/>
              </w:rPr>
            </w:pPr>
            <w:r w:rsidRPr="006122EE">
              <w:rPr>
                <w:bCs/>
              </w:rPr>
              <w:t>Financing and regulation of mini-grids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53D9FC23" w14:textId="77777777" w:rsidR="00046EA5" w:rsidRPr="006122EE" w:rsidRDefault="00046EA5" w:rsidP="005A7401">
            <w:pPr>
              <w:jc w:val="left"/>
              <w:rPr>
                <w:bCs/>
              </w:rPr>
            </w:pPr>
            <w:r w:rsidRPr="006122EE">
              <w:rPr>
                <w:bCs/>
              </w:rPr>
              <w:t>Identify subsidy mechanism to support mini-grids; Establish rules on safety, performance, operating practices</w:t>
            </w:r>
          </w:p>
        </w:tc>
        <w:tc>
          <w:tcPr>
            <w:tcW w:w="703" w:type="pct"/>
            <w:tcBorders>
              <w:top w:val="single" w:sz="4" w:space="0" w:color="auto"/>
              <w:left w:val="nil"/>
              <w:bottom w:val="single" w:sz="4" w:space="0" w:color="auto"/>
              <w:right w:val="single" w:sz="4" w:space="0" w:color="auto"/>
            </w:tcBorders>
            <w:shd w:val="clear" w:color="auto" w:fill="auto"/>
            <w:vAlign w:val="center"/>
          </w:tcPr>
          <w:p w14:paraId="6CAA9C4F" w14:textId="77777777" w:rsidR="00046EA5" w:rsidRPr="006122EE" w:rsidRDefault="00046EA5" w:rsidP="005A7401">
            <w:pPr>
              <w:jc w:val="left"/>
              <w:rPr>
                <w:bCs/>
              </w:rPr>
            </w:pPr>
            <w:r w:rsidRPr="006122EE">
              <w:rPr>
                <w:bCs/>
              </w:rPr>
              <w:t>Short to 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683B7B7B"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4CFD1665" w14:textId="77777777" w:rsidR="00046EA5" w:rsidRPr="006122EE" w:rsidRDefault="00046EA5" w:rsidP="005A7401">
            <w:pPr>
              <w:jc w:val="left"/>
              <w:rPr>
                <w:bCs/>
              </w:rPr>
            </w:pPr>
            <w:r w:rsidRPr="006122EE">
              <w:rPr>
                <w:bCs/>
              </w:rPr>
              <w:t>MERA,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vAlign w:val="center"/>
          </w:tcPr>
          <w:p w14:paraId="2450EC12" w14:textId="77777777" w:rsidR="00046EA5" w:rsidRPr="006122EE" w:rsidRDefault="00046EA5" w:rsidP="005A7401">
            <w:pPr>
              <w:jc w:val="left"/>
              <w:rPr>
                <w:bCs/>
              </w:rPr>
            </w:pPr>
            <w:r w:rsidRPr="006122EE">
              <w:rPr>
                <w:bCs/>
              </w:rPr>
              <w:t>Develop regulatory structure $250,000</w:t>
            </w:r>
          </w:p>
        </w:tc>
      </w:tr>
      <w:tr w:rsidR="00046EA5" w:rsidRPr="006122EE" w14:paraId="4B99D4F9"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D4C3" w14:textId="77777777" w:rsidR="00046EA5" w:rsidRPr="006122EE" w:rsidRDefault="00046EA5" w:rsidP="005A7401">
            <w:pPr>
              <w:jc w:val="left"/>
              <w:rPr>
                <w:bCs/>
              </w:rPr>
            </w:pPr>
            <w:r w:rsidRPr="006122EE">
              <w:rPr>
                <w:bCs/>
              </w:rPr>
              <w:t>Financing household scale electricity technologies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10BE920" w14:textId="77777777" w:rsidR="00046EA5" w:rsidRPr="006122EE" w:rsidRDefault="00046EA5" w:rsidP="005A7401">
            <w:pPr>
              <w:jc w:val="left"/>
              <w:rPr>
                <w:bCs/>
              </w:rPr>
            </w:pPr>
            <w:r w:rsidRPr="006122EE">
              <w:rPr>
                <w:bCs/>
              </w:rPr>
              <w:t>Appraise financing and subsidy needs to support solar home systems and other household scale technologies, including appraisal of how the Guarantee Fund could be used; Resuscitate the Guarantee Fund</w:t>
            </w:r>
          </w:p>
        </w:tc>
        <w:tc>
          <w:tcPr>
            <w:tcW w:w="703" w:type="pct"/>
            <w:tcBorders>
              <w:top w:val="single" w:sz="4" w:space="0" w:color="auto"/>
              <w:left w:val="nil"/>
              <w:bottom w:val="single" w:sz="4" w:space="0" w:color="auto"/>
              <w:right w:val="single" w:sz="4" w:space="0" w:color="auto"/>
            </w:tcBorders>
            <w:shd w:val="clear" w:color="auto" w:fill="auto"/>
            <w:vAlign w:val="center"/>
          </w:tcPr>
          <w:p w14:paraId="30FB3184" w14:textId="77777777" w:rsidR="00046EA5" w:rsidRPr="006122EE" w:rsidRDefault="00046EA5" w:rsidP="005A7401">
            <w:pPr>
              <w:jc w:val="left"/>
              <w:rPr>
                <w:bCs/>
              </w:rPr>
            </w:pPr>
            <w:r w:rsidRPr="006122EE">
              <w:rPr>
                <w:bCs/>
              </w:rPr>
              <w:t>Short, medium, long</w:t>
            </w:r>
          </w:p>
        </w:tc>
        <w:tc>
          <w:tcPr>
            <w:tcW w:w="515" w:type="pct"/>
            <w:tcBorders>
              <w:top w:val="single" w:sz="4" w:space="0" w:color="auto"/>
              <w:left w:val="nil"/>
              <w:bottom w:val="single" w:sz="4" w:space="0" w:color="auto"/>
              <w:right w:val="single" w:sz="4" w:space="0" w:color="auto"/>
            </w:tcBorders>
            <w:shd w:val="clear" w:color="auto" w:fill="auto"/>
            <w:vAlign w:val="center"/>
          </w:tcPr>
          <w:p w14:paraId="2FA753F8"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414D21B8" w14:textId="77777777" w:rsidR="00046EA5" w:rsidRPr="006122EE" w:rsidRDefault="00046EA5" w:rsidP="005A7401">
            <w:pPr>
              <w:jc w:val="left"/>
              <w:rPr>
                <w:bCs/>
              </w:rPr>
            </w:pPr>
            <w:r w:rsidRPr="006122EE">
              <w:rPr>
                <w:bCs/>
              </w:rPr>
              <w:t>NGOs, manufacturers, importers, installers,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vAlign w:val="center"/>
          </w:tcPr>
          <w:p w14:paraId="47135467" w14:textId="77777777" w:rsidR="00046EA5" w:rsidRPr="006122EE" w:rsidRDefault="00046EA5" w:rsidP="005A7401">
            <w:pPr>
              <w:jc w:val="left"/>
              <w:rPr>
                <w:bCs/>
              </w:rPr>
            </w:pPr>
            <w:r w:rsidRPr="006122EE">
              <w:rPr>
                <w:bCs/>
              </w:rPr>
              <w:t>Appraisal $100,000</w:t>
            </w:r>
          </w:p>
        </w:tc>
      </w:tr>
      <w:tr w:rsidR="00046EA5" w:rsidRPr="006122EE" w14:paraId="6A33F4E6"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C4153" w14:textId="77777777" w:rsidR="00046EA5" w:rsidRPr="006122EE" w:rsidRDefault="00046EA5" w:rsidP="005A7401">
            <w:pPr>
              <w:jc w:val="left"/>
              <w:rPr>
                <w:bCs/>
              </w:rPr>
            </w:pPr>
            <w:r w:rsidRPr="006122EE">
              <w:rPr>
                <w:bCs/>
              </w:rPr>
              <w:t>Capacity building at Malawi Bureau of Standards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0AB30A70" w14:textId="77777777" w:rsidR="00046EA5" w:rsidRPr="006122EE" w:rsidRDefault="00046EA5" w:rsidP="005A7401">
            <w:pPr>
              <w:jc w:val="left"/>
              <w:rPr>
                <w:bCs/>
              </w:rPr>
            </w:pPr>
            <w:r w:rsidRPr="006122EE">
              <w:rPr>
                <w:bCs/>
              </w:rPr>
              <w:t>Support MBS on certification and enforcement of RETS and mini-grid standards</w:t>
            </w:r>
          </w:p>
        </w:tc>
        <w:tc>
          <w:tcPr>
            <w:tcW w:w="703" w:type="pct"/>
            <w:tcBorders>
              <w:top w:val="single" w:sz="4" w:space="0" w:color="auto"/>
              <w:left w:val="nil"/>
              <w:bottom w:val="single" w:sz="4" w:space="0" w:color="auto"/>
              <w:right w:val="single" w:sz="4" w:space="0" w:color="auto"/>
            </w:tcBorders>
            <w:shd w:val="clear" w:color="auto" w:fill="auto"/>
            <w:vAlign w:val="center"/>
          </w:tcPr>
          <w:p w14:paraId="11A412C7" w14:textId="77777777" w:rsidR="00046EA5" w:rsidRPr="006122EE" w:rsidRDefault="00046EA5" w:rsidP="005A7401">
            <w:pPr>
              <w:jc w:val="left"/>
              <w:rPr>
                <w:bCs/>
              </w:rPr>
            </w:pPr>
            <w:r w:rsidRPr="006122EE">
              <w:rPr>
                <w:bCs/>
              </w:rPr>
              <w:t>Short to medium</w:t>
            </w:r>
          </w:p>
        </w:tc>
        <w:tc>
          <w:tcPr>
            <w:tcW w:w="515" w:type="pct"/>
            <w:tcBorders>
              <w:top w:val="single" w:sz="4" w:space="0" w:color="auto"/>
              <w:left w:val="nil"/>
              <w:bottom w:val="single" w:sz="4" w:space="0" w:color="auto"/>
              <w:right w:val="single" w:sz="4" w:space="0" w:color="auto"/>
            </w:tcBorders>
            <w:shd w:val="clear" w:color="auto" w:fill="auto"/>
            <w:vAlign w:val="center"/>
          </w:tcPr>
          <w:p w14:paraId="5E711696"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337C5E78" w14:textId="77777777" w:rsidR="00046EA5" w:rsidRPr="006122EE" w:rsidRDefault="00046EA5" w:rsidP="005A7401">
            <w:pPr>
              <w:jc w:val="left"/>
              <w:rPr>
                <w:bCs/>
              </w:rPr>
            </w:pPr>
            <w:r w:rsidRPr="006122EE">
              <w:rPr>
                <w:bCs/>
              </w:rPr>
              <w:t>MBS</w:t>
            </w:r>
          </w:p>
        </w:tc>
        <w:tc>
          <w:tcPr>
            <w:tcW w:w="870" w:type="pct"/>
            <w:tcBorders>
              <w:top w:val="single" w:sz="4" w:space="0" w:color="auto"/>
              <w:left w:val="nil"/>
              <w:bottom w:val="single" w:sz="4" w:space="0" w:color="auto"/>
              <w:right w:val="single" w:sz="4" w:space="0" w:color="auto"/>
            </w:tcBorders>
            <w:shd w:val="clear" w:color="auto" w:fill="auto"/>
            <w:vAlign w:val="center"/>
          </w:tcPr>
          <w:p w14:paraId="4541039A" w14:textId="77777777" w:rsidR="00046EA5" w:rsidRPr="006122EE" w:rsidRDefault="00046EA5" w:rsidP="005A7401">
            <w:pPr>
              <w:jc w:val="left"/>
              <w:rPr>
                <w:bCs/>
              </w:rPr>
            </w:pPr>
            <w:r w:rsidRPr="006122EE">
              <w:rPr>
                <w:bCs/>
              </w:rPr>
              <w:t>n.a.</w:t>
            </w:r>
          </w:p>
        </w:tc>
      </w:tr>
      <w:tr w:rsidR="00046EA5" w:rsidRPr="006122EE" w14:paraId="0A336533"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7001B" w14:textId="77777777" w:rsidR="00046EA5" w:rsidRPr="006122EE" w:rsidRDefault="00046EA5" w:rsidP="005A7401">
            <w:pPr>
              <w:jc w:val="left"/>
              <w:rPr>
                <w:bCs/>
              </w:rPr>
            </w:pPr>
            <w:r w:rsidRPr="006122EE">
              <w:rPr>
                <w:bCs/>
              </w:rPr>
              <w:t>Electrification of Public Institutions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4CDC02DF" w14:textId="77777777" w:rsidR="00046EA5" w:rsidRPr="006122EE" w:rsidRDefault="00046EA5" w:rsidP="005A7401">
            <w:pPr>
              <w:jc w:val="left"/>
              <w:rPr>
                <w:bCs/>
              </w:rPr>
            </w:pPr>
            <w:r w:rsidRPr="006122EE">
              <w:rPr>
                <w:bCs/>
              </w:rPr>
              <w:t>Electrify all of the country’s public institutions with either grid connections or off-grid technologies</w:t>
            </w:r>
          </w:p>
        </w:tc>
        <w:tc>
          <w:tcPr>
            <w:tcW w:w="703" w:type="pct"/>
            <w:tcBorders>
              <w:top w:val="single" w:sz="4" w:space="0" w:color="auto"/>
              <w:left w:val="nil"/>
              <w:bottom w:val="single" w:sz="4" w:space="0" w:color="auto"/>
              <w:right w:val="single" w:sz="4" w:space="0" w:color="auto"/>
            </w:tcBorders>
            <w:shd w:val="clear" w:color="auto" w:fill="auto"/>
            <w:vAlign w:val="center"/>
          </w:tcPr>
          <w:p w14:paraId="2F66F08A" w14:textId="77777777" w:rsidR="00046EA5" w:rsidRPr="006122EE" w:rsidRDefault="00046EA5" w:rsidP="005A7401">
            <w:pPr>
              <w:jc w:val="left"/>
              <w:rPr>
                <w:bCs/>
              </w:rPr>
            </w:pPr>
            <w:r w:rsidRPr="006122EE">
              <w:rPr>
                <w:bCs/>
              </w:rPr>
              <w:t>Medium to long</w:t>
            </w:r>
          </w:p>
        </w:tc>
        <w:tc>
          <w:tcPr>
            <w:tcW w:w="515" w:type="pct"/>
            <w:tcBorders>
              <w:top w:val="single" w:sz="4" w:space="0" w:color="auto"/>
              <w:left w:val="nil"/>
              <w:bottom w:val="single" w:sz="4" w:space="0" w:color="auto"/>
              <w:right w:val="single" w:sz="4" w:space="0" w:color="auto"/>
            </w:tcBorders>
            <w:shd w:val="clear" w:color="auto" w:fill="auto"/>
            <w:vAlign w:val="center"/>
          </w:tcPr>
          <w:p w14:paraId="1B26BB92"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37F696EC" w14:textId="77777777" w:rsidR="00046EA5" w:rsidRPr="006122EE" w:rsidRDefault="00046EA5" w:rsidP="005A7401">
            <w:pPr>
              <w:jc w:val="left"/>
              <w:rPr>
                <w:bCs/>
              </w:rPr>
            </w:pPr>
            <w:r w:rsidRPr="006122EE">
              <w:rPr>
                <w:bCs/>
              </w:rPr>
              <w:t>MAREP,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vAlign w:val="center"/>
          </w:tcPr>
          <w:p w14:paraId="0A08AF22" w14:textId="77777777" w:rsidR="00046EA5" w:rsidRPr="006122EE" w:rsidRDefault="00046EA5" w:rsidP="005A7401">
            <w:pPr>
              <w:jc w:val="left"/>
              <w:rPr>
                <w:bCs/>
              </w:rPr>
            </w:pPr>
            <w:r w:rsidRPr="006122EE">
              <w:rPr>
                <w:bCs/>
              </w:rPr>
              <w:t>Budget to be developed</w:t>
            </w:r>
          </w:p>
        </w:tc>
      </w:tr>
      <w:tr w:rsidR="00046EA5" w:rsidRPr="006122EE" w14:paraId="61E359DE" w14:textId="77777777" w:rsidTr="005A7401">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11B1" w14:textId="77777777" w:rsidR="00046EA5" w:rsidRPr="006122EE" w:rsidRDefault="00046EA5" w:rsidP="005A7401">
            <w:pPr>
              <w:jc w:val="left"/>
              <w:rPr>
                <w:bCs/>
              </w:rPr>
            </w:pPr>
            <w:r w:rsidRPr="006122EE">
              <w:rPr>
                <w:bCs/>
              </w:rPr>
              <w:t>Support for pico solar products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46B9AE09" w14:textId="77777777" w:rsidR="00046EA5" w:rsidRPr="006122EE" w:rsidRDefault="00046EA5" w:rsidP="005A7401">
            <w:pPr>
              <w:jc w:val="left"/>
              <w:rPr>
                <w:bCs/>
              </w:rPr>
            </w:pPr>
            <w:r w:rsidRPr="006122EE">
              <w:rPr>
                <w:bCs/>
              </w:rPr>
              <w:t>Accelerate implementation of pico solar products by supporting and coordinating existing NGO pico solar programs</w:t>
            </w:r>
          </w:p>
        </w:tc>
        <w:tc>
          <w:tcPr>
            <w:tcW w:w="703" w:type="pct"/>
            <w:tcBorders>
              <w:top w:val="single" w:sz="4" w:space="0" w:color="auto"/>
              <w:left w:val="nil"/>
              <w:bottom w:val="single" w:sz="4" w:space="0" w:color="auto"/>
              <w:right w:val="single" w:sz="4" w:space="0" w:color="auto"/>
            </w:tcBorders>
            <w:shd w:val="clear" w:color="auto" w:fill="auto"/>
            <w:vAlign w:val="center"/>
          </w:tcPr>
          <w:p w14:paraId="5C565720" w14:textId="77777777" w:rsidR="00046EA5" w:rsidRPr="006122EE" w:rsidRDefault="00046EA5" w:rsidP="005A7401">
            <w:pPr>
              <w:jc w:val="left"/>
              <w:rPr>
                <w:bCs/>
              </w:rPr>
            </w:pPr>
            <w:r w:rsidRPr="006122EE">
              <w:rPr>
                <w:bCs/>
              </w:rPr>
              <w:t>Short, medium, long</w:t>
            </w:r>
          </w:p>
        </w:tc>
        <w:tc>
          <w:tcPr>
            <w:tcW w:w="515" w:type="pct"/>
            <w:tcBorders>
              <w:top w:val="single" w:sz="4" w:space="0" w:color="auto"/>
              <w:left w:val="nil"/>
              <w:bottom w:val="single" w:sz="4" w:space="0" w:color="auto"/>
              <w:right w:val="single" w:sz="4" w:space="0" w:color="auto"/>
            </w:tcBorders>
            <w:shd w:val="clear" w:color="auto" w:fill="auto"/>
            <w:vAlign w:val="center"/>
          </w:tcPr>
          <w:p w14:paraId="775947E1" w14:textId="77777777" w:rsidR="00046EA5" w:rsidRPr="006122EE" w:rsidRDefault="00046EA5" w:rsidP="005A7401">
            <w:pPr>
              <w:jc w:val="left"/>
              <w:rPr>
                <w:bCs/>
              </w:rPr>
            </w:pPr>
            <w:r w:rsidRPr="006122EE">
              <w:rPr>
                <w:bCs/>
              </w:rPr>
              <w:t>DOE</w:t>
            </w:r>
            <w:r w:rsidR="003D471C">
              <w:rPr>
                <w:bCs/>
              </w:rPr>
              <w:t>A</w:t>
            </w:r>
          </w:p>
        </w:tc>
        <w:tc>
          <w:tcPr>
            <w:tcW w:w="703" w:type="pct"/>
            <w:tcBorders>
              <w:top w:val="single" w:sz="4" w:space="0" w:color="auto"/>
              <w:left w:val="nil"/>
              <w:bottom w:val="single" w:sz="4" w:space="0" w:color="auto"/>
              <w:right w:val="single" w:sz="4" w:space="0" w:color="auto"/>
            </w:tcBorders>
            <w:shd w:val="clear" w:color="auto" w:fill="auto"/>
            <w:vAlign w:val="center"/>
          </w:tcPr>
          <w:p w14:paraId="37277A1A" w14:textId="77777777" w:rsidR="00046EA5" w:rsidRPr="006122EE" w:rsidRDefault="00046EA5" w:rsidP="005A7401">
            <w:pPr>
              <w:jc w:val="left"/>
              <w:rPr>
                <w:bCs/>
              </w:rPr>
            </w:pPr>
            <w:r w:rsidRPr="006122EE">
              <w:rPr>
                <w:bCs/>
              </w:rPr>
              <w:t>NGOs,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vAlign w:val="center"/>
          </w:tcPr>
          <w:p w14:paraId="0083F890" w14:textId="77777777" w:rsidR="00046EA5" w:rsidRPr="006122EE" w:rsidRDefault="00046EA5" w:rsidP="005A7401">
            <w:pPr>
              <w:jc w:val="left"/>
              <w:rPr>
                <w:bCs/>
              </w:rPr>
            </w:pPr>
            <w:r w:rsidRPr="006122EE">
              <w:rPr>
                <w:bCs/>
              </w:rPr>
              <w:t>Budget to be developed</w:t>
            </w:r>
          </w:p>
        </w:tc>
      </w:tr>
      <w:tr w:rsidR="00B70C84" w:rsidRPr="006122EE" w14:paraId="3216EEAD" w14:textId="77777777" w:rsidTr="00B7022D">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tcPr>
          <w:p w14:paraId="69FB8445" w14:textId="77777777" w:rsidR="00B70C84" w:rsidRPr="006122EE" w:rsidRDefault="00B70C84" w:rsidP="00B7022D">
            <w:pPr>
              <w:jc w:val="left"/>
              <w:rPr>
                <w:bCs/>
              </w:rPr>
            </w:pPr>
            <w:r>
              <w:rPr>
                <w:bCs/>
              </w:rPr>
              <w:t>Monitor and evaluate progress in providing electricity services</w:t>
            </w:r>
          </w:p>
        </w:tc>
        <w:tc>
          <w:tcPr>
            <w:tcW w:w="1221" w:type="pct"/>
            <w:tcBorders>
              <w:top w:val="single" w:sz="4" w:space="0" w:color="auto"/>
              <w:left w:val="nil"/>
              <w:bottom w:val="single" w:sz="4" w:space="0" w:color="auto"/>
              <w:right w:val="single" w:sz="4" w:space="0" w:color="auto"/>
            </w:tcBorders>
            <w:shd w:val="clear" w:color="auto" w:fill="auto"/>
            <w:noWrap/>
          </w:tcPr>
          <w:p w14:paraId="710E4293" w14:textId="77777777" w:rsidR="00B70C84" w:rsidRPr="006122EE" w:rsidRDefault="00B70C84" w:rsidP="00B7022D">
            <w:pPr>
              <w:jc w:val="left"/>
              <w:rPr>
                <w:bCs/>
              </w:rPr>
            </w:pPr>
            <w:r>
              <w:rPr>
                <w:bCs/>
              </w:rPr>
              <w:t>Arrange for independent M&amp;E, which should use household surveys pursuant to the World Bank’s Global Tracking Framework</w:t>
            </w:r>
          </w:p>
        </w:tc>
        <w:tc>
          <w:tcPr>
            <w:tcW w:w="703" w:type="pct"/>
            <w:tcBorders>
              <w:top w:val="single" w:sz="4" w:space="0" w:color="auto"/>
              <w:left w:val="nil"/>
              <w:bottom w:val="single" w:sz="4" w:space="0" w:color="auto"/>
              <w:right w:val="single" w:sz="4" w:space="0" w:color="auto"/>
            </w:tcBorders>
            <w:shd w:val="clear" w:color="auto" w:fill="auto"/>
          </w:tcPr>
          <w:p w14:paraId="4B1CF6BD" w14:textId="77777777" w:rsidR="00B70C84" w:rsidRPr="006122EE" w:rsidRDefault="00B70C84" w:rsidP="00B7022D">
            <w:pPr>
              <w:jc w:val="left"/>
              <w:rPr>
                <w:bCs/>
              </w:rPr>
            </w:pPr>
            <w:r>
              <w:rPr>
                <w:bCs/>
              </w:rPr>
              <w:t>Short, medium, long</w:t>
            </w:r>
          </w:p>
        </w:tc>
        <w:tc>
          <w:tcPr>
            <w:tcW w:w="515" w:type="pct"/>
            <w:tcBorders>
              <w:top w:val="single" w:sz="4" w:space="0" w:color="auto"/>
              <w:left w:val="nil"/>
              <w:bottom w:val="single" w:sz="4" w:space="0" w:color="auto"/>
              <w:right w:val="single" w:sz="4" w:space="0" w:color="auto"/>
            </w:tcBorders>
            <w:shd w:val="clear" w:color="auto" w:fill="auto"/>
          </w:tcPr>
          <w:p w14:paraId="31329BE2" w14:textId="77777777" w:rsidR="00B70C84" w:rsidRPr="006122EE" w:rsidRDefault="00B70C84" w:rsidP="00B7022D">
            <w:pPr>
              <w:jc w:val="left"/>
              <w:rPr>
                <w:bCs/>
              </w:rPr>
            </w:pPr>
            <w:r>
              <w:rPr>
                <w:bCs/>
              </w:rPr>
              <w:t>DOEA</w:t>
            </w:r>
          </w:p>
        </w:tc>
        <w:tc>
          <w:tcPr>
            <w:tcW w:w="703" w:type="pct"/>
            <w:tcBorders>
              <w:top w:val="single" w:sz="4" w:space="0" w:color="auto"/>
              <w:left w:val="nil"/>
              <w:bottom w:val="single" w:sz="4" w:space="0" w:color="auto"/>
              <w:right w:val="single" w:sz="4" w:space="0" w:color="auto"/>
            </w:tcBorders>
            <w:shd w:val="clear" w:color="auto" w:fill="auto"/>
          </w:tcPr>
          <w:p w14:paraId="7D93042A" w14:textId="77777777" w:rsidR="00B70C84" w:rsidRPr="006122EE" w:rsidRDefault="00B70C84" w:rsidP="00B7022D">
            <w:pPr>
              <w:jc w:val="left"/>
              <w:rPr>
                <w:bCs/>
              </w:rPr>
            </w:pPr>
            <w:r>
              <w:rPr>
                <w:bCs/>
              </w:rPr>
              <w:t>NGOs, MAREP, Renewable Energy Association of Malawi</w:t>
            </w:r>
          </w:p>
        </w:tc>
        <w:tc>
          <w:tcPr>
            <w:tcW w:w="870" w:type="pct"/>
            <w:tcBorders>
              <w:top w:val="single" w:sz="4" w:space="0" w:color="auto"/>
              <w:left w:val="nil"/>
              <w:bottom w:val="single" w:sz="4" w:space="0" w:color="auto"/>
              <w:right w:val="single" w:sz="4" w:space="0" w:color="auto"/>
            </w:tcBorders>
            <w:shd w:val="clear" w:color="auto" w:fill="auto"/>
          </w:tcPr>
          <w:p w14:paraId="0C13C203" w14:textId="77777777" w:rsidR="00B70C84" w:rsidRDefault="00B70C84" w:rsidP="00B7022D">
            <w:pPr>
              <w:jc w:val="left"/>
              <w:rPr>
                <w:bCs/>
              </w:rPr>
            </w:pPr>
            <w:r>
              <w:rPr>
                <w:bCs/>
              </w:rPr>
              <w:t>Annual monitoring $50,000</w:t>
            </w:r>
          </w:p>
          <w:p w14:paraId="6D069F37" w14:textId="77777777" w:rsidR="00B70C84" w:rsidRPr="006122EE" w:rsidRDefault="00B70C84" w:rsidP="00B7022D">
            <w:pPr>
              <w:jc w:val="left"/>
              <w:rPr>
                <w:bCs/>
              </w:rPr>
            </w:pPr>
            <w:r>
              <w:rPr>
                <w:bCs/>
              </w:rPr>
              <w:t>Mid-term evaluation $80,000</w:t>
            </w:r>
          </w:p>
        </w:tc>
      </w:tr>
    </w:tbl>
    <w:p w14:paraId="34CF39B1" w14:textId="77777777" w:rsidR="0082252C" w:rsidRPr="006122EE" w:rsidRDefault="0082252C" w:rsidP="0082252C">
      <w:pPr>
        <w:pStyle w:val="Caption"/>
      </w:pPr>
    </w:p>
    <w:p w14:paraId="0CE502C9" w14:textId="77777777" w:rsidR="00DF6714" w:rsidRPr="006122EE" w:rsidRDefault="00DF6714" w:rsidP="00726AF3">
      <w:pPr>
        <w:pStyle w:val="Caption"/>
      </w:pPr>
      <w:bookmarkStart w:id="623" w:name="_Toc481615029"/>
      <w:r w:rsidRPr="006122EE">
        <w:t xml:space="preserve">Table </w:t>
      </w:r>
      <w:r w:rsidR="00DC7D8C">
        <w:fldChar w:fldCharType="begin"/>
      </w:r>
      <w:r w:rsidR="00DC7D8C">
        <w:instrText xml:space="preserve"> SEQ Table \* ARABIC </w:instrText>
      </w:r>
      <w:r w:rsidR="00DC7D8C">
        <w:fldChar w:fldCharType="separate"/>
      </w:r>
      <w:r w:rsidR="00866D96">
        <w:rPr>
          <w:noProof/>
        </w:rPr>
        <w:t>44</w:t>
      </w:r>
      <w:r w:rsidR="00DC7D8C">
        <w:rPr>
          <w:noProof/>
        </w:rPr>
        <w:fldChar w:fldCharType="end"/>
      </w:r>
      <w:r w:rsidRPr="006122EE">
        <w:t>: Implementation of priority actions: Renewable Energy</w:t>
      </w:r>
      <w:bookmarkEnd w:id="623"/>
    </w:p>
    <w:tbl>
      <w:tblPr>
        <w:tblW w:w="5000" w:type="pct"/>
        <w:tblLayout w:type="fixed"/>
        <w:tblCellMar>
          <w:left w:w="70" w:type="dxa"/>
          <w:right w:w="70" w:type="dxa"/>
        </w:tblCellMar>
        <w:tblLook w:val="04A0" w:firstRow="1" w:lastRow="0" w:firstColumn="1" w:lastColumn="0" w:noHBand="0" w:noVBand="1"/>
      </w:tblPr>
      <w:tblGrid>
        <w:gridCol w:w="2987"/>
        <w:gridCol w:w="3695"/>
        <w:gridCol w:w="2127"/>
        <w:gridCol w:w="1558"/>
        <w:gridCol w:w="2127"/>
        <w:gridCol w:w="2632"/>
      </w:tblGrid>
      <w:tr w:rsidR="0082252C" w:rsidRPr="006122EE" w14:paraId="1A408734" w14:textId="77777777" w:rsidTr="00726AF3">
        <w:trPr>
          <w:trHeight w:val="264"/>
          <w:tblHeader/>
        </w:trPr>
        <w:tc>
          <w:tcPr>
            <w:tcW w:w="987" w:type="pct"/>
            <w:tcBorders>
              <w:top w:val="single" w:sz="4" w:space="0" w:color="auto"/>
              <w:left w:val="single" w:sz="4" w:space="0" w:color="auto"/>
              <w:bottom w:val="single" w:sz="4" w:space="0" w:color="auto"/>
              <w:right w:val="single" w:sz="4" w:space="0" w:color="auto"/>
            </w:tcBorders>
            <w:shd w:val="clear" w:color="000000" w:fill="00A1DE"/>
            <w:noWrap/>
            <w:vAlign w:val="center"/>
          </w:tcPr>
          <w:p w14:paraId="48A8976F" w14:textId="77777777" w:rsidR="0082252C" w:rsidRPr="00866D96" w:rsidRDefault="0082252C" w:rsidP="0082252C">
            <w:pPr>
              <w:rPr>
                <w:b/>
                <w:bCs/>
                <w:color w:val="FFFFFF" w:themeColor="background1"/>
              </w:rPr>
            </w:pPr>
            <w:r w:rsidRPr="00866D96">
              <w:rPr>
                <w:b/>
                <w:bCs/>
                <w:color w:val="FFFFFF" w:themeColor="background1"/>
              </w:rPr>
              <w:t>Category</w:t>
            </w:r>
          </w:p>
        </w:tc>
        <w:tc>
          <w:tcPr>
            <w:tcW w:w="1221" w:type="pct"/>
            <w:tcBorders>
              <w:top w:val="single" w:sz="4" w:space="0" w:color="auto"/>
              <w:left w:val="nil"/>
              <w:bottom w:val="single" w:sz="4" w:space="0" w:color="auto"/>
              <w:right w:val="single" w:sz="4" w:space="0" w:color="auto"/>
            </w:tcBorders>
            <w:shd w:val="clear" w:color="000000" w:fill="00A1DE"/>
            <w:noWrap/>
            <w:vAlign w:val="center"/>
          </w:tcPr>
          <w:p w14:paraId="06C662EE" w14:textId="77777777" w:rsidR="0082252C" w:rsidRPr="00866D96" w:rsidRDefault="0082252C" w:rsidP="0082252C">
            <w:pPr>
              <w:rPr>
                <w:b/>
                <w:bCs/>
                <w:color w:val="FFFFFF" w:themeColor="background1"/>
              </w:rPr>
            </w:pPr>
            <w:r w:rsidRPr="00866D96">
              <w:rPr>
                <w:b/>
                <w:bCs/>
                <w:color w:val="FFFFFF" w:themeColor="background1"/>
              </w:rPr>
              <w:t>Action</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03CE03A1" w14:textId="77777777" w:rsidR="0082252C" w:rsidRPr="00866D96" w:rsidRDefault="0082252C" w:rsidP="00866D96">
            <w:pPr>
              <w:jc w:val="left"/>
              <w:rPr>
                <w:b/>
                <w:bCs/>
                <w:color w:val="FFFFFF" w:themeColor="background1"/>
              </w:rPr>
            </w:pPr>
            <w:r w:rsidRPr="00866D96">
              <w:rPr>
                <w:b/>
                <w:bCs/>
                <w:color w:val="FFFFFF" w:themeColor="background1"/>
              </w:rPr>
              <w:t>Indicative time frame*</w:t>
            </w:r>
          </w:p>
        </w:tc>
        <w:tc>
          <w:tcPr>
            <w:tcW w:w="515" w:type="pct"/>
            <w:tcBorders>
              <w:top w:val="single" w:sz="4" w:space="0" w:color="auto"/>
              <w:left w:val="nil"/>
              <w:bottom w:val="single" w:sz="4" w:space="0" w:color="auto"/>
              <w:right w:val="single" w:sz="4" w:space="0" w:color="auto"/>
            </w:tcBorders>
            <w:shd w:val="clear" w:color="000000" w:fill="00A1DE"/>
            <w:vAlign w:val="center"/>
          </w:tcPr>
          <w:p w14:paraId="116DEFB0" w14:textId="77777777" w:rsidR="0082252C" w:rsidRPr="00866D96" w:rsidRDefault="0082252C" w:rsidP="0082252C">
            <w:pPr>
              <w:rPr>
                <w:b/>
                <w:bCs/>
                <w:color w:val="FFFFFF" w:themeColor="background1"/>
              </w:rPr>
            </w:pPr>
            <w:r w:rsidRPr="00866D96">
              <w:rPr>
                <w:b/>
                <w:bCs/>
                <w:color w:val="FFFFFF" w:themeColor="background1"/>
              </w:rPr>
              <w:t>Lead agency</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4190EF41" w14:textId="77777777" w:rsidR="0082252C" w:rsidRPr="00866D96" w:rsidRDefault="0082252C" w:rsidP="0082252C">
            <w:pPr>
              <w:rPr>
                <w:b/>
                <w:bCs/>
                <w:color w:val="FFFFFF" w:themeColor="background1"/>
              </w:rPr>
            </w:pPr>
            <w:r w:rsidRPr="00866D96">
              <w:rPr>
                <w:b/>
                <w:bCs/>
                <w:color w:val="FFFFFF" w:themeColor="background1"/>
              </w:rPr>
              <w:t>Cooperating stakeholders</w:t>
            </w:r>
          </w:p>
        </w:tc>
        <w:tc>
          <w:tcPr>
            <w:tcW w:w="870" w:type="pct"/>
            <w:tcBorders>
              <w:top w:val="single" w:sz="4" w:space="0" w:color="auto"/>
              <w:left w:val="nil"/>
              <w:bottom w:val="single" w:sz="4" w:space="0" w:color="auto"/>
              <w:right w:val="single" w:sz="4" w:space="0" w:color="auto"/>
            </w:tcBorders>
            <w:shd w:val="clear" w:color="000000" w:fill="00A1DE"/>
            <w:vAlign w:val="center"/>
          </w:tcPr>
          <w:p w14:paraId="703772EB" w14:textId="77777777" w:rsidR="0082252C" w:rsidRPr="00866D96" w:rsidRDefault="0082252C" w:rsidP="0082252C">
            <w:pPr>
              <w:rPr>
                <w:b/>
                <w:bCs/>
                <w:color w:val="FFFFFF" w:themeColor="background1"/>
              </w:rPr>
            </w:pPr>
            <w:r w:rsidRPr="00866D96">
              <w:rPr>
                <w:b/>
                <w:bCs/>
                <w:color w:val="FFFFFF" w:themeColor="background1"/>
              </w:rPr>
              <w:t>Estimated costs</w:t>
            </w:r>
            <w:r w:rsidRPr="00866D96">
              <w:rPr>
                <w:b/>
                <w:color w:val="FFFFFF" w:themeColor="background1"/>
                <w:vertAlign w:val="superscript"/>
              </w:rPr>
              <w:footnoteReference w:id="99"/>
            </w:r>
          </w:p>
        </w:tc>
      </w:tr>
      <w:tr w:rsidR="0082252C" w:rsidRPr="006122EE" w14:paraId="4413F554"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F83AC" w14:textId="77777777" w:rsidR="0082252C" w:rsidRPr="006122EE" w:rsidRDefault="0082252C" w:rsidP="0082252C">
            <w:pPr>
              <w:rPr>
                <w:bCs/>
              </w:rPr>
            </w:pPr>
            <w:r w:rsidRPr="006122EE">
              <w:rPr>
                <w:bCs/>
              </w:rPr>
              <w:t>Large hydro capacity additions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74BB36A5" w14:textId="77777777" w:rsidR="0082252C" w:rsidRPr="006122EE" w:rsidRDefault="001F7062" w:rsidP="0082252C">
            <w:pPr>
              <w:rPr>
                <w:bCs/>
              </w:rPr>
            </w:pPr>
            <w:r w:rsidRPr="006122EE">
              <w:rPr>
                <w:bCs/>
              </w:rPr>
              <w:t>350 MW Mpatamanga, 200 MW Kholombidzo, 40 MW Mbongozi, 50 MW Chizuma, 90 MW Songwe 1, 60 MW Songwe 2, and 140 MW Fufu</w:t>
            </w:r>
          </w:p>
        </w:tc>
        <w:tc>
          <w:tcPr>
            <w:tcW w:w="703" w:type="pct"/>
            <w:tcBorders>
              <w:top w:val="single" w:sz="4" w:space="0" w:color="auto"/>
              <w:left w:val="nil"/>
              <w:bottom w:val="single" w:sz="4" w:space="0" w:color="auto"/>
              <w:right w:val="single" w:sz="4" w:space="0" w:color="auto"/>
            </w:tcBorders>
            <w:shd w:val="clear" w:color="auto" w:fill="auto"/>
            <w:vAlign w:val="center"/>
          </w:tcPr>
          <w:p w14:paraId="4D2C5DFD" w14:textId="77777777" w:rsidR="0082252C" w:rsidRPr="006122EE" w:rsidRDefault="001F7062" w:rsidP="001F7062">
            <w:pPr>
              <w:rPr>
                <w:bCs/>
              </w:rPr>
            </w:pPr>
            <w:r w:rsidRPr="006122EE">
              <w:rPr>
                <w:bCs/>
              </w:rPr>
              <w:t>Short,</w:t>
            </w:r>
            <w:r w:rsidR="0082252C" w:rsidRPr="006122EE">
              <w:rPr>
                <w:bCs/>
              </w:rPr>
              <w:t xml:space="preserve"> mid</w:t>
            </w:r>
            <w:r w:rsidRPr="006122EE">
              <w:rPr>
                <w:bCs/>
              </w:rPr>
              <w:t xml:space="preserve"> and long-</w:t>
            </w:r>
            <w:r w:rsidR="0082252C" w:rsidRPr="006122EE">
              <w:rPr>
                <w:bCs/>
              </w:rPr>
              <w:t>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3A1E8B1A" w14:textId="77777777" w:rsidR="0082252C" w:rsidRPr="006122EE" w:rsidRDefault="008D6CC9" w:rsidP="0082252C">
            <w:pPr>
              <w:rPr>
                <w:bCs/>
              </w:rPr>
            </w:pPr>
            <w:r w:rsidRPr="006122EE">
              <w:rPr>
                <w:bCs/>
              </w:rPr>
              <w:t>MoNREM</w:t>
            </w:r>
          </w:p>
        </w:tc>
        <w:tc>
          <w:tcPr>
            <w:tcW w:w="703" w:type="pct"/>
            <w:tcBorders>
              <w:top w:val="single" w:sz="4" w:space="0" w:color="auto"/>
              <w:left w:val="nil"/>
              <w:bottom w:val="single" w:sz="4" w:space="0" w:color="auto"/>
              <w:right w:val="single" w:sz="4" w:space="0" w:color="auto"/>
            </w:tcBorders>
            <w:shd w:val="clear" w:color="auto" w:fill="auto"/>
            <w:vAlign w:val="center"/>
          </w:tcPr>
          <w:p w14:paraId="40CB3644" w14:textId="77777777" w:rsidR="0082252C" w:rsidRPr="006122EE" w:rsidRDefault="008D6CC9" w:rsidP="00C07232">
            <w:pPr>
              <w:jc w:val="left"/>
              <w:rPr>
                <w:bCs/>
              </w:rPr>
            </w:pPr>
            <w:r w:rsidRPr="006122EE">
              <w:rPr>
                <w:bCs/>
              </w:rPr>
              <w:t xml:space="preserve">MERA, ESCOM, EGENCO, </w:t>
            </w:r>
            <w:r w:rsidR="0082252C" w:rsidRPr="006122EE">
              <w:rPr>
                <w:bCs/>
              </w:rPr>
              <w:t>private sector</w:t>
            </w:r>
          </w:p>
        </w:tc>
        <w:tc>
          <w:tcPr>
            <w:tcW w:w="870" w:type="pct"/>
            <w:tcBorders>
              <w:top w:val="single" w:sz="4" w:space="0" w:color="auto"/>
              <w:left w:val="nil"/>
              <w:bottom w:val="single" w:sz="4" w:space="0" w:color="auto"/>
              <w:right w:val="single" w:sz="4" w:space="0" w:color="auto"/>
            </w:tcBorders>
            <w:shd w:val="clear" w:color="auto" w:fill="auto"/>
            <w:vAlign w:val="center"/>
          </w:tcPr>
          <w:p w14:paraId="4EEDB607" w14:textId="77777777" w:rsidR="0082252C" w:rsidRPr="006122EE" w:rsidRDefault="0082252C" w:rsidP="0082252C">
            <w:pPr>
              <w:rPr>
                <w:bCs/>
              </w:rPr>
            </w:pPr>
            <w:r w:rsidRPr="006122EE">
              <w:rPr>
                <w:bCs/>
              </w:rPr>
              <w:t>Unit cost: $2.9 million/MW</w:t>
            </w:r>
          </w:p>
          <w:p w14:paraId="106D16E4" w14:textId="77777777" w:rsidR="0082252C" w:rsidRPr="006122EE" w:rsidRDefault="0082252C" w:rsidP="001F7062">
            <w:pPr>
              <w:rPr>
                <w:bCs/>
              </w:rPr>
            </w:pPr>
            <w:r w:rsidRPr="006122EE">
              <w:rPr>
                <w:bCs/>
              </w:rPr>
              <w:t>Total: $</w:t>
            </w:r>
            <w:r w:rsidR="001F7062" w:rsidRPr="006122EE">
              <w:rPr>
                <w:bCs/>
              </w:rPr>
              <w:t>2.7 billion</w:t>
            </w:r>
          </w:p>
        </w:tc>
      </w:tr>
      <w:tr w:rsidR="0082252C" w:rsidRPr="006122EE" w14:paraId="52BED1D3"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82D0" w14:textId="77777777" w:rsidR="0082252C" w:rsidRPr="006122EE" w:rsidRDefault="0082252C" w:rsidP="0082252C">
            <w:pPr>
              <w:rPr>
                <w:bCs/>
              </w:rPr>
            </w:pPr>
            <w:r w:rsidRPr="006122EE">
              <w:rPr>
                <w:bCs/>
              </w:rPr>
              <w:t>Small hydro capacity additions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7224399" w14:textId="77777777" w:rsidR="0082252C" w:rsidRPr="006122EE" w:rsidRDefault="009A23C9" w:rsidP="0082252C">
            <w:pPr>
              <w:rPr>
                <w:bCs/>
              </w:rPr>
            </w:pPr>
            <w:r w:rsidRPr="006122EE">
              <w:rPr>
                <w:bCs/>
              </w:rPr>
              <w:t>22 MW Tadzani IV, 23 MW Ruo</w:t>
            </w:r>
          </w:p>
        </w:tc>
        <w:tc>
          <w:tcPr>
            <w:tcW w:w="703" w:type="pct"/>
            <w:tcBorders>
              <w:top w:val="single" w:sz="4" w:space="0" w:color="auto"/>
              <w:left w:val="nil"/>
              <w:bottom w:val="single" w:sz="4" w:space="0" w:color="auto"/>
              <w:right w:val="single" w:sz="4" w:space="0" w:color="auto"/>
            </w:tcBorders>
            <w:shd w:val="clear" w:color="auto" w:fill="auto"/>
            <w:vAlign w:val="center"/>
          </w:tcPr>
          <w:p w14:paraId="38881CD9" w14:textId="77777777" w:rsidR="0082252C" w:rsidRPr="006122EE" w:rsidRDefault="0082252C" w:rsidP="0082252C">
            <w:pPr>
              <w:rPr>
                <w:bCs/>
              </w:rPr>
            </w:pPr>
            <w:r w:rsidRPr="006122EE">
              <w:rPr>
                <w:bCs/>
              </w:rPr>
              <w:t>Short &amp; mid 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58C7899F" w14:textId="77777777" w:rsidR="0082252C" w:rsidRPr="006122EE" w:rsidRDefault="008D6CC9" w:rsidP="0082252C">
            <w:pPr>
              <w:rPr>
                <w:bCs/>
              </w:rPr>
            </w:pPr>
            <w:r w:rsidRPr="006122EE">
              <w:rPr>
                <w:bCs/>
              </w:rPr>
              <w:t>MoNREM</w:t>
            </w:r>
          </w:p>
        </w:tc>
        <w:tc>
          <w:tcPr>
            <w:tcW w:w="703" w:type="pct"/>
            <w:tcBorders>
              <w:top w:val="single" w:sz="4" w:space="0" w:color="auto"/>
              <w:left w:val="nil"/>
              <w:bottom w:val="single" w:sz="4" w:space="0" w:color="auto"/>
              <w:right w:val="single" w:sz="4" w:space="0" w:color="auto"/>
            </w:tcBorders>
            <w:shd w:val="clear" w:color="auto" w:fill="auto"/>
            <w:vAlign w:val="center"/>
          </w:tcPr>
          <w:p w14:paraId="79F77BF7" w14:textId="77777777" w:rsidR="0082252C" w:rsidRPr="006122EE" w:rsidRDefault="008D6CC9" w:rsidP="00C07232">
            <w:pPr>
              <w:jc w:val="left"/>
              <w:rPr>
                <w:bCs/>
              </w:rPr>
            </w:pPr>
            <w:r w:rsidRPr="006122EE">
              <w:rPr>
                <w:bCs/>
              </w:rPr>
              <w:t xml:space="preserve">MERA, </w:t>
            </w:r>
            <w:r w:rsidR="0082252C" w:rsidRPr="006122EE">
              <w:rPr>
                <w:bCs/>
              </w:rPr>
              <w:t>private sector</w:t>
            </w:r>
          </w:p>
        </w:tc>
        <w:tc>
          <w:tcPr>
            <w:tcW w:w="870" w:type="pct"/>
            <w:tcBorders>
              <w:top w:val="single" w:sz="4" w:space="0" w:color="auto"/>
              <w:left w:val="nil"/>
              <w:bottom w:val="single" w:sz="4" w:space="0" w:color="auto"/>
              <w:right w:val="single" w:sz="4" w:space="0" w:color="auto"/>
            </w:tcBorders>
            <w:shd w:val="clear" w:color="auto" w:fill="auto"/>
            <w:vAlign w:val="center"/>
          </w:tcPr>
          <w:p w14:paraId="265B9F74" w14:textId="77777777" w:rsidR="0082252C" w:rsidRPr="006122EE" w:rsidRDefault="0082252C" w:rsidP="0082252C">
            <w:pPr>
              <w:rPr>
                <w:bCs/>
              </w:rPr>
            </w:pPr>
            <w:r w:rsidRPr="006122EE">
              <w:rPr>
                <w:bCs/>
              </w:rPr>
              <w:t>Unit cost: $2-4 million/MW</w:t>
            </w:r>
          </w:p>
          <w:p w14:paraId="2400EE33" w14:textId="77777777" w:rsidR="0082252C" w:rsidRPr="006122EE" w:rsidRDefault="0082252C" w:rsidP="0082252C">
            <w:pPr>
              <w:rPr>
                <w:bCs/>
              </w:rPr>
            </w:pPr>
            <w:r w:rsidRPr="006122EE">
              <w:rPr>
                <w:bCs/>
              </w:rPr>
              <w:t>Total: $</w:t>
            </w:r>
            <w:r w:rsidR="009A23C9" w:rsidRPr="006122EE">
              <w:rPr>
                <w:bCs/>
              </w:rPr>
              <w:t>90-180</w:t>
            </w:r>
            <w:r w:rsidRPr="006122EE">
              <w:rPr>
                <w:bCs/>
              </w:rPr>
              <w:t xml:space="preserve"> million</w:t>
            </w:r>
          </w:p>
        </w:tc>
      </w:tr>
      <w:tr w:rsidR="0082252C" w:rsidRPr="006122EE" w14:paraId="0DB5F2BF"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46770" w14:textId="77777777" w:rsidR="0082252C" w:rsidRPr="006122EE" w:rsidRDefault="0082252C" w:rsidP="0082252C">
            <w:pPr>
              <w:rPr>
                <w:bCs/>
              </w:rPr>
            </w:pPr>
            <w:r w:rsidRPr="006122EE">
              <w:rPr>
                <w:bCs/>
              </w:rPr>
              <w:t>Solar capacity additions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5B812115" w14:textId="77777777" w:rsidR="0082252C" w:rsidRPr="006122EE" w:rsidRDefault="0082252C" w:rsidP="0082252C">
            <w:pPr>
              <w:rPr>
                <w:bCs/>
              </w:rPr>
            </w:pPr>
            <w:r w:rsidRPr="006122EE">
              <w:rPr>
                <w:bCs/>
              </w:rPr>
              <w:t>550 MW of PV projects at various sites</w:t>
            </w:r>
          </w:p>
        </w:tc>
        <w:tc>
          <w:tcPr>
            <w:tcW w:w="703" w:type="pct"/>
            <w:tcBorders>
              <w:top w:val="single" w:sz="4" w:space="0" w:color="auto"/>
              <w:left w:val="nil"/>
              <w:bottom w:val="single" w:sz="4" w:space="0" w:color="auto"/>
              <w:right w:val="single" w:sz="4" w:space="0" w:color="auto"/>
            </w:tcBorders>
            <w:shd w:val="clear" w:color="auto" w:fill="auto"/>
            <w:vAlign w:val="center"/>
          </w:tcPr>
          <w:p w14:paraId="03DF03F7" w14:textId="77777777" w:rsidR="0082252C" w:rsidRPr="006122EE" w:rsidRDefault="0082252C" w:rsidP="0082252C">
            <w:pPr>
              <w:rPr>
                <w:bCs/>
              </w:rPr>
            </w:pPr>
            <w:r w:rsidRPr="006122EE">
              <w:rPr>
                <w:bCs/>
              </w:rPr>
              <w:t xml:space="preserve">Short, mid &amp; </w:t>
            </w:r>
            <w:r w:rsidRPr="006122EE">
              <w:t>long 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1DA7CC56" w14:textId="77777777" w:rsidR="0082252C" w:rsidRPr="006122EE" w:rsidRDefault="0082252C" w:rsidP="0082252C">
            <w:pPr>
              <w:rPr>
                <w:bCs/>
              </w:rPr>
            </w:pPr>
            <w:r w:rsidRPr="006122EE">
              <w:rPr>
                <w:bCs/>
              </w:rPr>
              <w:t>MERA</w:t>
            </w:r>
          </w:p>
        </w:tc>
        <w:tc>
          <w:tcPr>
            <w:tcW w:w="703" w:type="pct"/>
            <w:tcBorders>
              <w:top w:val="single" w:sz="4" w:space="0" w:color="auto"/>
              <w:left w:val="nil"/>
              <w:bottom w:val="single" w:sz="4" w:space="0" w:color="auto"/>
              <w:right w:val="single" w:sz="4" w:space="0" w:color="auto"/>
            </w:tcBorders>
            <w:shd w:val="clear" w:color="auto" w:fill="auto"/>
            <w:vAlign w:val="center"/>
          </w:tcPr>
          <w:p w14:paraId="4956BC29" w14:textId="77777777" w:rsidR="0082252C" w:rsidRPr="006122EE" w:rsidRDefault="0082252C" w:rsidP="00C07232">
            <w:pPr>
              <w:jc w:val="left"/>
              <w:rPr>
                <w:bCs/>
              </w:rPr>
            </w:pPr>
            <w:r w:rsidRPr="006122EE">
              <w:rPr>
                <w:bCs/>
              </w:rPr>
              <w:t>MoNREM, private sector</w:t>
            </w:r>
          </w:p>
        </w:tc>
        <w:tc>
          <w:tcPr>
            <w:tcW w:w="870" w:type="pct"/>
            <w:tcBorders>
              <w:top w:val="single" w:sz="4" w:space="0" w:color="auto"/>
              <w:left w:val="nil"/>
              <w:bottom w:val="single" w:sz="4" w:space="0" w:color="auto"/>
              <w:right w:val="single" w:sz="4" w:space="0" w:color="auto"/>
            </w:tcBorders>
            <w:shd w:val="clear" w:color="auto" w:fill="auto"/>
            <w:vAlign w:val="center"/>
          </w:tcPr>
          <w:p w14:paraId="1F7D3E39" w14:textId="77777777" w:rsidR="0082252C" w:rsidRPr="006122EE" w:rsidRDefault="0082252C" w:rsidP="0082252C">
            <w:pPr>
              <w:rPr>
                <w:bCs/>
              </w:rPr>
            </w:pPr>
            <w:r w:rsidRPr="006122EE">
              <w:rPr>
                <w:bCs/>
              </w:rPr>
              <w:t>Unit cost: $3.8 million/MW</w:t>
            </w:r>
          </w:p>
          <w:p w14:paraId="22C8D591" w14:textId="77777777" w:rsidR="0082252C" w:rsidRPr="006122EE" w:rsidRDefault="0082252C" w:rsidP="009A23C9">
            <w:pPr>
              <w:rPr>
                <w:bCs/>
              </w:rPr>
            </w:pPr>
            <w:r w:rsidRPr="006122EE">
              <w:rPr>
                <w:bCs/>
              </w:rPr>
              <w:t>Total: $</w:t>
            </w:r>
            <w:r w:rsidR="009A23C9" w:rsidRPr="006122EE">
              <w:rPr>
                <w:bCs/>
              </w:rPr>
              <w:t>2.1</w:t>
            </w:r>
            <w:r w:rsidRPr="006122EE">
              <w:rPr>
                <w:bCs/>
              </w:rPr>
              <w:t xml:space="preserve"> </w:t>
            </w:r>
            <w:r w:rsidR="009A23C9" w:rsidRPr="006122EE">
              <w:rPr>
                <w:bCs/>
              </w:rPr>
              <w:t>b</w:t>
            </w:r>
            <w:r w:rsidRPr="006122EE">
              <w:rPr>
                <w:bCs/>
              </w:rPr>
              <w:t>illion</w:t>
            </w:r>
          </w:p>
        </w:tc>
      </w:tr>
      <w:tr w:rsidR="0082252C" w:rsidRPr="006122EE" w14:paraId="661855EB"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E3F6A" w14:textId="77777777" w:rsidR="0082252C" w:rsidRPr="006122EE" w:rsidRDefault="0082252C" w:rsidP="0082252C">
            <w:pPr>
              <w:rPr>
                <w:bCs/>
              </w:rPr>
            </w:pPr>
            <w:r w:rsidRPr="006122EE">
              <w:rPr>
                <w:bCs/>
              </w:rPr>
              <w:t>Bagasse cogeneration capacity additions</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4143778F" w14:textId="77777777" w:rsidR="0082252C" w:rsidRPr="006122EE" w:rsidRDefault="00A05AAB" w:rsidP="0082252C">
            <w:pPr>
              <w:rPr>
                <w:bCs/>
              </w:rPr>
            </w:pPr>
            <w:r w:rsidRPr="006122EE">
              <w:rPr>
                <w:bCs/>
              </w:rPr>
              <w:t>46 MW at two Illovo sites</w:t>
            </w:r>
            <w:r w:rsidR="0082252C" w:rsidRPr="006122EE">
              <w:rPr>
                <w:bCs/>
              </w:rPr>
              <w:t xml:space="preserve"> </w:t>
            </w:r>
          </w:p>
        </w:tc>
        <w:tc>
          <w:tcPr>
            <w:tcW w:w="703" w:type="pct"/>
            <w:tcBorders>
              <w:top w:val="single" w:sz="4" w:space="0" w:color="auto"/>
              <w:left w:val="nil"/>
              <w:bottom w:val="single" w:sz="4" w:space="0" w:color="auto"/>
              <w:right w:val="single" w:sz="4" w:space="0" w:color="auto"/>
            </w:tcBorders>
            <w:shd w:val="clear" w:color="auto" w:fill="auto"/>
            <w:vAlign w:val="center"/>
          </w:tcPr>
          <w:p w14:paraId="544E8FAD" w14:textId="77777777" w:rsidR="0082252C" w:rsidRPr="006122EE" w:rsidRDefault="0082252C" w:rsidP="0082252C">
            <w:pPr>
              <w:rPr>
                <w:bCs/>
              </w:rPr>
            </w:pPr>
            <w:r w:rsidRPr="006122EE">
              <w:rPr>
                <w:bCs/>
              </w:rPr>
              <w:t>Mid &amp; long 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64EABACF" w14:textId="77777777" w:rsidR="0082252C" w:rsidRPr="006122EE" w:rsidRDefault="0082252C" w:rsidP="0082252C">
            <w:pPr>
              <w:rPr>
                <w:bCs/>
              </w:rPr>
            </w:pPr>
            <w:r w:rsidRPr="006122EE">
              <w:rPr>
                <w:bCs/>
              </w:rPr>
              <w:t>MERA</w:t>
            </w:r>
          </w:p>
        </w:tc>
        <w:tc>
          <w:tcPr>
            <w:tcW w:w="703" w:type="pct"/>
            <w:tcBorders>
              <w:top w:val="single" w:sz="4" w:space="0" w:color="auto"/>
              <w:left w:val="nil"/>
              <w:bottom w:val="single" w:sz="4" w:space="0" w:color="auto"/>
              <w:right w:val="single" w:sz="4" w:space="0" w:color="auto"/>
            </w:tcBorders>
            <w:shd w:val="clear" w:color="auto" w:fill="auto"/>
            <w:vAlign w:val="center"/>
          </w:tcPr>
          <w:p w14:paraId="1C0D84AC" w14:textId="77777777" w:rsidR="0082252C" w:rsidRPr="006122EE" w:rsidRDefault="0082252C" w:rsidP="00C07232">
            <w:pPr>
              <w:jc w:val="left"/>
              <w:rPr>
                <w:bCs/>
              </w:rPr>
            </w:pPr>
            <w:r w:rsidRPr="006122EE">
              <w:rPr>
                <w:bCs/>
              </w:rPr>
              <w:t>MoNREM, private sector</w:t>
            </w:r>
          </w:p>
        </w:tc>
        <w:tc>
          <w:tcPr>
            <w:tcW w:w="870" w:type="pct"/>
            <w:tcBorders>
              <w:top w:val="single" w:sz="4" w:space="0" w:color="auto"/>
              <w:left w:val="nil"/>
              <w:bottom w:val="single" w:sz="4" w:space="0" w:color="auto"/>
              <w:right w:val="single" w:sz="4" w:space="0" w:color="auto"/>
            </w:tcBorders>
            <w:shd w:val="clear" w:color="auto" w:fill="auto"/>
            <w:vAlign w:val="center"/>
          </w:tcPr>
          <w:p w14:paraId="4DA77C6C" w14:textId="77777777" w:rsidR="0082252C" w:rsidRPr="006122EE" w:rsidRDefault="0082252C" w:rsidP="0082252C">
            <w:pPr>
              <w:rPr>
                <w:bCs/>
              </w:rPr>
            </w:pPr>
            <w:r w:rsidRPr="006122EE">
              <w:rPr>
                <w:bCs/>
              </w:rPr>
              <w:t>Unit cost: $6.7-7.4 million/MW</w:t>
            </w:r>
          </w:p>
          <w:p w14:paraId="2D5D0F15" w14:textId="77777777" w:rsidR="0082252C" w:rsidRPr="006122EE" w:rsidRDefault="0082252C" w:rsidP="0082252C">
            <w:pPr>
              <w:rPr>
                <w:bCs/>
              </w:rPr>
            </w:pPr>
            <w:r w:rsidRPr="006122EE">
              <w:rPr>
                <w:bCs/>
              </w:rPr>
              <w:t>Total: $</w:t>
            </w:r>
            <w:r w:rsidR="00A05AAB" w:rsidRPr="006122EE">
              <w:rPr>
                <w:bCs/>
              </w:rPr>
              <w:t>308 - 340</w:t>
            </w:r>
            <w:r w:rsidRPr="006122EE">
              <w:rPr>
                <w:bCs/>
              </w:rPr>
              <w:t xml:space="preserve"> million</w:t>
            </w:r>
          </w:p>
        </w:tc>
      </w:tr>
      <w:tr w:rsidR="0082252C" w:rsidRPr="006122EE" w14:paraId="5F7D1154"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5088A" w14:textId="77777777" w:rsidR="0082252C" w:rsidRPr="006122EE" w:rsidRDefault="0082252C" w:rsidP="0082252C">
            <w:pPr>
              <w:rPr>
                <w:bCs/>
              </w:rPr>
            </w:pPr>
            <w:r w:rsidRPr="006122EE">
              <w:rPr>
                <w:bCs/>
              </w:rPr>
              <w:t>Policy</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2C456CC0" w14:textId="77777777" w:rsidR="0082252C" w:rsidRPr="006122EE" w:rsidRDefault="0082252C" w:rsidP="0082252C">
            <w:pPr>
              <w:rPr>
                <w:bCs/>
              </w:rPr>
            </w:pPr>
            <w:r w:rsidRPr="006122EE">
              <w:rPr>
                <w:bCs/>
              </w:rPr>
              <w:t>Adopt RE Policy, financing strategy</w:t>
            </w:r>
          </w:p>
        </w:tc>
        <w:tc>
          <w:tcPr>
            <w:tcW w:w="703" w:type="pct"/>
            <w:tcBorders>
              <w:top w:val="single" w:sz="4" w:space="0" w:color="auto"/>
              <w:left w:val="nil"/>
              <w:bottom w:val="single" w:sz="4" w:space="0" w:color="auto"/>
              <w:right w:val="single" w:sz="4" w:space="0" w:color="auto"/>
            </w:tcBorders>
            <w:shd w:val="clear" w:color="auto" w:fill="auto"/>
            <w:vAlign w:val="center"/>
          </w:tcPr>
          <w:p w14:paraId="7E69DAB0" w14:textId="77777777" w:rsidR="0082252C" w:rsidRPr="006122EE" w:rsidRDefault="0082252C" w:rsidP="0082252C">
            <w:pPr>
              <w:rPr>
                <w:bCs/>
              </w:rPr>
            </w:pPr>
            <w:r w:rsidRPr="006122EE">
              <w:rPr>
                <w:bCs/>
              </w:rPr>
              <w:t>Short 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3DF78314" w14:textId="77777777" w:rsidR="0082252C" w:rsidRPr="006122EE" w:rsidRDefault="0082252C" w:rsidP="0082252C">
            <w:pPr>
              <w:rPr>
                <w:bCs/>
              </w:rPr>
            </w:pPr>
            <w:r w:rsidRPr="006122EE">
              <w:rPr>
                <w:bCs/>
              </w:rPr>
              <w:t>MoNREM</w:t>
            </w:r>
          </w:p>
        </w:tc>
        <w:tc>
          <w:tcPr>
            <w:tcW w:w="703" w:type="pct"/>
            <w:tcBorders>
              <w:top w:val="single" w:sz="4" w:space="0" w:color="auto"/>
              <w:left w:val="nil"/>
              <w:bottom w:val="single" w:sz="4" w:space="0" w:color="auto"/>
              <w:right w:val="single" w:sz="4" w:space="0" w:color="auto"/>
            </w:tcBorders>
            <w:shd w:val="clear" w:color="auto" w:fill="auto"/>
            <w:vAlign w:val="center"/>
          </w:tcPr>
          <w:p w14:paraId="5B6C7AE5" w14:textId="77777777" w:rsidR="0082252C" w:rsidRPr="006122EE" w:rsidRDefault="0082252C" w:rsidP="00C07232">
            <w:pPr>
              <w:jc w:val="left"/>
              <w:rPr>
                <w:bCs/>
              </w:rPr>
            </w:pPr>
            <w:r w:rsidRPr="006122EE">
              <w:rPr>
                <w:bCs/>
              </w:rPr>
              <w:t>MERA, private sector,</w:t>
            </w:r>
            <w:r w:rsidR="00172430" w:rsidRPr="006122EE">
              <w:rPr>
                <w:bCs/>
              </w:rPr>
              <w:t xml:space="preserve"> Renewable Energy Association of Malaw,</w:t>
            </w:r>
            <w:r w:rsidRPr="006122EE">
              <w:rPr>
                <w:bCs/>
              </w:rPr>
              <w:t xml:space="preserve"> NGOs</w:t>
            </w:r>
          </w:p>
        </w:tc>
        <w:tc>
          <w:tcPr>
            <w:tcW w:w="870" w:type="pct"/>
            <w:tcBorders>
              <w:top w:val="single" w:sz="4" w:space="0" w:color="auto"/>
              <w:left w:val="nil"/>
              <w:bottom w:val="single" w:sz="4" w:space="0" w:color="auto"/>
              <w:right w:val="single" w:sz="4" w:space="0" w:color="auto"/>
            </w:tcBorders>
            <w:shd w:val="clear" w:color="auto" w:fill="auto"/>
            <w:vAlign w:val="center"/>
          </w:tcPr>
          <w:p w14:paraId="6BB37ADB" w14:textId="77777777" w:rsidR="0082252C" w:rsidRPr="006122EE" w:rsidRDefault="0082252C" w:rsidP="0082252C">
            <w:pPr>
              <w:rPr>
                <w:bCs/>
              </w:rPr>
            </w:pPr>
            <w:r w:rsidRPr="006122EE">
              <w:rPr>
                <w:bCs/>
              </w:rPr>
              <w:t>n.a.</w:t>
            </w:r>
          </w:p>
        </w:tc>
      </w:tr>
      <w:tr w:rsidR="0082252C" w:rsidRPr="006122EE" w14:paraId="7F80A4B7"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EA166" w14:textId="77777777" w:rsidR="0082252C" w:rsidRPr="006122EE" w:rsidRDefault="0082252C" w:rsidP="0082252C">
            <w:pPr>
              <w:rPr>
                <w:bCs/>
              </w:rPr>
            </w:pPr>
            <w:r w:rsidRPr="006122EE">
              <w:rPr>
                <w:bCs/>
              </w:rPr>
              <w:t>Research</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3852B6BF" w14:textId="77777777" w:rsidR="0082252C" w:rsidRPr="006122EE" w:rsidRDefault="0082252C" w:rsidP="0082252C">
            <w:pPr>
              <w:rPr>
                <w:bCs/>
              </w:rPr>
            </w:pPr>
            <w:r w:rsidRPr="006122EE">
              <w:rPr>
                <w:bCs/>
              </w:rPr>
              <w:t xml:space="preserve">Conduct detailed resource assessments for RE, especially </w:t>
            </w:r>
            <w:r w:rsidR="001306B4" w:rsidRPr="006122EE">
              <w:rPr>
                <w:bCs/>
              </w:rPr>
              <w:t xml:space="preserve">wind, </w:t>
            </w:r>
            <w:r w:rsidRPr="006122EE">
              <w:rPr>
                <w:bCs/>
              </w:rPr>
              <w:t>geothermal and non-sugarcane biomass resources.</w:t>
            </w:r>
          </w:p>
        </w:tc>
        <w:tc>
          <w:tcPr>
            <w:tcW w:w="703" w:type="pct"/>
            <w:tcBorders>
              <w:top w:val="single" w:sz="4" w:space="0" w:color="auto"/>
              <w:left w:val="nil"/>
              <w:bottom w:val="single" w:sz="4" w:space="0" w:color="auto"/>
              <w:right w:val="single" w:sz="4" w:space="0" w:color="auto"/>
            </w:tcBorders>
            <w:shd w:val="clear" w:color="auto" w:fill="auto"/>
            <w:vAlign w:val="center"/>
          </w:tcPr>
          <w:p w14:paraId="58399E6B" w14:textId="77777777" w:rsidR="0082252C" w:rsidRPr="006122EE" w:rsidRDefault="0082252C" w:rsidP="0082252C">
            <w:pPr>
              <w:rPr>
                <w:bCs/>
              </w:rPr>
            </w:pPr>
            <w:r w:rsidRPr="006122EE">
              <w:rPr>
                <w:bCs/>
              </w:rPr>
              <w:t>Short-term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357F5154" w14:textId="77777777" w:rsidR="0082252C" w:rsidRPr="006122EE" w:rsidRDefault="0082252C" w:rsidP="0082252C">
            <w:pPr>
              <w:rPr>
                <w:bCs/>
              </w:rPr>
            </w:pPr>
            <w:r w:rsidRPr="006122EE">
              <w:rPr>
                <w:bCs/>
              </w:rPr>
              <w:t>MoNREM</w:t>
            </w:r>
          </w:p>
        </w:tc>
        <w:tc>
          <w:tcPr>
            <w:tcW w:w="703" w:type="pct"/>
            <w:tcBorders>
              <w:top w:val="single" w:sz="4" w:space="0" w:color="auto"/>
              <w:left w:val="nil"/>
              <w:bottom w:val="single" w:sz="4" w:space="0" w:color="auto"/>
              <w:right w:val="single" w:sz="4" w:space="0" w:color="auto"/>
            </w:tcBorders>
            <w:shd w:val="clear" w:color="auto" w:fill="auto"/>
            <w:vAlign w:val="center"/>
          </w:tcPr>
          <w:p w14:paraId="705FD0EA" w14:textId="77777777" w:rsidR="00172430" w:rsidRPr="006122EE" w:rsidRDefault="00172430" w:rsidP="00C07232">
            <w:pPr>
              <w:spacing w:before="0" w:after="0" w:line="276" w:lineRule="auto"/>
              <w:jc w:val="left"/>
            </w:pPr>
            <w:r w:rsidRPr="006122EE">
              <w:t>Universities and other research institutions (University of Malawi – Polytechnic, University of Mzuzu – Department of Energy Studies)</w:t>
            </w:r>
          </w:p>
          <w:p w14:paraId="26DE9333" w14:textId="77777777" w:rsidR="0082252C" w:rsidRPr="006122EE" w:rsidRDefault="00172430" w:rsidP="00C07232">
            <w:pPr>
              <w:jc w:val="left"/>
              <w:rPr>
                <w:bCs/>
              </w:rPr>
            </w:pPr>
            <w:r w:rsidRPr="006122EE">
              <w:rPr>
                <w:bCs/>
              </w:rPr>
              <w:t>National Commission for Science and Technology</w:t>
            </w:r>
          </w:p>
        </w:tc>
        <w:tc>
          <w:tcPr>
            <w:tcW w:w="870" w:type="pct"/>
            <w:tcBorders>
              <w:top w:val="single" w:sz="4" w:space="0" w:color="auto"/>
              <w:left w:val="nil"/>
              <w:bottom w:val="single" w:sz="4" w:space="0" w:color="auto"/>
              <w:right w:val="single" w:sz="4" w:space="0" w:color="auto"/>
            </w:tcBorders>
            <w:shd w:val="clear" w:color="auto" w:fill="auto"/>
            <w:vAlign w:val="center"/>
          </w:tcPr>
          <w:p w14:paraId="43C1DE79" w14:textId="77777777" w:rsidR="0082252C" w:rsidRPr="006122EE" w:rsidRDefault="001306B4" w:rsidP="0082252C">
            <w:pPr>
              <w:rPr>
                <w:bCs/>
              </w:rPr>
            </w:pPr>
            <w:r w:rsidRPr="006122EE">
              <w:rPr>
                <w:bCs/>
              </w:rPr>
              <w:t>n.a</w:t>
            </w:r>
          </w:p>
        </w:tc>
      </w:tr>
      <w:tr w:rsidR="0082252C" w:rsidRPr="006122EE" w14:paraId="4B35020C" w14:textId="77777777" w:rsidTr="0082252C">
        <w:trPr>
          <w:trHeight w:val="264"/>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BFBBE" w14:textId="77777777" w:rsidR="0082252C" w:rsidRPr="006122EE" w:rsidRDefault="0082252C" w:rsidP="0082252C">
            <w:pPr>
              <w:rPr>
                <w:bCs/>
              </w:rPr>
            </w:pPr>
            <w:r w:rsidRPr="006122EE">
              <w:rPr>
                <w:bCs/>
              </w:rPr>
              <w:t>Capacity building</w:t>
            </w:r>
          </w:p>
        </w:tc>
        <w:tc>
          <w:tcPr>
            <w:tcW w:w="1221" w:type="pct"/>
            <w:tcBorders>
              <w:top w:val="single" w:sz="4" w:space="0" w:color="auto"/>
              <w:left w:val="nil"/>
              <w:bottom w:val="single" w:sz="4" w:space="0" w:color="auto"/>
              <w:right w:val="single" w:sz="4" w:space="0" w:color="auto"/>
            </w:tcBorders>
            <w:shd w:val="clear" w:color="auto" w:fill="auto"/>
            <w:noWrap/>
            <w:vAlign w:val="center"/>
          </w:tcPr>
          <w:p w14:paraId="693553DB" w14:textId="77777777" w:rsidR="0082252C" w:rsidRPr="006122EE" w:rsidRDefault="0082252C" w:rsidP="0082252C">
            <w:pPr>
              <w:rPr>
                <w:bCs/>
              </w:rPr>
            </w:pPr>
            <w:r w:rsidRPr="006122EE">
              <w:rPr>
                <w:bCs/>
              </w:rPr>
              <w:t>Training for government and private sector on licensing &amp; permitting process, costs, regulatory policy and procedures, major issues in developing an RE project.</w:t>
            </w:r>
          </w:p>
        </w:tc>
        <w:tc>
          <w:tcPr>
            <w:tcW w:w="703" w:type="pct"/>
            <w:tcBorders>
              <w:top w:val="single" w:sz="4" w:space="0" w:color="auto"/>
              <w:left w:val="nil"/>
              <w:bottom w:val="single" w:sz="4" w:space="0" w:color="auto"/>
              <w:right w:val="single" w:sz="4" w:space="0" w:color="auto"/>
            </w:tcBorders>
            <w:shd w:val="clear" w:color="auto" w:fill="auto"/>
            <w:vAlign w:val="center"/>
          </w:tcPr>
          <w:p w14:paraId="3DDEDC5D" w14:textId="77777777" w:rsidR="0082252C" w:rsidRPr="006122EE" w:rsidRDefault="0082252C" w:rsidP="0082252C">
            <w:pPr>
              <w:rPr>
                <w:bCs/>
              </w:rPr>
            </w:pPr>
            <w:r w:rsidRPr="006122EE">
              <w:rPr>
                <w:bCs/>
              </w:rPr>
              <w:t>Short term</w:t>
            </w:r>
          </w:p>
        </w:tc>
        <w:tc>
          <w:tcPr>
            <w:tcW w:w="515" w:type="pct"/>
            <w:tcBorders>
              <w:top w:val="single" w:sz="4" w:space="0" w:color="auto"/>
              <w:left w:val="nil"/>
              <w:bottom w:val="single" w:sz="4" w:space="0" w:color="auto"/>
              <w:right w:val="single" w:sz="4" w:space="0" w:color="auto"/>
            </w:tcBorders>
            <w:shd w:val="clear" w:color="auto" w:fill="auto"/>
            <w:vAlign w:val="center"/>
          </w:tcPr>
          <w:p w14:paraId="29B8B387" w14:textId="77777777" w:rsidR="0082252C" w:rsidRPr="006122EE" w:rsidRDefault="0082252C" w:rsidP="0082252C">
            <w:pPr>
              <w:rPr>
                <w:bCs/>
              </w:rPr>
            </w:pPr>
            <w:r w:rsidRPr="006122EE">
              <w:rPr>
                <w:bCs/>
              </w:rPr>
              <w:t>MoNREM</w:t>
            </w:r>
          </w:p>
        </w:tc>
        <w:tc>
          <w:tcPr>
            <w:tcW w:w="703" w:type="pct"/>
            <w:tcBorders>
              <w:top w:val="single" w:sz="4" w:space="0" w:color="auto"/>
              <w:left w:val="nil"/>
              <w:bottom w:val="single" w:sz="4" w:space="0" w:color="auto"/>
              <w:right w:val="single" w:sz="4" w:space="0" w:color="auto"/>
            </w:tcBorders>
            <w:shd w:val="clear" w:color="auto" w:fill="auto"/>
            <w:vAlign w:val="center"/>
          </w:tcPr>
          <w:p w14:paraId="2DCC106B" w14:textId="77777777" w:rsidR="0082252C" w:rsidRPr="006122EE" w:rsidRDefault="0082252C" w:rsidP="0082252C">
            <w:pPr>
              <w:rPr>
                <w:bCs/>
              </w:rPr>
            </w:pPr>
            <w:r w:rsidRPr="006122EE">
              <w:rPr>
                <w:bCs/>
              </w:rPr>
              <w:t>MERA, private sector</w:t>
            </w:r>
          </w:p>
        </w:tc>
        <w:tc>
          <w:tcPr>
            <w:tcW w:w="870" w:type="pct"/>
            <w:tcBorders>
              <w:top w:val="single" w:sz="4" w:space="0" w:color="auto"/>
              <w:left w:val="nil"/>
              <w:bottom w:val="single" w:sz="4" w:space="0" w:color="auto"/>
              <w:right w:val="single" w:sz="4" w:space="0" w:color="auto"/>
            </w:tcBorders>
            <w:shd w:val="clear" w:color="auto" w:fill="auto"/>
            <w:vAlign w:val="center"/>
          </w:tcPr>
          <w:p w14:paraId="089EB290" w14:textId="77777777" w:rsidR="0082252C" w:rsidRPr="006122EE" w:rsidRDefault="0082252C" w:rsidP="0082252C">
            <w:pPr>
              <w:rPr>
                <w:bCs/>
              </w:rPr>
            </w:pPr>
            <w:r w:rsidRPr="006122EE">
              <w:rPr>
                <w:bCs/>
              </w:rPr>
              <w:t>n.a.</w:t>
            </w:r>
          </w:p>
        </w:tc>
      </w:tr>
    </w:tbl>
    <w:p w14:paraId="4B9C67FE" w14:textId="77777777" w:rsidR="004C163D" w:rsidRPr="006122EE" w:rsidRDefault="004C163D"/>
    <w:p w14:paraId="4A4E48C0" w14:textId="77777777" w:rsidR="004C163D" w:rsidRPr="006122EE" w:rsidRDefault="004C163D"/>
    <w:p w14:paraId="3849C08C" w14:textId="77777777" w:rsidR="004C163D" w:rsidRPr="006122EE" w:rsidRDefault="004C163D"/>
    <w:p w14:paraId="006C89B0" w14:textId="77777777" w:rsidR="00DF6714" w:rsidRPr="006122EE" w:rsidRDefault="00DF6714" w:rsidP="00726AF3">
      <w:pPr>
        <w:pStyle w:val="Caption"/>
      </w:pPr>
      <w:bookmarkStart w:id="624" w:name="_Toc481615030"/>
      <w:r w:rsidRPr="006122EE">
        <w:t xml:space="preserve">Table </w:t>
      </w:r>
      <w:r w:rsidR="00DC7D8C">
        <w:fldChar w:fldCharType="begin"/>
      </w:r>
      <w:r w:rsidR="00DC7D8C">
        <w:instrText xml:space="preserve"> SEQ Table \* ARABIC </w:instrText>
      </w:r>
      <w:r w:rsidR="00DC7D8C">
        <w:fldChar w:fldCharType="separate"/>
      </w:r>
      <w:r w:rsidR="00866D96">
        <w:rPr>
          <w:noProof/>
        </w:rPr>
        <w:t>45</w:t>
      </w:r>
      <w:r w:rsidR="00DC7D8C">
        <w:rPr>
          <w:noProof/>
        </w:rPr>
        <w:fldChar w:fldCharType="end"/>
      </w:r>
      <w:r w:rsidRPr="006122EE">
        <w:t>: Implementation of priority actions: Energy Efficiency</w:t>
      </w:r>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7"/>
        <w:gridCol w:w="3695"/>
        <w:gridCol w:w="2127"/>
        <w:gridCol w:w="1558"/>
        <w:gridCol w:w="2127"/>
        <w:gridCol w:w="2632"/>
      </w:tblGrid>
      <w:tr w:rsidR="003265BD" w:rsidRPr="006122EE" w14:paraId="4BF4A941" w14:textId="77777777" w:rsidTr="00CD5EEA">
        <w:trPr>
          <w:cantSplit/>
          <w:trHeight w:val="264"/>
          <w:tblHeader/>
        </w:trPr>
        <w:tc>
          <w:tcPr>
            <w:tcW w:w="987" w:type="pct"/>
            <w:shd w:val="clear" w:color="000000" w:fill="00A1DE"/>
            <w:noWrap/>
            <w:vAlign w:val="center"/>
          </w:tcPr>
          <w:p w14:paraId="5EEADBB5"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Category</w:t>
            </w:r>
          </w:p>
        </w:tc>
        <w:tc>
          <w:tcPr>
            <w:tcW w:w="1221" w:type="pct"/>
            <w:shd w:val="clear" w:color="000000" w:fill="00A1DE"/>
            <w:noWrap/>
            <w:vAlign w:val="center"/>
          </w:tcPr>
          <w:p w14:paraId="72FBA67D"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Action</w:t>
            </w:r>
          </w:p>
        </w:tc>
        <w:tc>
          <w:tcPr>
            <w:tcW w:w="703" w:type="pct"/>
            <w:shd w:val="clear" w:color="000000" w:fill="00A1DE"/>
            <w:vAlign w:val="center"/>
          </w:tcPr>
          <w:p w14:paraId="3B2EF8C1"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Indicative time frame*</w:t>
            </w:r>
          </w:p>
        </w:tc>
        <w:tc>
          <w:tcPr>
            <w:tcW w:w="515" w:type="pct"/>
            <w:shd w:val="clear" w:color="000000" w:fill="00A1DE"/>
            <w:vAlign w:val="center"/>
          </w:tcPr>
          <w:p w14:paraId="1409DAF5"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Lead agency</w:t>
            </w:r>
          </w:p>
        </w:tc>
        <w:tc>
          <w:tcPr>
            <w:tcW w:w="703" w:type="pct"/>
            <w:shd w:val="clear" w:color="000000" w:fill="00A1DE"/>
            <w:vAlign w:val="center"/>
          </w:tcPr>
          <w:p w14:paraId="5921B07C"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Cooperating stakeholders</w:t>
            </w:r>
          </w:p>
        </w:tc>
        <w:tc>
          <w:tcPr>
            <w:tcW w:w="870" w:type="pct"/>
            <w:shd w:val="clear" w:color="000000" w:fill="00A1DE"/>
            <w:vAlign w:val="center"/>
          </w:tcPr>
          <w:p w14:paraId="7C7C69D2" w14:textId="77777777" w:rsidR="003265BD" w:rsidRPr="006122EE" w:rsidRDefault="003265BD" w:rsidP="003265BD">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Estimated costs</w:t>
            </w:r>
          </w:p>
        </w:tc>
      </w:tr>
      <w:tr w:rsidR="00CD5EEA" w:rsidRPr="006122EE" w14:paraId="073807AC" w14:textId="77777777" w:rsidTr="00CD5EEA">
        <w:trPr>
          <w:cantSplit/>
          <w:trHeight w:val="264"/>
        </w:trPr>
        <w:tc>
          <w:tcPr>
            <w:tcW w:w="987" w:type="pct"/>
            <w:vMerge w:val="restart"/>
            <w:shd w:val="clear" w:color="auto" w:fill="auto"/>
            <w:noWrap/>
            <w:vAlign w:val="center"/>
          </w:tcPr>
          <w:p w14:paraId="040E0825"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Institutions</w:t>
            </w:r>
          </w:p>
        </w:tc>
        <w:tc>
          <w:tcPr>
            <w:tcW w:w="1221" w:type="pct"/>
            <w:shd w:val="clear" w:color="auto" w:fill="auto"/>
            <w:noWrap/>
            <w:vAlign w:val="center"/>
          </w:tcPr>
          <w:p w14:paraId="295B2BA4" w14:textId="77777777" w:rsidR="00CD5EEA" w:rsidRPr="006122EE" w:rsidRDefault="00CD5EEA" w:rsidP="009C6C5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Establish National Energy Efficiency </w:t>
            </w:r>
            <w:r w:rsidR="009C6C5F" w:rsidRPr="006122EE">
              <w:rPr>
                <w:rFonts w:eastAsia="Times New Roman" w:cs="Arial"/>
                <w:color w:val="000000"/>
                <w:szCs w:val="20"/>
                <w:lang w:eastAsia="fr-FR"/>
              </w:rPr>
              <w:t>Committee</w:t>
            </w:r>
          </w:p>
        </w:tc>
        <w:tc>
          <w:tcPr>
            <w:tcW w:w="703" w:type="pct"/>
            <w:vAlign w:val="center"/>
          </w:tcPr>
          <w:p w14:paraId="29A5EEE6"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vAlign w:val="center"/>
          </w:tcPr>
          <w:p w14:paraId="5DCAA97F" w14:textId="77777777" w:rsidR="00CD5EEA" w:rsidRPr="006122EE" w:rsidRDefault="00CD5EEA" w:rsidP="00A62F99">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w:t>
            </w:r>
          </w:p>
        </w:tc>
        <w:tc>
          <w:tcPr>
            <w:tcW w:w="703" w:type="pct"/>
            <w:vAlign w:val="center"/>
          </w:tcPr>
          <w:p w14:paraId="42D552F7"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w:t>
            </w:r>
          </w:p>
        </w:tc>
        <w:tc>
          <w:tcPr>
            <w:tcW w:w="870" w:type="pct"/>
            <w:vAlign w:val="center"/>
          </w:tcPr>
          <w:p w14:paraId="0CDCA1CE"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CD5EEA" w:rsidRPr="006122EE" w14:paraId="549CE4B8" w14:textId="77777777" w:rsidTr="00CD5EEA">
        <w:trPr>
          <w:cantSplit/>
          <w:trHeight w:val="264"/>
        </w:trPr>
        <w:tc>
          <w:tcPr>
            <w:tcW w:w="987" w:type="pct"/>
            <w:vMerge/>
            <w:shd w:val="clear" w:color="auto" w:fill="auto"/>
            <w:noWrap/>
            <w:vAlign w:val="center"/>
          </w:tcPr>
          <w:p w14:paraId="0B8B0EEE" w14:textId="77777777" w:rsidR="00CD5EEA" w:rsidRPr="006122EE" w:rsidRDefault="00CD5EEA" w:rsidP="003265BD">
            <w:pPr>
              <w:spacing w:before="0" w:after="0" w:line="240" w:lineRule="auto"/>
              <w:jc w:val="left"/>
              <w:rPr>
                <w:rFonts w:eastAsia="Times New Roman" w:cs="Arial"/>
                <w:color w:val="000000"/>
                <w:szCs w:val="20"/>
                <w:lang w:eastAsia="fr-FR"/>
              </w:rPr>
            </w:pPr>
          </w:p>
        </w:tc>
        <w:tc>
          <w:tcPr>
            <w:tcW w:w="1221" w:type="pct"/>
            <w:shd w:val="clear" w:color="auto" w:fill="auto"/>
            <w:noWrap/>
            <w:vAlign w:val="center"/>
          </w:tcPr>
          <w:p w14:paraId="70C871D6"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Establish EE/RE Fund</w:t>
            </w:r>
          </w:p>
        </w:tc>
        <w:tc>
          <w:tcPr>
            <w:tcW w:w="703" w:type="pct"/>
            <w:vAlign w:val="center"/>
          </w:tcPr>
          <w:p w14:paraId="54C4137B" w14:textId="77777777" w:rsidR="00CD5EEA" w:rsidRPr="006122EE" w:rsidRDefault="00CD5EEA" w:rsidP="00A62F99">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short to medium term </w:t>
            </w:r>
          </w:p>
        </w:tc>
        <w:tc>
          <w:tcPr>
            <w:tcW w:w="515" w:type="pct"/>
            <w:vAlign w:val="center"/>
          </w:tcPr>
          <w:p w14:paraId="012C2F87" w14:textId="77777777" w:rsidR="00CD5EEA" w:rsidRPr="006122EE" w:rsidRDefault="00CD5EEA" w:rsidP="008C0566">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MoFED</w:t>
            </w:r>
          </w:p>
        </w:tc>
        <w:tc>
          <w:tcPr>
            <w:tcW w:w="703" w:type="pct"/>
            <w:vAlign w:val="center"/>
          </w:tcPr>
          <w:p w14:paraId="1727F95B"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 Malawi Development Bank (upon establishment)</w:t>
            </w:r>
          </w:p>
        </w:tc>
        <w:tc>
          <w:tcPr>
            <w:tcW w:w="870" w:type="pct"/>
            <w:vAlign w:val="center"/>
          </w:tcPr>
          <w:p w14:paraId="7395CB15"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USD 30 million</w:t>
            </w:r>
            <w:r w:rsidRPr="006122EE">
              <w:rPr>
                <w:rFonts w:eastAsia="Times New Roman" w:cs="Arial"/>
                <w:color w:val="000000"/>
                <w:szCs w:val="20"/>
                <w:vertAlign w:val="superscript"/>
                <w:lang w:eastAsia="fr-FR"/>
              </w:rPr>
              <w:footnoteReference w:id="100"/>
            </w:r>
          </w:p>
        </w:tc>
      </w:tr>
      <w:tr w:rsidR="003265BD" w:rsidRPr="006122EE" w14:paraId="49DF8A92" w14:textId="77777777" w:rsidTr="00CD5EEA">
        <w:trPr>
          <w:cantSplit/>
          <w:trHeight w:val="264"/>
        </w:trPr>
        <w:tc>
          <w:tcPr>
            <w:tcW w:w="987" w:type="pct"/>
            <w:shd w:val="clear" w:color="auto" w:fill="auto"/>
            <w:noWrap/>
            <w:vAlign w:val="center"/>
          </w:tcPr>
          <w:p w14:paraId="21FF4149" w14:textId="77777777" w:rsidR="003265BD" w:rsidRPr="006122EE" w:rsidRDefault="003265BD"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Agriculture</w:t>
            </w:r>
          </w:p>
        </w:tc>
        <w:tc>
          <w:tcPr>
            <w:tcW w:w="1221" w:type="pct"/>
            <w:shd w:val="clear" w:color="auto" w:fill="auto"/>
            <w:noWrap/>
            <w:vAlign w:val="center"/>
          </w:tcPr>
          <w:p w14:paraId="58784A36" w14:textId="77777777" w:rsidR="003265BD" w:rsidRPr="006122EE" w:rsidRDefault="003265BD" w:rsidP="006F2E5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Build/Install </w:t>
            </w:r>
            <w:r w:rsidR="006F2E5D" w:rsidRPr="006122EE">
              <w:rPr>
                <w:rFonts w:eastAsia="Times New Roman" w:cs="Arial"/>
                <w:color w:val="000000"/>
                <w:szCs w:val="20"/>
                <w:lang w:eastAsia="fr-FR"/>
              </w:rPr>
              <w:t>5</w:t>
            </w:r>
            <w:r w:rsidRPr="006122EE">
              <w:rPr>
                <w:rFonts w:eastAsia="Times New Roman" w:cs="Arial"/>
                <w:color w:val="000000"/>
                <w:szCs w:val="20"/>
                <w:lang w:eastAsia="fr-FR"/>
              </w:rPr>
              <w:t> 000 efficient tobacco curing barns</w:t>
            </w:r>
          </w:p>
        </w:tc>
        <w:tc>
          <w:tcPr>
            <w:tcW w:w="703" w:type="pct"/>
            <w:vAlign w:val="center"/>
          </w:tcPr>
          <w:p w14:paraId="19C3D867" w14:textId="77777777" w:rsidR="003265BD" w:rsidRPr="006122EE" w:rsidRDefault="003265BD"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vAlign w:val="center"/>
          </w:tcPr>
          <w:p w14:paraId="0951B8A5" w14:textId="77777777" w:rsidR="003265BD" w:rsidRPr="006122EE" w:rsidRDefault="003265BD"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Ministry of agriculture</w:t>
            </w:r>
            <w:r w:rsidR="006F2E5D" w:rsidRPr="006122EE">
              <w:rPr>
                <w:rFonts w:eastAsia="Times New Roman" w:cs="Arial"/>
                <w:color w:val="000000"/>
                <w:szCs w:val="20"/>
                <w:lang w:eastAsia="fr-FR"/>
              </w:rPr>
              <w:t xml:space="preserve"> and water development</w:t>
            </w:r>
          </w:p>
        </w:tc>
        <w:tc>
          <w:tcPr>
            <w:tcW w:w="703" w:type="pct"/>
            <w:vAlign w:val="center"/>
          </w:tcPr>
          <w:p w14:paraId="1F254186" w14:textId="77777777" w:rsidR="003265BD" w:rsidRPr="006122EE" w:rsidRDefault="003265BD" w:rsidP="001A0A63">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Tobacco </w:t>
            </w:r>
            <w:r w:rsidR="008C0566" w:rsidRPr="006122EE">
              <w:rPr>
                <w:rFonts w:eastAsia="Times New Roman" w:cs="Arial"/>
                <w:color w:val="000000"/>
                <w:szCs w:val="20"/>
                <w:lang w:eastAsia="fr-FR"/>
              </w:rPr>
              <w:t>control commission</w:t>
            </w:r>
            <w:r w:rsidRPr="006122EE">
              <w:rPr>
                <w:rFonts w:eastAsia="Times New Roman" w:cs="Arial"/>
                <w:color w:val="000000"/>
                <w:szCs w:val="20"/>
                <w:lang w:eastAsia="fr-FR"/>
              </w:rPr>
              <w:t>, Mo</w:t>
            </w:r>
            <w:r w:rsidR="008C0566" w:rsidRPr="006122EE">
              <w:rPr>
                <w:rFonts w:eastAsia="Times New Roman" w:cs="Arial"/>
                <w:color w:val="000000"/>
                <w:szCs w:val="20"/>
                <w:lang w:eastAsia="fr-FR"/>
              </w:rPr>
              <w:t>F</w:t>
            </w:r>
            <w:r w:rsidR="001A0A63" w:rsidRPr="006122EE">
              <w:rPr>
                <w:rFonts w:eastAsia="Times New Roman" w:cs="Arial"/>
                <w:color w:val="000000"/>
                <w:szCs w:val="20"/>
                <w:lang w:eastAsia="fr-FR"/>
              </w:rPr>
              <w:t>E</w:t>
            </w:r>
            <w:r w:rsidRPr="006122EE">
              <w:rPr>
                <w:rFonts w:eastAsia="Times New Roman" w:cs="Arial"/>
                <w:color w:val="000000"/>
                <w:szCs w:val="20"/>
                <w:lang w:eastAsia="fr-FR"/>
              </w:rPr>
              <w:t>D</w:t>
            </w:r>
          </w:p>
        </w:tc>
        <w:tc>
          <w:tcPr>
            <w:tcW w:w="870" w:type="pct"/>
            <w:vAlign w:val="center"/>
          </w:tcPr>
          <w:p w14:paraId="734F7244" w14:textId="77777777" w:rsidR="003265BD" w:rsidRPr="006122EE" w:rsidRDefault="003265BD" w:rsidP="008C0566">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USD </w:t>
            </w:r>
            <w:r w:rsidR="008C0566" w:rsidRPr="006122EE">
              <w:rPr>
                <w:rFonts w:eastAsia="Times New Roman" w:cs="Arial"/>
                <w:color w:val="000000"/>
                <w:szCs w:val="20"/>
                <w:lang w:eastAsia="fr-FR"/>
              </w:rPr>
              <w:t>7.5</w:t>
            </w:r>
            <w:r w:rsidRPr="006122EE">
              <w:rPr>
                <w:rFonts w:eastAsia="Times New Roman" w:cs="Arial"/>
                <w:color w:val="000000"/>
                <w:szCs w:val="20"/>
                <w:lang w:eastAsia="fr-FR"/>
              </w:rPr>
              <w:t xml:space="preserve"> million</w:t>
            </w:r>
            <w:r w:rsidRPr="006122EE">
              <w:rPr>
                <w:rFonts w:eastAsia="Times New Roman" w:cs="Arial"/>
                <w:color w:val="000000"/>
                <w:szCs w:val="20"/>
                <w:vertAlign w:val="superscript"/>
                <w:lang w:eastAsia="fr-FR"/>
              </w:rPr>
              <w:footnoteReference w:id="101"/>
            </w:r>
          </w:p>
        </w:tc>
      </w:tr>
      <w:tr w:rsidR="00CD5EEA" w:rsidRPr="006122EE" w14:paraId="15D0F95C" w14:textId="77777777" w:rsidTr="00CD5EEA">
        <w:trPr>
          <w:cantSplit/>
          <w:trHeight w:val="264"/>
        </w:trPr>
        <w:tc>
          <w:tcPr>
            <w:tcW w:w="987" w:type="pct"/>
            <w:vMerge w:val="restart"/>
            <w:shd w:val="clear" w:color="auto" w:fill="auto"/>
            <w:noWrap/>
            <w:vAlign w:val="center"/>
          </w:tcPr>
          <w:p w14:paraId="1FD3E439"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Policy</w:t>
            </w:r>
          </w:p>
        </w:tc>
        <w:tc>
          <w:tcPr>
            <w:tcW w:w="1221" w:type="pct"/>
            <w:shd w:val="clear" w:color="auto" w:fill="auto"/>
            <w:noWrap/>
            <w:vAlign w:val="center"/>
          </w:tcPr>
          <w:p w14:paraId="1EE728BD"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Introduce National Energy Management Regulations</w:t>
            </w:r>
          </w:p>
        </w:tc>
        <w:tc>
          <w:tcPr>
            <w:tcW w:w="703" w:type="pct"/>
            <w:vAlign w:val="center"/>
          </w:tcPr>
          <w:p w14:paraId="25129FD2"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vAlign w:val="center"/>
          </w:tcPr>
          <w:p w14:paraId="568A07DD"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vAlign w:val="center"/>
          </w:tcPr>
          <w:p w14:paraId="085C9B8E"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vAlign w:val="center"/>
          </w:tcPr>
          <w:p w14:paraId="63C84A22"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CD5EEA" w:rsidRPr="006122EE" w14:paraId="63B2282C" w14:textId="77777777" w:rsidTr="00CD5EEA">
        <w:trPr>
          <w:cantSplit/>
          <w:trHeight w:val="264"/>
        </w:trPr>
        <w:tc>
          <w:tcPr>
            <w:tcW w:w="987" w:type="pct"/>
            <w:vMerge/>
            <w:shd w:val="clear" w:color="auto" w:fill="auto"/>
            <w:noWrap/>
            <w:vAlign w:val="center"/>
          </w:tcPr>
          <w:p w14:paraId="0CFAED55" w14:textId="77777777" w:rsidR="00CD5EEA" w:rsidRPr="006122EE" w:rsidRDefault="00CD5EEA" w:rsidP="003265BD">
            <w:pPr>
              <w:spacing w:before="0" w:after="0" w:line="240" w:lineRule="auto"/>
              <w:jc w:val="left"/>
              <w:rPr>
                <w:rFonts w:eastAsia="Times New Roman" w:cs="Arial"/>
                <w:color w:val="000000"/>
                <w:szCs w:val="20"/>
                <w:lang w:eastAsia="fr-FR"/>
              </w:rPr>
            </w:pPr>
          </w:p>
        </w:tc>
        <w:tc>
          <w:tcPr>
            <w:tcW w:w="1221" w:type="pct"/>
            <w:shd w:val="clear" w:color="auto" w:fill="auto"/>
            <w:noWrap/>
            <w:vAlign w:val="center"/>
          </w:tcPr>
          <w:p w14:paraId="116F7E1E"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Introduce Minimum Energy Performance Standards and Labeling regulations for lighting bulbs and other electrical appliances and equipment</w:t>
            </w:r>
          </w:p>
        </w:tc>
        <w:tc>
          <w:tcPr>
            <w:tcW w:w="703" w:type="pct"/>
            <w:vAlign w:val="center"/>
          </w:tcPr>
          <w:p w14:paraId="7D460D20"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vAlign w:val="center"/>
          </w:tcPr>
          <w:p w14:paraId="037288BA"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vAlign w:val="center"/>
          </w:tcPr>
          <w:p w14:paraId="5BF40409"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vAlign w:val="center"/>
          </w:tcPr>
          <w:p w14:paraId="3B4BBD83"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CD5EEA" w:rsidRPr="006122EE" w14:paraId="057382FE" w14:textId="77777777" w:rsidTr="00CD5EEA">
        <w:trPr>
          <w:cantSplit/>
          <w:trHeight w:val="264"/>
        </w:trPr>
        <w:tc>
          <w:tcPr>
            <w:tcW w:w="987" w:type="pct"/>
            <w:vMerge/>
            <w:shd w:val="clear" w:color="auto" w:fill="auto"/>
            <w:noWrap/>
            <w:vAlign w:val="center"/>
          </w:tcPr>
          <w:p w14:paraId="44BC1B2B" w14:textId="77777777" w:rsidR="00CD5EEA" w:rsidRPr="006122EE" w:rsidRDefault="00CD5EEA" w:rsidP="003265BD">
            <w:pPr>
              <w:spacing w:before="0" w:after="0" w:line="240" w:lineRule="auto"/>
              <w:jc w:val="left"/>
              <w:rPr>
                <w:rFonts w:eastAsia="Times New Roman" w:cs="Arial"/>
                <w:color w:val="000000"/>
                <w:szCs w:val="20"/>
                <w:lang w:eastAsia="fr-FR"/>
              </w:rPr>
            </w:pPr>
          </w:p>
        </w:tc>
        <w:tc>
          <w:tcPr>
            <w:tcW w:w="1221" w:type="pct"/>
            <w:shd w:val="clear" w:color="auto" w:fill="auto"/>
            <w:noWrap/>
            <w:vAlign w:val="center"/>
          </w:tcPr>
          <w:p w14:paraId="7F6B0BC5"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Conduct national EE audit and develop national EE action plan</w:t>
            </w:r>
          </w:p>
        </w:tc>
        <w:tc>
          <w:tcPr>
            <w:tcW w:w="703" w:type="pct"/>
            <w:vAlign w:val="center"/>
          </w:tcPr>
          <w:p w14:paraId="48AF8BE3"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vAlign w:val="center"/>
          </w:tcPr>
          <w:p w14:paraId="11965F1B"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w:t>
            </w:r>
          </w:p>
        </w:tc>
        <w:tc>
          <w:tcPr>
            <w:tcW w:w="703" w:type="pct"/>
            <w:vAlign w:val="center"/>
          </w:tcPr>
          <w:p w14:paraId="50CB47E7"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w:t>
            </w:r>
          </w:p>
        </w:tc>
        <w:tc>
          <w:tcPr>
            <w:tcW w:w="870" w:type="pct"/>
            <w:vAlign w:val="center"/>
          </w:tcPr>
          <w:p w14:paraId="2192527E" w14:textId="77777777" w:rsidR="00CD5EEA" w:rsidRPr="006122EE" w:rsidRDefault="00CD5EEA" w:rsidP="003265BD">
            <w:pPr>
              <w:spacing w:before="0" w:after="0" w:line="240" w:lineRule="auto"/>
              <w:jc w:val="left"/>
              <w:rPr>
                <w:rFonts w:eastAsia="Times New Roman" w:cs="Arial"/>
                <w:color w:val="000000"/>
                <w:szCs w:val="20"/>
                <w:lang w:eastAsia="fr-FR"/>
              </w:rPr>
            </w:pPr>
          </w:p>
        </w:tc>
      </w:tr>
      <w:tr w:rsidR="00CD5EEA" w:rsidRPr="006122EE" w14:paraId="2300F1FA" w14:textId="77777777" w:rsidTr="00CD5EEA">
        <w:trPr>
          <w:cantSplit/>
          <w:trHeight w:val="264"/>
        </w:trPr>
        <w:tc>
          <w:tcPr>
            <w:tcW w:w="987" w:type="pct"/>
            <w:vMerge/>
            <w:shd w:val="clear" w:color="auto" w:fill="auto"/>
            <w:noWrap/>
            <w:vAlign w:val="center"/>
          </w:tcPr>
          <w:p w14:paraId="3B750E3C" w14:textId="77777777" w:rsidR="00CD5EEA" w:rsidRPr="006122EE" w:rsidRDefault="00CD5EEA" w:rsidP="003265BD">
            <w:pPr>
              <w:spacing w:before="0" w:after="0" w:line="240" w:lineRule="auto"/>
              <w:jc w:val="left"/>
              <w:rPr>
                <w:rFonts w:eastAsia="Times New Roman" w:cs="Arial"/>
                <w:color w:val="000000"/>
                <w:szCs w:val="20"/>
                <w:lang w:eastAsia="fr-FR"/>
              </w:rPr>
            </w:pPr>
          </w:p>
        </w:tc>
        <w:tc>
          <w:tcPr>
            <w:tcW w:w="1221" w:type="pct"/>
            <w:shd w:val="clear" w:color="auto" w:fill="auto"/>
            <w:noWrap/>
            <w:vAlign w:val="center"/>
          </w:tcPr>
          <w:p w14:paraId="14AFE3F9"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Establishment of EE and RE technical excellence centre</w:t>
            </w:r>
          </w:p>
        </w:tc>
        <w:tc>
          <w:tcPr>
            <w:tcW w:w="703" w:type="pct"/>
            <w:vAlign w:val="center"/>
          </w:tcPr>
          <w:p w14:paraId="3AC98892"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vAlign w:val="center"/>
          </w:tcPr>
          <w:p w14:paraId="60891CF5"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Malawi Bureau of Standards</w:t>
            </w:r>
          </w:p>
        </w:tc>
        <w:tc>
          <w:tcPr>
            <w:tcW w:w="703" w:type="pct"/>
            <w:vAlign w:val="center"/>
          </w:tcPr>
          <w:p w14:paraId="0728CDA1"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 MERA</w:t>
            </w:r>
          </w:p>
        </w:tc>
        <w:tc>
          <w:tcPr>
            <w:tcW w:w="870" w:type="pct"/>
            <w:vAlign w:val="center"/>
          </w:tcPr>
          <w:p w14:paraId="43655F2C"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CD5EEA" w:rsidRPr="006122EE" w14:paraId="0CF1461A" w14:textId="77777777" w:rsidTr="00B12628">
        <w:trPr>
          <w:cantSplit/>
          <w:trHeight w:val="920"/>
        </w:trPr>
        <w:tc>
          <w:tcPr>
            <w:tcW w:w="987" w:type="pct"/>
            <w:shd w:val="clear" w:color="auto" w:fill="auto"/>
            <w:noWrap/>
            <w:vAlign w:val="center"/>
          </w:tcPr>
          <w:p w14:paraId="764FD93C"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DSM (lighting)</w:t>
            </w:r>
          </w:p>
        </w:tc>
        <w:tc>
          <w:tcPr>
            <w:tcW w:w="1221" w:type="pct"/>
            <w:shd w:val="clear" w:color="auto" w:fill="auto"/>
            <w:noWrap/>
            <w:vAlign w:val="center"/>
          </w:tcPr>
          <w:p w14:paraId="704DD5B2" w14:textId="77777777" w:rsidR="00CD5EEA" w:rsidRPr="006122EE" w:rsidRDefault="00CD5EEA" w:rsidP="001A0A63">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Roll out 8.25 million LEDs</w:t>
            </w:r>
          </w:p>
        </w:tc>
        <w:tc>
          <w:tcPr>
            <w:tcW w:w="703" w:type="pct"/>
            <w:vAlign w:val="center"/>
          </w:tcPr>
          <w:p w14:paraId="750BF417"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throughout 2030</w:t>
            </w:r>
          </w:p>
        </w:tc>
        <w:tc>
          <w:tcPr>
            <w:tcW w:w="515" w:type="pct"/>
            <w:vAlign w:val="center"/>
          </w:tcPr>
          <w:p w14:paraId="669FFBE2" w14:textId="77777777" w:rsidR="00CD5EEA" w:rsidRPr="006122EE" w:rsidRDefault="00CD5EEA"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ESCOM</w:t>
            </w:r>
          </w:p>
        </w:tc>
        <w:tc>
          <w:tcPr>
            <w:tcW w:w="703" w:type="pct"/>
            <w:vAlign w:val="center"/>
          </w:tcPr>
          <w:p w14:paraId="228EEBBD" w14:textId="77777777" w:rsidR="00CD5EEA" w:rsidRPr="006122EE" w:rsidRDefault="00CD5EEA" w:rsidP="001A0A63">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MoNREM, Ministry of Finance and Economic Development</w:t>
            </w:r>
          </w:p>
        </w:tc>
        <w:tc>
          <w:tcPr>
            <w:tcW w:w="870" w:type="pct"/>
            <w:vAlign w:val="center"/>
          </w:tcPr>
          <w:p w14:paraId="5FF674F2" w14:textId="77777777" w:rsidR="00CD5EEA" w:rsidRPr="006122EE" w:rsidRDefault="00CD5EEA" w:rsidP="001A0A63">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around USD 16.5 million</w:t>
            </w:r>
            <w:r w:rsidRPr="006122EE">
              <w:rPr>
                <w:rFonts w:eastAsia="Times New Roman" w:cs="Arial"/>
                <w:color w:val="000000"/>
                <w:szCs w:val="20"/>
                <w:vertAlign w:val="superscript"/>
                <w:lang w:eastAsia="fr-FR"/>
              </w:rPr>
              <w:footnoteReference w:id="102"/>
            </w:r>
          </w:p>
        </w:tc>
      </w:tr>
      <w:tr w:rsidR="003265BD" w:rsidRPr="006122EE" w14:paraId="2EB0AEED" w14:textId="77777777" w:rsidTr="00CD5EEA">
        <w:trPr>
          <w:cantSplit/>
          <w:trHeight w:val="264"/>
        </w:trPr>
        <w:tc>
          <w:tcPr>
            <w:tcW w:w="987" w:type="pct"/>
            <w:shd w:val="clear" w:color="auto" w:fill="auto"/>
            <w:noWrap/>
            <w:vAlign w:val="center"/>
          </w:tcPr>
          <w:p w14:paraId="1F1B1349" w14:textId="77777777" w:rsidR="003265BD" w:rsidRPr="006122EE" w:rsidRDefault="003265BD"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DSM</w:t>
            </w:r>
          </w:p>
        </w:tc>
        <w:tc>
          <w:tcPr>
            <w:tcW w:w="1221" w:type="pct"/>
            <w:shd w:val="clear" w:color="auto" w:fill="auto"/>
            <w:noWrap/>
            <w:vAlign w:val="center"/>
          </w:tcPr>
          <w:p w14:paraId="6CBFA811" w14:textId="77777777" w:rsidR="003265BD" w:rsidRPr="006122EE" w:rsidRDefault="003265BD" w:rsidP="009859D2">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Installation of 1.</w:t>
            </w:r>
            <w:r w:rsidR="009859D2" w:rsidRPr="006122EE">
              <w:rPr>
                <w:rFonts w:eastAsia="Times New Roman" w:cs="Arial"/>
                <w:color w:val="000000"/>
                <w:szCs w:val="20"/>
                <w:lang w:eastAsia="fr-FR"/>
              </w:rPr>
              <w:t>6</w:t>
            </w:r>
            <w:r w:rsidRPr="006122EE">
              <w:rPr>
                <w:rFonts w:eastAsia="Times New Roman" w:cs="Arial"/>
                <w:color w:val="000000"/>
                <w:szCs w:val="20"/>
                <w:lang w:eastAsia="fr-FR"/>
              </w:rPr>
              <w:t xml:space="preserve"> million pre-paid meters to grid </w:t>
            </w:r>
            <w:r w:rsidR="009859D2" w:rsidRPr="006122EE">
              <w:rPr>
                <w:rFonts w:eastAsia="Times New Roman" w:cs="Arial"/>
                <w:color w:val="000000"/>
                <w:szCs w:val="20"/>
                <w:lang w:eastAsia="fr-FR"/>
              </w:rPr>
              <w:t xml:space="preserve">connected </w:t>
            </w:r>
            <w:r w:rsidRPr="006122EE">
              <w:rPr>
                <w:rFonts w:eastAsia="Times New Roman" w:cs="Arial"/>
                <w:color w:val="000000"/>
                <w:szCs w:val="20"/>
                <w:lang w:eastAsia="fr-FR"/>
              </w:rPr>
              <w:t>households</w:t>
            </w:r>
          </w:p>
        </w:tc>
        <w:tc>
          <w:tcPr>
            <w:tcW w:w="703" w:type="pct"/>
            <w:vAlign w:val="center"/>
          </w:tcPr>
          <w:p w14:paraId="0F9F7822" w14:textId="77777777" w:rsidR="003265BD" w:rsidRPr="006122EE" w:rsidRDefault="003265BD"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to long term</w:t>
            </w:r>
          </w:p>
        </w:tc>
        <w:tc>
          <w:tcPr>
            <w:tcW w:w="515" w:type="pct"/>
            <w:vAlign w:val="center"/>
          </w:tcPr>
          <w:p w14:paraId="73D06FD0" w14:textId="77777777" w:rsidR="003265BD" w:rsidRPr="006122EE" w:rsidRDefault="009859D2" w:rsidP="003265BD">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ESCOM</w:t>
            </w:r>
          </w:p>
        </w:tc>
        <w:tc>
          <w:tcPr>
            <w:tcW w:w="703" w:type="pct"/>
            <w:vAlign w:val="center"/>
          </w:tcPr>
          <w:p w14:paraId="1E5E78FF" w14:textId="77777777" w:rsidR="003265BD" w:rsidRPr="006122EE" w:rsidRDefault="003265BD" w:rsidP="009859D2">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MoF</w:t>
            </w:r>
            <w:r w:rsidR="009859D2" w:rsidRPr="006122EE">
              <w:rPr>
                <w:rFonts w:eastAsia="Times New Roman" w:cs="Arial"/>
                <w:color w:val="000000"/>
                <w:szCs w:val="20"/>
                <w:lang w:eastAsia="fr-FR"/>
              </w:rPr>
              <w:t>ED, MoNREM</w:t>
            </w:r>
          </w:p>
        </w:tc>
        <w:tc>
          <w:tcPr>
            <w:tcW w:w="870" w:type="pct"/>
            <w:vAlign w:val="center"/>
          </w:tcPr>
          <w:p w14:paraId="2954A0FC" w14:textId="77777777" w:rsidR="003265BD" w:rsidRPr="006122EE" w:rsidRDefault="003265BD" w:rsidP="009859D2">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USD </w:t>
            </w:r>
            <w:r w:rsidR="009859D2" w:rsidRPr="006122EE">
              <w:rPr>
                <w:rFonts w:eastAsia="Times New Roman" w:cs="Arial"/>
                <w:color w:val="000000"/>
                <w:szCs w:val="20"/>
                <w:lang w:eastAsia="fr-FR"/>
              </w:rPr>
              <w:t>64</w:t>
            </w:r>
            <w:r w:rsidRPr="006122EE">
              <w:rPr>
                <w:rFonts w:eastAsia="Times New Roman" w:cs="Arial"/>
                <w:color w:val="000000"/>
                <w:szCs w:val="20"/>
                <w:lang w:eastAsia="fr-FR"/>
              </w:rPr>
              <w:t xml:space="preserve"> million</w:t>
            </w:r>
            <w:r w:rsidR="009859D2" w:rsidRPr="006122EE">
              <w:rPr>
                <w:rStyle w:val="FootnoteReference"/>
                <w:rFonts w:eastAsia="Times New Roman" w:cs="Arial"/>
                <w:color w:val="000000"/>
                <w:szCs w:val="20"/>
                <w:lang w:eastAsia="fr-FR"/>
              </w:rPr>
              <w:footnoteReference w:id="103"/>
            </w:r>
          </w:p>
        </w:tc>
      </w:tr>
    </w:tbl>
    <w:p w14:paraId="4B338999" w14:textId="77777777" w:rsidR="003265BD" w:rsidRPr="006122EE" w:rsidRDefault="003265BD" w:rsidP="003265BD">
      <w:pPr>
        <w:rPr>
          <w:lang w:eastAsia="en-US"/>
        </w:rPr>
      </w:pPr>
    </w:p>
    <w:p w14:paraId="133281B6" w14:textId="77777777" w:rsidR="00DF6714" w:rsidRPr="006122EE" w:rsidRDefault="00DF6714" w:rsidP="00726AF3">
      <w:pPr>
        <w:pStyle w:val="Caption"/>
      </w:pPr>
      <w:bookmarkStart w:id="625" w:name="_Toc481615031"/>
      <w:r w:rsidRPr="006122EE">
        <w:t xml:space="preserve">Table </w:t>
      </w:r>
      <w:r w:rsidR="00DC7D8C">
        <w:fldChar w:fldCharType="begin"/>
      </w:r>
      <w:r w:rsidR="00DC7D8C">
        <w:instrText xml:space="preserve"> SEQ Table \* ARABIC </w:instrText>
      </w:r>
      <w:r w:rsidR="00DC7D8C">
        <w:fldChar w:fldCharType="separate"/>
      </w:r>
      <w:r w:rsidR="00866D96">
        <w:rPr>
          <w:noProof/>
        </w:rPr>
        <w:t>46</w:t>
      </w:r>
      <w:r w:rsidR="00DC7D8C">
        <w:rPr>
          <w:noProof/>
        </w:rPr>
        <w:fldChar w:fldCharType="end"/>
      </w:r>
      <w:r w:rsidRPr="006122EE">
        <w:t>: Implementation of priority actions on alternative fuels</w:t>
      </w:r>
      <w:bookmarkEnd w:id="625"/>
    </w:p>
    <w:tbl>
      <w:tblPr>
        <w:tblW w:w="5000" w:type="pct"/>
        <w:tblLayout w:type="fixed"/>
        <w:tblCellMar>
          <w:top w:w="57" w:type="dxa"/>
          <w:left w:w="70" w:type="dxa"/>
          <w:bottom w:w="57" w:type="dxa"/>
          <w:right w:w="70" w:type="dxa"/>
        </w:tblCellMar>
        <w:tblLook w:val="04A0" w:firstRow="1" w:lastRow="0" w:firstColumn="1" w:lastColumn="0" w:noHBand="0" w:noVBand="1"/>
      </w:tblPr>
      <w:tblGrid>
        <w:gridCol w:w="1436"/>
        <w:gridCol w:w="6096"/>
        <w:gridCol w:w="1277"/>
        <w:gridCol w:w="1558"/>
        <w:gridCol w:w="2127"/>
        <w:gridCol w:w="2632"/>
      </w:tblGrid>
      <w:tr w:rsidR="00BC204F" w:rsidRPr="006122EE" w14:paraId="39E35C6A" w14:textId="77777777" w:rsidTr="00BC204F">
        <w:trPr>
          <w:trHeight w:val="264"/>
          <w:tblHeader/>
        </w:trPr>
        <w:tc>
          <w:tcPr>
            <w:tcW w:w="475" w:type="pct"/>
            <w:tcBorders>
              <w:top w:val="single" w:sz="4" w:space="0" w:color="auto"/>
              <w:left w:val="single" w:sz="4" w:space="0" w:color="auto"/>
              <w:bottom w:val="single" w:sz="4" w:space="0" w:color="auto"/>
              <w:right w:val="single" w:sz="4" w:space="0" w:color="auto"/>
            </w:tcBorders>
            <w:shd w:val="clear" w:color="000000" w:fill="00A1DE"/>
            <w:noWrap/>
            <w:vAlign w:val="center"/>
          </w:tcPr>
          <w:p w14:paraId="13A6CF67"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Category</w:t>
            </w:r>
          </w:p>
        </w:tc>
        <w:tc>
          <w:tcPr>
            <w:tcW w:w="2015" w:type="pct"/>
            <w:tcBorders>
              <w:top w:val="single" w:sz="4" w:space="0" w:color="auto"/>
              <w:left w:val="nil"/>
              <w:bottom w:val="single" w:sz="4" w:space="0" w:color="auto"/>
              <w:right w:val="single" w:sz="4" w:space="0" w:color="auto"/>
            </w:tcBorders>
            <w:shd w:val="clear" w:color="000000" w:fill="00A1DE"/>
            <w:noWrap/>
            <w:vAlign w:val="center"/>
          </w:tcPr>
          <w:p w14:paraId="016F634F"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Action</w:t>
            </w:r>
          </w:p>
        </w:tc>
        <w:tc>
          <w:tcPr>
            <w:tcW w:w="422" w:type="pct"/>
            <w:tcBorders>
              <w:top w:val="single" w:sz="4" w:space="0" w:color="auto"/>
              <w:left w:val="nil"/>
              <w:bottom w:val="single" w:sz="4" w:space="0" w:color="auto"/>
              <w:right w:val="single" w:sz="4" w:space="0" w:color="auto"/>
            </w:tcBorders>
            <w:shd w:val="clear" w:color="000000" w:fill="00A1DE"/>
            <w:vAlign w:val="center"/>
          </w:tcPr>
          <w:p w14:paraId="29418CB7"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Indicative time frame*</w:t>
            </w:r>
          </w:p>
        </w:tc>
        <w:tc>
          <w:tcPr>
            <w:tcW w:w="515" w:type="pct"/>
            <w:tcBorders>
              <w:top w:val="single" w:sz="4" w:space="0" w:color="auto"/>
              <w:left w:val="nil"/>
              <w:bottom w:val="single" w:sz="4" w:space="0" w:color="auto"/>
              <w:right w:val="single" w:sz="4" w:space="0" w:color="auto"/>
            </w:tcBorders>
            <w:shd w:val="clear" w:color="000000" w:fill="00A1DE"/>
            <w:vAlign w:val="center"/>
          </w:tcPr>
          <w:p w14:paraId="52C0191B"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Lead agency</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2E8FF0DF"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Cooperating stakeholders</w:t>
            </w:r>
          </w:p>
        </w:tc>
        <w:tc>
          <w:tcPr>
            <w:tcW w:w="870" w:type="pct"/>
            <w:tcBorders>
              <w:top w:val="single" w:sz="4" w:space="0" w:color="auto"/>
              <w:left w:val="nil"/>
              <w:bottom w:val="single" w:sz="4" w:space="0" w:color="auto"/>
              <w:right w:val="single" w:sz="4" w:space="0" w:color="auto"/>
            </w:tcBorders>
            <w:shd w:val="clear" w:color="000000" w:fill="00A1DE"/>
            <w:vAlign w:val="center"/>
          </w:tcPr>
          <w:p w14:paraId="631864E4"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Estimated costs</w:t>
            </w:r>
          </w:p>
        </w:tc>
      </w:tr>
      <w:tr w:rsidR="00BC204F" w:rsidRPr="006122EE" w14:paraId="738D06ED" w14:textId="77777777" w:rsidTr="00BC204F">
        <w:trPr>
          <w:trHeight w:val="264"/>
        </w:trPr>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D235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Policy framework</w:t>
            </w:r>
          </w:p>
        </w:tc>
        <w:tc>
          <w:tcPr>
            <w:tcW w:w="2015" w:type="pct"/>
            <w:tcBorders>
              <w:top w:val="nil"/>
              <w:left w:val="nil"/>
              <w:bottom w:val="single" w:sz="4" w:space="0" w:color="auto"/>
              <w:right w:val="single" w:sz="4" w:space="0" w:color="auto"/>
            </w:tcBorders>
            <w:shd w:val="clear" w:color="auto" w:fill="auto"/>
            <w:noWrap/>
            <w:vAlign w:val="center"/>
          </w:tcPr>
          <w:p w14:paraId="2A2118A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Establish a Biofuels Coordinating Committee, that:</w:t>
            </w:r>
          </w:p>
          <w:p w14:paraId="52BC3914"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Coordinates biofuel development across all sectors of the economy</w:t>
            </w:r>
          </w:p>
          <w:p w14:paraId="19E68FC1"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Supports and develops sector development plans beyond 2030</w:t>
            </w:r>
          </w:p>
          <w:p w14:paraId="3D25B0A3"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Controls the implementation of policies, especially those on mandatory blend</w:t>
            </w:r>
          </w:p>
          <w:p w14:paraId="69F628AA"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This committee can succeed the former Biofuels Advisory Committee</w:t>
            </w:r>
          </w:p>
        </w:tc>
        <w:tc>
          <w:tcPr>
            <w:tcW w:w="422" w:type="pct"/>
            <w:tcBorders>
              <w:top w:val="nil"/>
              <w:left w:val="nil"/>
              <w:bottom w:val="single" w:sz="4" w:space="0" w:color="auto"/>
              <w:right w:val="single" w:sz="4" w:space="0" w:color="auto"/>
            </w:tcBorders>
            <w:vAlign w:val="center"/>
          </w:tcPr>
          <w:p w14:paraId="2382FE97"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Borders>
              <w:top w:val="nil"/>
              <w:left w:val="nil"/>
              <w:bottom w:val="single" w:sz="4" w:space="0" w:color="auto"/>
              <w:right w:val="single" w:sz="4" w:space="0" w:color="auto"/>
            </w:tcBorders>
            <w:vAlign w:val="center"/>
          </w:tcPr>
          <w:p w14:paraId="736DB1DB"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nil"/>
              <w:left w:val="nil"/>
              <w:bottom w:val="single" w:sz="4" w:space="0" w:color="auto"/>
              <w:right w:val="single" w:sz="4" w:space="0" w:color="auto"/>
            </w:tcBorders>
            <w:vAlign w:val="center"/>
          </w:tcPr>
          <w:p w14:paraId="524D17F1"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Government and all entities involved in this committee (see proposed list in Part II – Priority Actions)</w:t>
            </w:r>
          </w:p>
        </w:tc>
        <w:tc>
          <w:tcPr>
            <w:tcW w:w="870" w:type="pct"/>
            <w:tcBorders>
              <w:top w:val="nil"/>
              <w:left w:val="nil"/>
              <w:bottom w:val="single" w:sz="4" w:space="0" w:color="auto"/>
              <w:right w:val="single" w:sz="4" w:space="0" w:color="auto"/>
            </w:tcBorders>
            <w:vAlign w:val="center"/>
          </w:tcPr>
          <w:p w14:paraId="729C5C47"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5ED94F50" w14:textId="77777777" w:rsidTr="00BC204F">
        <w:trPr>
          <w:trHeight w:val="264"/>
        </w:trPr>
        <w:tc>
          <w:tcPr>
            <w:tcW w:w="4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4FAB1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Production level and use</w:t>
            </w:r>
          </w:p>
        </w:tc>
        <w:tc>
          <w:tcPr>
            <w:tcW w:w="2015" w:type="pct"/>
            <w:tcBorders>
              <w:top w:val="nil"/>
              <w:left w:val="nil"/>
              <w:bottom w:val="single" w:sz="4" w:space="0" w:color="auto"/>
              <w:right w:val="single" w:sz="4" w:space="0" w:color="auto"/>
            </w:tcBorders>
            <w:shd w:val="clear" w:color="auto" w:fill="auto"/>
            <w:noWrap/>
            <w:vAlign w:val="center"/>
          </w:tcPr>
          <w:p w14:paraId="7F64122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Introduce incentives to support biofuel production:</w:t>
            </w:r>
          </w:p>
          <w:p w14:paraId="3D188EB3"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Special electricity / water tariffs and feed-in tariffs for any surplus</w:t>
            </w:r>
          </w:p>
          <w:p w14:paraId="722735AD"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Energy levy removed for biofuel industries</w:t>
            </w:r>
          </w:p>
          <w:p w14:paraId="65432714"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One-stop shop for all licencing of biofuel production facilities</w:t>
            </w:r>
          </w:p>
          <w:p w14:paraId="5C3F2692"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Incentives for the growing of feedstocks on commercial scales, opportunities for by-products and conformity with international sustainability standards</w:t>
            </w:r>
          </w:p>
          <w:p w14:paraId="7DB795FD"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Innovative financing models</w:t>
            </w:r>
          </w:p>
        </w:tc>
        <w:tc>
          <w:tcPr>
            <w:tcW w:w="422" w:type="pct"/>
            <w:tcBorders>
              <w:top w:val="nil"/>
              <w:left w:val="nil"/>
              <w:bottom w:val="single" w:sz="4" w:space="0" w:color="auto"/>
              <w:right w:val="single" w:sz="4" w:space="0" w:color="auto"/>
            </w:tcBorders>
            <w:vAlign w:val="center"/>
          </w:tcPr>
          <w:p w14:paraId="0701FAC8"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vAlign w:val="center"/>
          </w:tcPr>
          <w:p w14:paraId="71FE8579"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nil"/>
              <w:left w:val="nil"/>
              <w:bottom w:val="single" w:sz="4" w:space="0" w:color="auto"/>
              <w:right w:val="single" w:sz="4" w:space="0" w:color="auto"/>
            </w:tcBorders>
            <w:vAlign w:val="center"/>
          </w:tcPr>
          <w:p w14:paraId="4C536359"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 Ministry of Finance, Economic Planning and Development,</w:t>
            </w:r>
          </w:p>
          <w:p w14:paraId="361738D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Renewable Energy Association of Malawi,</w:t>
            </w:r>
          </w:p>
          <w:p w14:paraId="33ECF62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Private players in the biofuels industry (especially manufacturers)</w:t>
            </w:r>
          </w:p>
        </w:tc>
        <w:tc>
          <w:tcPr>
            <w:tcW w:w="870" w:type="pct"/>
            <w:tcBorders>
              <w:top w:val="nil"/>
              <w:left w:val="nil"/>
              <w:bottom w:val="single" w:sz="4" w:space="0" w:color="auto"/>
              <w:right w:val="single" w:sz="4" w:space="0" w:color="auto"/>
            </w:tcBorders>
            <w:vAlign w:val="center"/>
          </w:tcPr>
          <w:p w14:paraId="24AB689F"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537BCB04" w14:textId="77777777" w:rsidTr="00BC204F">
        <w:trPr>
          <w:trHeight w:val="264"/>
        </w:trPr>
        <w:tc>
          <w:tcPr>
            <w:tcW w:w="47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C488B4"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2015" w:type="pct"/>
            <w:tcBorders>
              <w:top w:val="nil"/>
              <w:left w:val="nil"/>
              <w:bottom w:val="single" w:sz="4" w:space="0" w:color="auto"/>
              <w:right w:val="single" w:sz="4" w:space="0" w:color="auto"/>
            </w:tcBorders>
            <w:shd w:val="clear" w:color="auto" w:fill="auto"/>
            <w:noWrap/>
            <w:vAlign w:val="center"/>
          </w:tcPr>
          <w:p w14:paraId="7BBD36A8"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Promote the use of biofuels:</w:t>
            </w:r>
          </w:p>
          <w:p w14:paraId="24E6BFFF"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Attractive price for users (and fair for producers)</w:t>
            </w:r>
          </w:p>
          <w:p w14:paraId="436061F1"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Easiness of importation of flex-fuel vehicles, distribution of flex-fuel converter kits</w:t>
            </w:r>
            <w:r w:rsidR="00096EFE" w:rsidRPr="006122EE">
              <w:rPr>
                <w:rFonts w:eastAsia="Times New Roman" w:cs="Arial"/>
                <w:color w:val="000000"/>
                <w:szCs w:val="20"/>
                <w:lang w:eastAsia="fr-FR"/>
              </w:rPr>
              <w:t>, promotion of the local manufacturing of its kits</w:t>
            </w:r>
            <w:r w:rsidRPr="006122EE">
              <w:rPr>
                <w:rFonts w:eastAsia="Times New Roman" w:cs="Arial"/>
                <w:color w:val="000000"/>
                <w:szCs w:val="20"/>
                <w:lang w:eastAsia="fr-FR"/>
              </w:rPr>
              <w:t xml:space="preserve"> and exemplarity measures (shift the government fleet to biofuels, renewable fuel for mass transport system, etc.)</w:t>
            </w:r>
          </w:p>
          <w:p w14:paraId="639A3F41"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Installation of appropriate fuelling pumps (distributing biodiesel and E85)</w:t>
            </w:r>
          </w:p>
        </w:tc>
        <w:tc>
          <w:tcPr>
            <w:tcW w:w="422" w:type="pct"/>
            <w:tcBorders>
              <w:top w:val="nil"/>
              <w:left w:val="nil"/>
              <w:bottom w:val="single" w:sz="4" w:space="0" w:color="auto"/>
              <w:right w:val="single" w:sz="4" w:space="0" w:color="auto"/>
            </w:tcBorders>
            <w:vAlign w:val="center"/>
          </w:tcPr>
          <w:p w14:paraId="2F797F40"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vAlign w:val="center"/>
          </w:tcPr>
          <w:p w14:paraId="63137D89"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nil"/>
              <w:left w:val="nil"/>
              <w:bottom w:val="single" w:sz="4" w:space="0" w:color="auto"/>
              <w:right w:val="single" w:sz="4" w:space="0" w:color="auto"/>
            </w:tcBorders>
            <w:vAlign w:val="center"/>
          </w:tcPr>
          <w:p w14:paraId="7DC3CEF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MERA, Ministry of Finance, Economic Planning and Development, Ministry of Transport, Representatives of Motor Industry Association, Consumers Association of Malawi</w:t>
            </w:r>
          </w:p>
        </w:tc>
        <w:tc>
          <w:tcPr>
            <w:tcW w:w="870" w:type="pct"/>
            <w:tcBorders>
              <w:top w:val="nil"/>
              <w:left w:val="nil"/>
              <w:bottom w:val="single" w:sz="4" w:space="0" w:color="auto"/>
              <w:right w:val="single" w:sz="4" w:space="0" w:color="auto"/>
            </w:tcBorders>
            <w:vAlign w:val="center"/>
          </w:tcPr>
          <w:p w14:paraId="5BE74CD7"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5A1276F5" w14:textId="77777777" w:rsidTr="00BC204F">
        <w:trPr>
          <w:trHeight w:val="264"/>
        </w:trPr>
        <w:tc>
          <w:tcPr>
            <w:tcW w:w="475" w:type="pct"/>
            <w:vMerge w:val="restart"/>
            <w:tcBorders>
              <w:top w:val="single" w:sz="4" w:space="0" w:color="auto"/>
              <w:left w:val="single" w:sz="4" w:space="0" w:color="auto"/>
              <w:right w:val="single" w:sz="4" w:space="0" w:color="auto"/>
            </w:tcBorders>
            <w:shd w:val="clear" w:color="auto" w:fill="auto"/>
            <w:noWrap/>
            <w:vAlign w:val="center"/>
          </w:tcPr>
          <w:p w14:paraId="4F283C68"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Other energy sources</w:t>
            </w:r>
          </w:p>
        </w:tc>
        <w:tc>
          <w:tcPr>
            <w:tcW w:w="2015" w:type="pct"/>
            <w:tcBorders>
              <w:top w:val="single" w:sz="4" w:space="0" w:color="auto"/>
              <w:left w:val="nil"/>
              <w:bottom w:val="single" w:sz="4" w:space="0" w:color="auto"/>
              <w:right w:val="single" w:sz="4" w:space="0" w:color="auto"/>
            </w:tcBorders>
            <w:shd w:val="clear" w:color="auto" w:fill="auto"/>
            <w:noWrap/>
            <w:vAlign w:val="center"/>
          </w:tcPr>
          <w:p w14:paraId="55A24775"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Introduce electric vehicles in Malawi and promote the use of these vehicles</w:t>
            </w:r>
          </w:p>
          <w:p w14:paraId="4D9C4000"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This action is linked to the overall energy access level in the country and reliability of energy supply</w:t>
            </w:r>
          </w:p>
        </w:tc>
        <w:tc>
          <w:tcPr>
            <w:tcW w:w="422" w:type="pct"/>
            <w:tcBorders>
              <w:top w:val="single" w:sz="4" w:space="0" w:color="auto"/>
              <w:left w:val="nil"/>
              <w:bottom w:val="single" w:sz="4" w:space="0" w:color="auto"/>
              <w:right w:val="single" w:sz="4" w:space="0" w:color="auto"/>
            </w:tcBorders>
            <w:vAlign w:val="center"/>
          </w:tcPr>
          <w:p w14:paraId="7E501A6F"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Borders>
              <w:top w:val="single" w:sz="4" w:space="0" w:color="auto"/>
              <w:left w:val="nil"/>
              <w:bottom w:val="single" w:sz="4" w:space="0" w:color="auto"/>
              <w:right w:val="single" w:sz="4" w:space="0" w:color="auto"/>
            </w:tcBorders>
            <w:vAlign w:val="center"/>
          </w:tcPr>
          <w:p w14:paraId="62131DBE"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single" w:sz="4" w:space="0" w:color="auto"/>
              <w:left w:val="nil"/>
              <w:bottom w:val="single" w:sz="4" w:space="0" w:color="auto"/>
              <w:right w:val="single" w:sz="4" w:space="0" w:color="auto"/>
            </w:tcBorders>
            <w:vAlign w:val="center"/>
          </w:tcPr>
          <w:p w14:paraId="1268E0F6"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Ministry of Transport</w:t>
            </w:r>
          </w:p>
        </w:tc>
        <w:tc>
          <w:tcPr>
            <w:tcW w:w="870" w:type="pct"/>
            <w:tcBorders>
              <w:top w:val="single" w:sz="4" w:space="0" w:color="auto"/>
              <w:left w:val="nil"/>
              <w:bottom w:val="single" w:sz="4" w:space="0" w:color="auto"/>
              <w:right w:val="single" w:sz="4" w:space="0" w:color="auto"/>
            </w:tcBorders>
            <w:vAlign w:val="center"/>
          </w:tcPr>
          <w:p w14:paraId="5C8AF629"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017E37FE" w14:textId="77777777" w:rsidTr="00BC204F">
        <w:trPr>
          <w:trHeight w:val="264"/>
        </w:trPr>
        <w:tc>
          <w:tcPr>
            <w:tcW w:w="475" w:type="pct"/>
            <w:vMerge/>
            <w:tcBorders>
              <w:left w:val="single" w:sz="4" w:space="0" w:color="auto"/>
              <w:right w:val="single" w:sz="4" w:space="0" w:color="auto"/>
            </w:tcBorders>
            <w:shd w:val="clear" w:color="auto" w:fill="auto"/>
            <w:noWrap/>
            <w:vAlign w:val="center"/>
          </w:tcPr>
          <w:p w14:paraId="116A7CB5"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2015" w:type="pct"/>
            <w:tcBorders>
              <w:top w:val="single" w:sz="4" w:space="0" w:color="auto"/>
              <w:left w:val="nil"/>
              <w:bottom w:val="single" w:sz="4" w:space="0" w:color="auto"/>
              <w:right w:val="single" w:sz="4" w:space="0" w:color="auto"/>
            </w:tcBorders>
            <w:shd w:val="clear" w:color="auto" w:fill="auto"/>
            <w:noWrap/>
            <w:vAlign w:val="center"/>
          </w:tcPr>
          <w:p w14:paraId="3D3EEE37" w14:textId="77777777" w:rsidR="00BC204F" w:rsidRPr="006122EE" w:rsidRDefault="003E4814"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Conduct research on feasibility and c</w:t>
            </w:r>
            <w:r w:rsidR="00BC204F" w:rsidRPr="006122EE">
              <w:rPr>
                <w:rFonts w:eastAsia="Times New Roman" w:cs="Arial"/>
                <w:color w:val="000000"/>
                <w:szCs w:val="20"/>
                <w:lang w:eastAsia="fr-FR"/>
              </w:rPr>
              <w:t>onsider supply of biogas for transportation as well as supply of compatible vehicles (such as bi-fuel and dual-fuel vehicles)</w:t>
            </w:r>
          </w:p>
        </w:tc>
        <w:tc>
          <w:tcPr>
            <w:tcW w:w="422" w:type="pct"/>
            <w:tcBorders>
              <w:top w:val="single" w:sz="4" w:space="0" w:color="auto"/>
              <w:left w:val="nil"/>
              <w:bottom w:val="single" w:sz="4" w:space="0" w:color="auto"/>
              <w:right w:val="single" w:sz="4" w:space="0" w:color="auto"/>
            </w:tcBorders>
            <w:vAlign w:val="center"/>
          </w:tcPr>
          <w:p w14:paraId="3245923E"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Borders>
              <w:top w:val="single" w:sz="4" w:space="0" w:color="auto"/>
              <w:left w:val="nil"/>
              <w:bottom w:val="single" w:sz="4" w:space="0" w:color="auto"/>
              <w:right w:val="single" w:sz="4" w:space="0" w:color="auto"/>
            </w:tcBorders>
            <w:vAlign w:val="center"/>
          </w:tcPr>
          <w:p w14:paraId="32081B55"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single" w:sz="4" w:space="0" w:color="auto"/>
              <w:left w:val="nil"/>
              <w:bottom w:val="single" w:sz="4" w:space="0" w:color="auto"/>
              <w:right w:val="single" w:sz="4" w:space="0" w:color="auto"/>
            </w:tcBorders>
            <w:vAlign w:val="center"/>
          </w:tcPr>
          <w:p w14:paraId="7C0D584D"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Ministry of Transport</w:t>
            </w:r>
            <w:r w:rsidR="003E4814" w:rsidRPr="006122EE">
              <w:rPr>
                <w:rFonts w:eastAsia="Times New Roman" w:cs="Arial"/>
                <w:color w:val="000000"/>
                <w:szCs w:val="20"/>
                <w:lang w:eastAsia="fr-FR"/>
              </w:rPr>
              <w:t>, MERA, NCST, universities, other research institutions, MBS</w:t>
            </w:r>
          </w:p>
        </w:tc>
        <w:tc>
          <w:tcPr>
            <w:tcW w:w="870" w:type="pct"/>
            <w:tcBorders>
              <w:top w:val="single" w:sz="4" w:space="0" w:color="auto"/>
              <w:left w:val="nil"/>
              <w:bottom w:val="single" w:sz="4" w:space="0" w:color="auto"/>
              <w:right w:val="single" w:sz="4" w:space="0" w:color="auto"/>
            </w:tcBorders>
            <w:vAlign w:val="center"/>
          </w:tcPr>
          <w:p w14:paraId="27018CA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0476AACE" w14:textId="77777777" w:rsidTr="00BC204F">
        <w:trPr>
          <w:trHeight w:val="264"/>
        </w:trPr>
        <w:tc>
          <w:tcPr>
            <w:tcW w:w="475" w:type="pct"/>
            <w:vMerge/>
            <w:tcBorders>
              <w:left w:val="single" w:sz="4" w:space="0" w:color="auto"/>
              <w:bottom w:val="single" w:sz="4" w:space="0" w:color="auto"/>
              <w:right w:val="single" w:sz="4" w:space="0" w:color="auto"/>
            </w:tcBorders>
            <w:shd w:val="clear" w:color="auto" w:fill="auto"/>
            <w:noWrap/>
            <w:vAlign w:val="center"/>
          </w:tcPr>
          <w:p w14:paraId="6236C3C5"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2015" w:type="pct"/>
            <w:tcBorders>
              <w:top w:val="single" w:sz="4" w:space="0" w:color="auto"/>
              <w:left w:val="nil"/>
              <w:bottom w:val="single" w:sz="4" w:space="0" w:color="auto"/>
              <w:right w:val="single" w:sz="4" w:space="0" w:color="auto"/>
            </w:tcBorders>
            <w:shd w:val="clear" w:color="auto" w:fill="auto"/>
            <w:noWrap/>
            <w:vAlign w:val="center"/>
          </w:tcPr>
          <w:p w14:paraId="6A0134C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Research and development on other feedstocks (other than jatropha and sugar cane)</w:t>
            </w:r>
          </w:p>
        </w:tc>
        <w:tc>
          <w:tcPr>
            <w:tcW w:w="422" w:type="pct"/>
            <w:tcBorders>
              <w:top w:val="single" w:sz="4" w:space="0" w:color="auto"/>
              <w:left w:val="nil"/>
              <w:bottom w:val="single" w:sz="4" w:space="0" w:color="auto"/>
              <w:right w:val="single" w:sz="4" w:space="0" w:color="auto"/>
            </w:tcBorders>
            <w:vAlign w:val="center"/>
          </w:tcPr>
          <w:p w14:paraId="4B51D3C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Borders>
              <w:top w:val="single" w:sz="4" w:space="0" w:color="auto"/>
              <w:left w:val="nil"/>
              <w:bottom w:val="single" w:sz="4" w:space="0" w:color="auto"/>
              <w:right w:val="single" w:sz="4" w:space="0" w:color="auto"/>
            </w:tcBorders>
            <w:vAlign w:val="center"/>
          </w:tcPr>
          <w:p w14:paraId="1D35BF27" w14:textId="77777777" w:rsidR="00BC204F" w:rsidRPr="006122EE" w:rsidRDefault="003D471C" w:rsidP="00BC204F">
            <w:pPr>
              <w:spacing w:before="0" w:after="0" w:line="240" w:lineRule="auto"/>
              <w:jc w:val="left"/>
              <w:rPr>
                <w:rFonts w:eastAsia="Times New Roman" w:cs="Arial"/>
                <w:color w:val="000000"/>
                <w:szCs w:val="20"/>
                <w:lang w:eastAsia="fr-FR"/>
              </w:rPr>
            </w:pPr>
            <w:r>
              <w:rPr>
                <w:rFonts w:eastAsia="Times New Roman" w:cs="Arial"/>
                <w:color w:val="000000"/>
                <w:szCs w:val="20"/>
                <w:lang w:eastAsia="fr-FR"/>
              </w:rPr>
              <w:t>DOEA</w:t>
            </w:r>
          </w:p>
        </w:tc>
        <w:tc>
          <w:tcPr>
            <w:tcW w:w="703" w:type="pct"/>
            <w:tcBorders>
              <w:top w:val="single" w:sz="4" w:space="0" w:color="auto"/>
              <w:left w:val="nil"/>
              <w:bottom w:val="single" w:sz="4" w:space="0" w:color="auto"/>
              <w:right w:val="single" w:sz="4" w:space="0" w:color="auto"/>
            </w:tcBorders>
            <w:vAlign w:val="center"/>
          </w:tcPr>
          <w:p w14:paraId="31F2F071"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Universities and other research institutions (University of Malawi – Polytechnic, University of Mzuzu – Department of Energy Studies)</w:t>
            </w:r>
          </w:p>
        </w:tc>
        <w:tc>
          <w:tcPr>
            <w:tcW w:w="870" w:type="pct"/>
            <w:tcBorders>
              <w:top w:val="single" w:sz="4" w:space="0" w:color="auto"/>
              <w:left w:val="nil"/>
              <w:bottom w:val="single" w:sz="4" w:space="0" w:color="auto"/>
              <w:right w:val="single" w:sz="4" w:space="0" w:color="auto"/>
            </w:tcBorders>
            <w:vAlign w:val="center"/>
          </w:tcPr>
          <w:p w14:paraId="4FFEFE8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bl>
    <w:p w14:paraId="578351B0" w14:textId="77777777" w:rsidR="000B6EA9" w:rsidRPr="006122EE" w:rsidRDefault="000B6EA9" w:rsidP="000B6EA9">
      <w:pPr>
        <w:pStyle w:val="Caption"/>
      </w:pPr>
    </w:p>
    <w:p w14:paraId="63E1B742" w14:textId="77777777" w:rsidR="00DF6714" w:rsidRPr="006122EE" w:rsidRDefault="00DF6714" w:rsidP="00726AF3">
      <w:pPr>
        <w:pStyle w:val="Caption"/>
      </w:pPr>
      <w:bookmarkStart w:id="626" w:name="_Toc481615032"/>
      <w:r w:rsidRPr="006122EE">
        <w:t xml:space="preserve">Table </w:t>
      </w:r>
      <w:r w:rsidR="00DC7D8C">
        <w:fldChar w:fldCharType="begin"/>
      </w:r>
      <w:r w:rsidR="00DC7D8C">
        <w:instrText xml:space="preserve"> SEQ Table \* ARABIC </w:instrText>
      </w:r>
      <w:r w:rsidR="00DC7D8C">
        <w:fldChar w:fldCharType="separate"/>
      </w:r>
      <w:r w:rsidR="00866D96">
        <w:rPr>
          <w:noProof/>
        </w:rPr>
        <w:t>47</w:t>
      </w:r>
      <w:r w:rsidR="00DC7D8C">
        <w:rPr>
          <w:noProof/>
        </w:rPr>
        <w:fldChar w:fldCharType="end"/>
      </w:r>
      <w:r w:rsidRPr="006122EE">
        <w:t>: Implementation of priority actions on urban transportation</w:t>
      </w:r>
      <w:bookmarkEnd w:id="626"/>
    </w:p>
    <w:tbl>
      <w:tblPr>
        <w:tblW w:w="5000" w:type="pct"/>
        <w:tblLayout w:type="fixed"/>
        <w:tblCellMar>
          <w:left w:w="70" w:type="dxa"/>
          <w:right w:w="70" w:type="dxa"/>
        </w:tblCellMar>
        <w:tblLook w:val="04A0" w:firstRow="1" w:lastRow="0" w:firstColumn="1" w:lastColumn="0" w:noHBand="0" w:noVBand="1"/>
      </w:tblPr>
      <w:tblGrid>
        <w:gridCol w:w="2987"/>
        <w:gridCol w:w="3695"/>
        <w:gridCol w:w="2127"/>
        <w:gridCol w:w="1558"/>
        <w:gridCol w:w="2127"/>
        <w:gridCol w:w="2632"/>
      </w:tblGrid>
      <w:tr w:rsidR="00BC204F" w:rsidRPr="006122EE" w14:paraId="71E2DFCF" w14:textId="77777777" w:rsidTr="00BC204F">
        <w:trPr>
          <w:trHeight w:val="264"/>
          <w:tblHeader/>
        </w:trPr>
        <w:tc>
          <w:tcPr>
            <w:tcW w:w="987" w:type="pct"/>
            <w:tcBorders>
              <w:top w:val="single" w:sz="4" w:space="0" w:color="auto"/>
              <w:left w:val="single" w:sz="4" w:space="0" w:color="auto"/>
              <w:bottom w:val="single" w:sz="4" w:space="0" w:color="auto"/>
              <w:right w:val="single" w:sz="4" w:space="0" w:color="auto"/>
            </w:tcBorders>
            <w:shd w:val="clear" w:color="000000" w:fill="00A1DE"/>
            <w:noWrap/>
            <w:vAlign w:val="center"/>
          </w:tcPr>
          <w:p w14:paraId="65405583"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Category</w:t>
            </w:r>
          </w:p>
        </w:tc>
        <w:tc>
          <w:tcPr>
            <w:tcW w:w="1221" w:type="pct"/>
            <w:tcBorders>
              <w:top w:val="single" w:sz="4" w:space="0" w:color="auto"/>
              <w:left w:val="nil"/>
              <w:bottom w:val="single" w:sz="4" w:space="0" w:color="auto"/>
              <w:right w:val="single" w:sz="4" w:space="0" w:color="auto"/>
            </w:tcBorders>
            <w:shd w:val="clear" w:color="000000" w:fill="00A1DE"/>
            <w:noWrap/>
            <w:vAlign w:val="center"/>
          </w:tcPr>
          <w:p w14:paraId="701D6A10"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Action</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337AE219"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Indicative time frame</w:t>
            </w:r>
          </w:p>
        </w:tc>
        <w:tc>
          <w:tcPr>
            <w:tcW w:w="515" w:type="pct"/>
            <w:tcBorders>
              <w:top w:val="single" w:sz="4" w:space="0" w:color="auto"/>
              <w:left w:val="nil"/>
              <w:bottom w:val="single" w:sz="4" w:space="0" w:color="auto"/>
              <w:right w:val="single" w:sz="4" w:space="0" w:color="auto"/>
            </w:tcBorders>
            <w:shd w:val="clear" w:color="000000" w:fill="00A1DE"/>
            <w:vAlign w:val="center"/>
          </w:tcPr>
          <w:p w14:paraId="0C409D58"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Lead agency</w:t>
            </w:r>
          </w:p>
        </w:tc>
        <w:tc>
          <w:tcPr>
            <w:tcW w:w="703" w:type="pct"/>
            <w:tcBorders>
              <w:top w:val="single" w:sz="4" w:space="0" w:color="auto"/>
              <w:left w:val="nil"/>
              <w:bottom w:val="single" w:sz="4" w:space="0" w:color="auto"/>
              <w:right w:val="single" w:sz="4" w:space="0" w:color="auto"/>
            </w:tcBorders>
            <w:shd w:val="clear" w:color="000000" w:fill="00A1DE"/>
            <w:vAlign w:val="center"/>
          </w:tcPr>
          <w:p w14:paraId="25E0FEA7"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Cooperating stakeholders</w:t>
            </w:r>
          </w:p>
        </w:tc>
        <w:tc>
          <w:tcPr>
            <w:tcW w:w="870" w:type="pct"/>
            <w:tcBorders>
              <w:top w:val="single" w:sz="4" w:space="0" w:color="auto"/>
              <w:left w:val="nil"/>
              <w:bottom w:val="single" w:sz="4" w:space="0" w:color="auto"/>
              <w:right w:val="single" w:sz="4" w:space="0" w:color="auto"/>
            </w:tcBorders>
            <w:shd w:val="clear" w:color="000000" w:fill="00A1DE"/>
            <w:vAlign w:val="center"/>
          </w:tcPr>
          <w:p w14:paraId="439623A9" w14:textId="77777777" w:rsidR="00BC204F" w:rsidRPr="006122EE" w:rsidRDefault="00BC204F" w:rsidP="00BC204F">
            <w:pPr>
              <w:spacing w:before="0" w:after="0" w:line="240" w:lineRule="auto"/>
              <w:jc w:val="left"/>
              <w:rPr>
                <w:rFonts w:eastAsia="Times New Roman" w:cs="Arial"/>
                <w:b/>
                <w:bCs/>
                <w:color w:val="FFFFFF"/>
                <w:szCs w:val="20"/>
                <w:lang w:eastAsia="fr-FR"/>
              </w:rPr>
            </w:pPr>
            <w:r w:rsidRPr="006122EE">
              <w:rPr>
                <w:rFonts w:eastAsia="Times New Roman" w:cs="Arial"/>
                <w:b/>
                <w:bCs/>
                <w:color w:val="FFFFFF"/>
                <w:szCs w:val="20"/>
                <w:lang w:eastAsia="fr-FR"/>
              </w:rPr>
              <w:t>Estimated costs</w:t>
            </w:r>
          </w:p>
        </w:tc>
      </w:tr>
      <w:tr w:rsidR="00BC204F" w:rsidRPr="006122EE" w14:paraId="30E580DD" w14:textId="77777777" w:rsidTr="00BC204F">
        <w:trPr>
          <w:trHeight w:val="264"/>
        </w:trPr>
        <w:tc>
          <w:tcPr>
            <w:tcW w:w="987" w:type="pct"/>
            <w:vMerge w:val="restart"/>
            <w:tcBorders>
              <w:top w:val="nil"/>
              <w:left w:val="single" w:sz="4" w:space="0" w:color="auto"/>
              <w:right w:val="single" w:sz="4" w:space="0" w:color="auto"/>
            </w:tcBorders>
            <w:shd w:val="clear" w:color="auto" w:fill="auto"/>
            <w:noWrap/>
            <w:vAlign w:val="center"/>
          </w:tcPr>
          <w:p w14:paraId="27B10B1A"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Mass transit system</w:t>
            </w:r>
          </w:p>
        </w:tc>
        <w:tc>
          <w:tcPr>
            <w:tcW w:w="1221" w:type="pct"/>
            <w:tcBorders>
              <w:top w:val="nil"/>
              <w:left w:val="nil"/>
              <w:bottom w:val="single" w:sz="4" w:space="0" w:color="auto"/>
              <w:right w:val="single" w:sz="4" w:space="0" w:color="auto"/>
            </w:tcBorders>
            <w:shd w:val="clear" w:color="auto" w:fill="auto"/>
            <w:noWrap/>
            <w:vAlign w:val="center"/>
          </w:tcPr>
          <w:p w14:paraId="4E03A48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Phase out mini-buses by:</w:t>
            </w:r>
          </w:p>
          <w:p w14:paraId="7CCAF4AD"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Curb on all unregistered vehicles which is a significant proportion of the mini-bus population</w:t>
            </w:r>
          </w:p>
          <w:p w14:paraId="11198ECE"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Support the operators in buying large and efficient buses (e.g. though tax reductions or subsidies)</w:t>
            </w:r>
          </w:p>
          <w:p w14:paraId="1C88355A"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Franchising of routes: mini-buses must not be allowed to operate on city bus routes and strict enforcement is required</w:t>
            </w:r>
          </w:p>
        </w:tc>
        <w:tc>
          <w:tcPr>
            <w:tcW w:w="703" w:type="pct"/>
            <w:tcBorders>
              <w:top w:val="nil"/>
              <w:left w:val="nil"/>
              <w:bottom w:val="single" w:sz="4" w:space="0" w:color="auto"/>
              <w:right w:val="single" w:sz="4" w:space="0" w:color="auto"/>
            </w:tcBorders>
            <w:vAlign w:val="center"/>
          </w:tcPr>
          <w:p w14:paraId="3073803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vAlign w:val="center"/>
          </w:tcPr>
          <w:p w14:paraId="5A0B3CA9"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7C230871"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Road Traffic Directorate; Private sector transport operator representatives</w:t>
            </w:r>
          </w:p>
        </w:tc>
        <w:tc>
          <w:tcPr>
            <w:tcW w:w="870" w:type="pct"/>
            <w:tcBorders>
              <w:top w:val="nil"/>
              <w:left w:val="nil"/>
              <w:bottom w:val="single" w:sz="4" w:space="0" w:color="auto"/>
              <w:right w:val="single" w:sz="4" w:space="0" w:color="auto"/>
            </w:tcBorders>
            <w:vAlign w:val="center"/>
          </w:tcPr>
          <w:p w14:paraId="6707CA37"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5FFEF378" w14:textId="77777777" w:rsidTr="00BC204F">
        <w:trPr>
          <w:trHeight w:val="264"/>
        </w:trPr>
        <w:tc>
          <w:tcPr>
            <w:tcW w:w="987" w:type="pct"/>
            <w:vMerge/>
            <w:tcBorders>
              <w:left w:val="single" w:sz="4" w:space="0" w:color="auto"/>
              <w:bottom w:val="single" w:sz="4" w:space="0" w:color="auto"/>
              <w:right w:val="single" w:sz="4" w:space="0" w:color="auto"/>
            </w:tcBorders>
            <w:shd w:val="clear" w:color="auto" w:fill="auto"/>
            <w:noWrap/>
            <w:vAlign w:val="center"/>
          </w:tcPr>
          <w:p w14:paraId="6F8D72CD"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1221" w:type="pct"/>
            <w:tcBorders>
              <w:top w:val="nil"/>
              <w:left w:val="nil"/>
              <w:bottom w:val="single" w:sz="4" w:space="0" w:color="auto"/>
              <w:right w:val="single" w:sz="4" w:space="0" w:color="auto"/>
            </w:tcBorders>
            <w:shd w:val="clear" w:color="auto" w:fill="auto"/>
            <w:noWrap/>
            <w:vAlign w:val="center"/>
          </w:tcPr>
          <w:p w14:paraId="207A1E7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Development of a public transportation system: </w:t>
            </w:r>
          </w:p>
          <w:p w14:paraId="07F01FD7"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Phase in a comprehensive public transportation system in major cities with a combination of large and small capacity buses to serve at least the 5 major urban areas</w:t>
            </w:r>
          </w:p>
          <w:p w14:paraId="220235B4" w14:textId="77777777" w:rsidR="00BC204F" w:rsidRPr="006122EE" w:rsidRDefault="00BC204F" w:rsidP="00BC204F">
            <w:pPr>
              <w:pStyle w:val="ListParagraph"/>
              <w:numPr>
                <w:ilvl w:val="0"/>
                <w:numId w:val="65"/>
              </w:num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Prohibit the entrance of kombis in city centres and other areas with high congestion</w:t>
            </w:r>
          </w:p>
        </w:tc>
        <w:tc>
          <w:tcPr>
            <w:tcW w:w="703" w:type="pct"/>
            <w:tcBorders>
              <w:top w:val="nil"/>
              <w:left w:val="nil"/>
              <w:bottom w:val="single" w:sz="4" w:space="0" w:color="auto"/>
              <w:right w:val="single" w:sz="4" w:space="0" w:color="auto"/>
            </w:tcBorders>
            <w:vAlign w:val="center"/>
          </w:tcPr>
          <w:p w14:paraId="49D2EF84"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vAlign w:val="center"/>
          </w:tcPr>
          <w:p w14:paraId="3C3B6C7A"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4EBD4FC6"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 xml:space="preserve">Road Traffic Directorate; </w:t>
            </w:r>
            <w:r w:rsidR="00BD6F56" w:rsidRPr="006122EE">
              <w:t>Ministry of Lands, Housing and Urban Development;</w:t>
            </w:r>
            <w:r w:rsidRPr="006122EE">
              <w:t xml:space="preserve"> Private sector transport operator representatives</w:t>
            </w:r>
          </w:p>
        </w:tc>
        <w:tc>
          <w:tcPr>
            <w:tcW w:w="870" w:type="pct"/>
            <w:tcBorders>
              <w:top w:val="nil"/>
              <w:left w:val="nil"/>
              <w:bottom w:val="single" w:sz="4" w:space="0" w:color="auto"/>
              <w:right w:val="single" w:sz="4" w:space="0" w:color="auto"/>
            </w:tcBorders>
            <w:vAlign w:val="center"/>
          </w:tcPr>
          <w:p w14:paraId="4FAA3565"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Capital cost per bus is estimated at USD 235,000</w:t>
            </w:r>
          </w:p>
          <w:p w14:paraId="4FCF550F"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Operational cost (including maintenance) is estimated at USD 33,000 </w:t>
            </w:r>
          </w:p>
        </w:tc>
      </w:tr>
      <w:tr w:rsidR="00BC204F" w:rsidRPr="006122EE" w14:paraId="3E8A9FD3" w14:textId="77777777" w:rsidTr="00BC204F">
        <w:trPr>
          <w:trHeight w:val="264"/>
        </w:trPr>
        <w:tc>
          <w:tcPr>
            <w:tcW w:w="987" w:type="pct"/>
            <w:vMerge w:val="restart"/>
            <w:tcBorders>
              <w:top w:val="nil"/>
              <w:left w:val="single" w:sz="4" w:space="0" w:color="auto"/>
              <w:right w:val="single" w:sz="4" w:space="0" w:color="auto"/>
            </w:tcBorders>
            <w:shd w:val="clear" w:color="auto" w:fill="auto"/>
            <w:noWrap/>
            <w:vAlign w:val="center"/>
          </w:tcPr>
          <w:p w14:paraId="52CF265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Fuel efficiency of motor vehicles</w:t>
            </w:r>
          </w:p>
        </w:tc>
        <w:tc>
          <w:tcPr>
            <w:tcW w:w="1221" w:type="pct"/>
            <w:tcBorders>
              <w:top w:val="nil"/>
              <w:left w:val="nil"/>
              <w:bottom w:val="single" w:sz="4" w:space="0" w:color="auto"/>
              <w:right w:val="single" w:sz="4" w:space="0" w:color="auto"/>
            </w:tcBorders>
            <w:shd w:val="clear" w:color="auto" w:fill="auto"/>
            <w:noWrap/>
            <w:vAlign w:val="center"/>
          </w:tcPr>
          <w:p w14:paraId="6FFE0EE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Use of labels and standards through the integration of EU minimum emission standards for all registered vehicles </w:t>
            </w:r>
          </w:p>
        </w:tc>
        <w:tc>
          <w:tcPr>
            <w:tcW w:w="703" w:type="pct"/>
            <w:tcBorders>
              <w:top w:val="nil"/>
              <w:left w:val="nil"/>
              <w:bottom w:val="single" w:sz="4" w:space="0" w:color="auto"/>
              <w:right w:val="single" w:sz="4" w:space="0" w:color="auto"/>
            </w:tcBorders>
            <w:vAlign w:val="center"/>
          </w:tcPr>
          <w:p w14:paraId="008F6C99"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Borders>
              <w:top w:val="nil"/>
              <w:left w:val="nil"/>
              <w:bottom w:val="single" w:sz="4" w:space="0" w:color="auto"/>
              <w:right w:val="single" w:sz="4" w:space="0" w:color="auto"/>
            </w:tcBorders>
            <w:vAlign w:val="center"/>
          </w:tcPr>
          <w:p w14:paraId="1945DC9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Ministry of Natural Resources, Energy and Mining</w:t>
            </w:r>
          </w:p>
        </w:tc>
        <w:tc>
          <w:tcPr>
            <w:tcW w:w="703" w:type="pct"/>
            <w:tcBorders>
              <w:top w:val="nil"/>
              <w:left w:val="nil"/>
              <w:bottom w:val="single" w:sz="4" w:space="0" w:color="auto"/>
              <w:right w:val="single" w:sz="4" w:space="0" w:color="auto"/>
            </w:tcBorders>
            <w:vAlign w:val="center"/>
          </w:tcPr>
          <w:p w14:paraId="282D1AE6"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t>Ministry of Transport and Public Works</w:t>
            </w:r>
            <w:r w:rsidRPr="006122EE">
              <w:rPr>
                <w:rFonts w:eastAsia="Times New Roman" w:cs="Arial"/>
                <w:color w:val="000000"/>
                <w:szCs w:val="20"/>
                <w:lang w:eastAsia="fr-FR"/>
              </w:rPr>
              <w:t xml:space="preserve">; Ministry of Justice and Constitutional Affairs; </w:t>
            </w:r>
            <w:r w:rsidRPr="006122EE">
              <w:t>Road Traffic Directorate; Private sector transport operator representatives</w:t>
            </w:r>
          </w:p>
        </w:tc>
        <w:tc>
          <w:tcPr>
            <w:tcW w:w="870" w:type="pct"/>
            <w:tcBorders>
              <w:top w:val="nil"/>
              <w:left w:val="nil"/>
              <w:bottom w:val="single" w:sz="4" w:space="0" w:color="auto"/>
              <w:right w:val="single" w:sz="4" w:space="0" w:color="auto"/>
            </w:tcBorders>
            <w:vAlign w:val="center"/>
          </w:tcPr>
          <w:p w14:paraId="656DC0CF"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77FD86D7" w14:textId="77777777" w:rsidTr="00BC204F">
        <w:trPr>
          <w:trHeight w:val="264"/>
        </w:trPr>
        <w:tc>
          <w:tcPr>
            <w:tcW w:w="987" w:type="pct"/>
            <w:vMerge/>
            <w:tcBorders>
              <w:left w:val="single" w:sz="4" w:space="0" w:color="auto"/>
              <w:right w:val="single" w:sz="4" w:space="0" w:color="auto"/>
            </w:tcBorders>
            <w:shd w:val="clear" w:color="auto" w:fill="auto"/>
            <w:noWrap/>
            <w:vAlign w:val="center"/>
          </w:tcPr>
          <w:p w14:paraId="672242E8"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1221" w:type="pct"/>
            <w:tcBorders>
              <w:top w:val="nil"/>
              <w:left w:val="nil"/>
              <w:bottom w:val="single" w:sz="4" w:space="0" w:color="auto"/>
              <w:right w:val="single" w:sz="4" w:space="0" w:color="auto"/>
            </w:tcBorders>
            <w:shd w:val="clear" w:color="auto" w:fill="auto"/>
            <w:noWrap/>
            <w:vAlign w:val="center"/>
          </w:tcPr>
          <w:p w14:paraId="286DB5A5"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Promote an appropriate car maintenance</w:t>
            </w:r>
          </w:p>
        </w:tc>
        <w:tc>
          <w:tcPr>
            <w:tcW w:w="703" w:type="pct"/>
            <w:tcBorders>
              <w:top w:val="nil"/>
              <w:left w:val="nil"/>
              <w:bottom w:val="single" w:sz="4" w:space="0" w:color="auto"/>
              <w:right w:val="single" w:sz="4" w:space="0" w:color="auto"/>
            </w:tcBorders>
            <w:vAlign w:val="center"/>
          </w:tcPr>
          <w:p w14:paraId="13DE3BF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Borders>
              <w:top w:val="nil"/>
              <w:left w:val="nil"/>
              <w:bottom w:val="single" w:sz="4" w:space="0" w:color="auto"/>
              <w:right w:val="single" w:sz="4" w:space="0" w:color="auto"/>
            </w:tcBorders>
            <w:vAlign w:val="center"/>
          </w:tcPr>
          <w:p w14:paraId="4FAFD92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2829DC19"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t>Road Traffic Directorate</w:t>
            </w:r>
          </w:p>
        </w:tc>
        <w:tc>
          <w:tcPr>
            <w:tcW w:w="870" w:type="pct"/>
            <w:tcBorders>
              <w:top w:val="nil"/>
              <w:left w:val="nil"/>
              <w:bottom w:val="single" w:sz="4" w:space="0" w:color="auto"/>
              <w:right w:val="single" w:sz="4" w:space="0" w:color="auto"/>
            </w:tcBorders>
            <w:vAlign w:val="center"/>
          </w:tcPr>
          <w:p w14:paraId="68ED706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40DD350A" w14:textId="77777777" w:rsidTr="00BC204F">
        <w:trPr>
          <w:trHeight w:val="264"/>
        </w:trPr>
        <w:tc>
          <w:tcPr>
            <w:tcW w:w="987" w:type="pct"/>
            <w:vMerge/>
            <w:tcBorders>
              <w:left w:val="single" w:sz="4" w:space="0" w:color="auto"/>
              <w:right w:val="single" w:sz="4" w:space="0" w:color="auto"/>
            </w:tcBorders>
            <w:shd w:val="clear" w:color="auto" w:fill="auto"/>
            <w:noWrap/>
            <w:vAlign w:val="center"/>
          </w:tcPr>
          <w:p w14:paraId="542AD021"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1221" w:type="pct"/>
            <w:tcBorders>
              <w:top w:val="nil"/>
              <w:left w:val="nil"/>
              <w:bottom w:val="single" w:sz="4" w:space="0" w:color="auto"/>
              <w:right w:val="single" w:sz="4" w:space="0" w:color="auto"/>
            </w:tcBorders>
            <w:shd w:val="clear" w:color="auto" w:fill="auto"/>
            <w:noWrap/>
            <w:vAlign w:val="center"/>
          </w:tcPr>
          <w:p w14:paraId="097F5CB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Improve road capacity and maintenance</w:t>
            </w:r>
          </w:p>
        </w:tc>
        <w:tc>
          <w:tcPr>
            <w:tcW w:w="703" w:type="pct"/>
            <w:tcBorders>
              <w:top w:val="nil"/>
              <w:left w:val="nil"/>
              <w:bottom w:val="single" w:sz="4" w:space="0" w:color="auto"/>
              <w:right w:val="single" w:sz="4" w:space="0" w:color="auto"/>
            </w:tcBorders>
            <w:vAlign w:val="center"/>
          </w:tcPr>
          <w:p w14:paraId="7615242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tcPr>
          <w:p w14:paraId="24182104" w14:textId="77777777" w:rsidR="00BC204F" w:rsidRPr="006122EE" w:rsidRDefault="00BC204F" w:rsidP="00BC204F">
            <w:pPr>
              <w:jc w:val="left"/>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4CB76940"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Ministry of Local Government and Rural Development;  </w:t>
            </w:r>
            <w:r w:rsidRPr="006122EE">
              <w:t>Road Traffic Directorate; Malawi Energy Regulatory Authority</w:t>
            </w:r>
          </w:p>
        </w:tc>
        <w:tc>
          <w:tcPr>
            <w:tcW w:w="870" w:type="pct"/>
            <w:tcBorders>
              <w:top w:val="nil"/>
              <w:left w:val="nil"/>
              <w:bottom w:val="single" w:sz="4" w:space="0" w:color="auto"/>
              <w:right w:val="single" w:sz="4" w:space="0" w:color="auto"/>
            </w:tcBorders>
            <w:vAlign w:val="center"/>
          </w:tcPr>
          <w:p w14:paraId="334D8B1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1ABC8BA2" w14:textId="77777777" w:rsidTr="00BC204F">
        <w:trPr>
          <w:trHeight w:val="264"/>
        </w:trPr>
        <w:tc>
          <w:tcPr>
            <w:tcW w:w="987" w:type="pct"/>
            <w:vMerge/>
            <w:tcBorders>
              <w:left w:val="single" w:sz="4" w:space="0" w:color="auto"/>
              <w:bottom w:val="single" w:sz="4" w:space="0" w:color="auto"/>
              <w:right w:val="single" w:sz="4" w:space="0" w:color="auto"/>
            </w:tcBorders>
            <w:shd w:val="clear" w:color="auto" w:fill="auto"/>
            <w:noWrap/>
            <w:vAlign w:val="center"/>
          </w:tcPr>
          <w:p w14:paraId="01489202"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1221" w:type="pct"/>
            <w:tcBorders>
              <w:top w:val="nil"/>
              <w:left w:val="nil"/>
              <w:bottom w:val="single" w:sz="4" w:space="0" w:color="auto"/>
              <w:right w:val="single" w:sz="4" w:space="0" w:color="auto"/>
            </w:tcBorders>
            <w:shd w:val="clear" w:color="auto" w:fill="auto"/>
            <w:noWrap/>
            <w:vAlign w:val="center"/>
          </w:tcPr>
          <w:p w14:paraId="5816143E"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Develop urban and suburban rail transportation system</w:t>
            </w:r>
          </w:p>
        </w:tc>
        <w:tc>
          <w:tcPr>
            <w:tcW w:w="703" w:type="pct"/>
            <w:tcBorders>
              <w:top w:val="nil"/>
              <w:left w:val="nil"/>
              <w:bottom w:val="single" w:sz="4" w:space="0" w:color="auto"/>
              <w:right w:val="single" w:sz="4" w:space="0" w:color="auto"/>
            </w:tcBorders>
            <w:vAlign w:val="center"/>
          </w:tcPr>
          <w:p w14:paraId="62136D3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Long term</w:t>
            </w:r>
          </w:p>
        </w:tc>
        <w:tc>
          <w:tcPr>
            <w:tcW w:w="515" w:type="pct"/>
            <w:tcBorders>
              <w:top w:val="nil"/>
              <w:left w:val="nil"/>
              <w:bottom w:val="single" w:sz="4" w:space="0" w:color="auto"/>
              <w:right w:val="single" w:sz="4" w:space="0" w:color="auto"/>
            </w:tcBorders>
          </w:tcPr>
          <w:p w14:paraId="1E526C84" w14:textId="77777777" w:rsidR="00BC204F" w:rsidRPr="006122EE" w:rsidRDefault="00BC204F" w:rsidP="00BC204F">
            <w:pPr>
              <w:jc w:val="left"/>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5B19D600"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Central Eastern African Railways</w:t>
            </w:r>
          </w:p>
        </w:tc>
        <w:tc>
          <w:tcPr>
            <w:tcW w:w="870" w:type="pct"/>
            <w:tcBorders>
              <w:top w:val="nil"/>
              <w:left w:val="nil"/>
              <w:bottom w:val="single" w:sz="4" w:space="0" w:color="auto"/>
              <w:right w:val="single" w:sz="4" w:space="0" w:color="auto"/>
            </w:tcBorders>
            <w:vAlign w:val="center"/>
          </w:tcPr>
          <w:p w14:paraId="093393DF" w14:textId="77777777" w:rsidR="00BC204F" w:rsidRPr="006122EE" w:rsidRDefault="007E1371"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1.98 $ million per km for diesel rail and 3.53 $ million for electrified line</w:t>
            </w:r>
            <w:r w:rsidRPr="006122EE">
              <w:rPr>
                <w:rStyle w:val="FootnoteReference"/>
                <w:rFonts w:eastAsia="Times New Roman" w:cs="Arial"/>
                <w:color w:val="000000"/>
                <w:szCs w:val="20"/>
                <w:lang w:eastAsia="fr-FR"/>
              </w:rPr>
              <w:footnoteReference w:id="104"/>
            </w:r>
          </w:p>
        </w:tc>
      </w:tr>
      <w:tr w:rsidR="00BC204F" w:rsidRPr="006122EE" w14:paraId="071E175C" w14:textId="77777777" w:rsidTr="00BC204F">
        <w:trPr>
          <w:trHeight w:val="264"/>
        </w:trPr>
        <w:tc>
          <w:tcPr>
            <w:tcW w:w="987" w:type="pct"/>
            <w:tcBorders>
              <w:top w:val="nil"/>
              <w:left w:val="single" w:sz="4" w:space="0" w:color="auto"/>
              <w:bottom w:val="single" w:sz="4" w:space="0" w:color="auto"/>
              <w:right w:val="single" w:sz="4" w:space="0" w:color="auto"/>
            </w:tcBorders>
            <w:shd w:val="clear" w:color="auto" w:fill="auto"/>
            <w:noWrap/>
            <w:vAlign w:val="center"/>
          </w:tcPr>
          <w:p w14:paraId="4E45937A"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Non-motorised transport</w:t>
            </w:r>
          </w:p>
        </w:tc>
        <w:tc>
          <w:tcPr>
            <w:tcW w:w="1221" w:type="pct"/>
            <w:tcBorders>
              <w:top w:val="nil"/>
              <w:left w:val="nil"/>
              <w:bottom w:val="single" w:sz="4" w:space="0" w:color="auto"/>
              <w:right w:val="single" w:sz="4" w:space="0" w:color="auto"/>
            </w:tcBorders>
            <w:shd w:val="clear" w:color="auto" w:fill="auto"/>
            <w:noWrap/>
            <w:vAlign w:val="center"/>
          </w:tcPr>
          <w:p w14:paraId="5E37900D"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Support the development of non-motorised transport</w:t>
            </w:r>
          </w:p>
        </w:tc>
        <w:tc>
          <w:tcPr>
            <w:tcW w:w="703" w:type="pct"/>
            <w:tcBorders>
              <w:top w:val="nil"/>
              <w:left w:val="nil"/>
              <w:bottom w:val="single" w:sz="4" w:space="0" w:color="auto"/>
              <w:right w:val="single" w:sz="4" w:space="0" w:color="auto"/>
            </w:tcBorders>
            <w:vAlign w:val="center"/>
          </w:tcPr>
          <w:p w14:paraId="149E2FAC"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tcPr>
          <w:p w14:paraId="13979102" w14:textId="77777777" w:rsidR="00BC204F" w:rsidRPr="006122EE" w:rsidRDefault="00BC204F" w:rsidP="00BC204F">
            <w:pPr>
              <w:jc w:val="left"/>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38A2C40E"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City Councils; Ministry of Local Government and Rural Development</w:t>
            </w:r>
          </w:p>
        </w:tc>
        <w:tc>
          <w:tcPr>
            <w:tcW w:w="870" w:type="pct"/>
            <w:tcBorders>
              <w:top w:val="nil"/>
              <w:left w:val="nil"/>
              <w:bottom w:val="single" w:sz="4" w:space="0" w:color="auto"/>
              <w:right w:val="single" w:sz="4" w:space="0" w:color="auto"/>
            </w:tcBorders>
            <w:vAlign w:val="center"/>
          </w:tcPr>
          <w:p w14:paraId="57482E1E"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6E0E17B7" w14:textId="77777777" w:rsidTr="00BC204F">
        <w:trPr>
          <w:trHeight w:val="264"/>
        </w:trPr>
        <w:tc>
          <w:tcPr>
            <w:tcW w:w="987" w:type="pct"/>
            <w:vMerge w:val="restart"/>
            <w:tcBorders>
              <w:top w:val="nil"/>
              <w:left w:val="single" w:sz="4" w:space="0" w:color="auto"/>
              <w:right w:val="single" w:sz="4" w:space="0" w:color="auto"/>
            </w:tcBorders>
            <w:shd w:val="clear" w:color="auto" w:fill="auto"/>
            <w:noWrap/>
            <w:vAlign w:val="center"/>
          </w:tcPr>
          <w:p w14:paraId="2872CB76"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Travel Demand Management</w:t>
            </w:r>
          </w:p>
        </w:tc>
        <w:tc>
          <w:tcPr>
            <w:tcW w:w="1221" w:type="pct"/>
            <w:tcBorders>
              <w:top w:val="nil"/>
              <w:left w:val="nil"/>
              <w:bottom w:val="single" w:sz="4" w:space="0" w:color="auto"/>
              <w:right w:val="single" w:sz="4" w:space="0" w:color="auto"/>
            </w:tcBorders>
            <w:shd w:val="clear" w:color="auto" w:fill="auto"/>
            <w:noWrap/>
            <w:vAlign w:val="center"/>
          </w:tcPr>
          <w:p w14:paraId="56F439B2"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Land use planning policies</w:t>
            </w:r>
          </w:p>
        </w:tc>
        <w:tc>
          <w:tcPr>
            <w:tcW w:w="703" w:type="pct"/>
            <w:tcBorders>
              <w:top w:val="nil"/>
              <w:left w:val="nil"/>
              <w:bottom w:val="single" w:sz="4" w:space="0" w:color="auto"/>
              <w:right w:val="single" w:sz="4" w:space="0" w:color="auto"/>
            </w:tcBorders>
            <w:vAlign w:val="center"/>
          </w:tcPr>
          <w:p w14:paraId="7256349B"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Medium term</w:t>
            </w:r>
          </w:p>
        </w:tc>
        <w:tc>
          <w:tcPr>
            <w:tcW w:w="515" w:type="pct"/>
            <w:tcBorders>
              <w:top w:val="nil"/>
              <w:left w:val="nil"/>
              <w:bottom w:val="single" w:sz="4" w:space="0" w:color="auto"/>
              <w:right w:val="single" w:sz="4" w:space="0" w:color="auto"/>
            </w:tcBorders>
          </w:tcPr>
          <w:p w14:paraId="702D216E" w14:textId="77777777" w:rsidR="00BC204F" w:rsidRPr="006122EE" w:rsidRDefault="00BC204F" w:rsidP="00BC204F">
            <w:pPr>
              <w:jc w:val="left"/>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0E68745F"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City Councils; Ministry of Local Government and Rural Development;</w:t>
            </w:r>
          </w:p>
        </w:tc>
        <w:tc>
          <w:tcPr>
            <w:tcW w:w="870" w:type="pct"/>
            <w:tcBorders>
              <w:top w:val="nil"/>
              <w:left w:val="nil"/>
              <w:bottom w:val="single" w:sz="4" w:space="0" w:color="auto"/>
              <w:right w:val="single" w:sz="4" w:space="0" w:color="auto"/>
            </w:tcBorders>
            <w:vAlign w:val="center"/>
          </w:tcPr>
          <w:p w14:paraId="58451A48"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r w:rsidR="00BC204F" w:rsidRPr="006122EE" w14:paraId="17307877" w14:textId="77777777" w:rsidTr="00BC204F">
        <w:trPr>
          <w:trHeight w:val="264"/>
        </w:trPr>
        <w:tc>
          <w:tcPr>
            <w:tcW w:w="987" w:type="pct"/>
            <w:vMerge/>
            <w:tcBorders>
              <w:left w:val="single" w:sz="4" w:space="0" w:color="auto"/>
              <w:bottom w:val="single" w:sz="4" w:space="0" w:color="auto"/>
              <w:right w:val="single" w:sz="4" w:space="0" w:color="auto"/>
            </w:tcBorders>
            <w:shd w:val="clear" w:color="auto" w:fill="auto"/>
            <w:noWrap/>
            <w:vAlign w:val="center"/>
          </w:tcPr>
          <w:p w14:paraId="2DB0C656" w14:textId="77777777" w:rsidR="00BC204F" w:rsidRPr="006122EE" w:rsidRDefault="00BC204F" w:rsidP="00BC204F">
            <w:pPr>
              <w:spacing w:before="0" w:after="0" w:line="240" w:lineRule="auto"/>
              <w:jc w:val="left"/>
              <w:rPr>
                <w:rFonts w:eastAsia="Times New Roman" w:cs="Arial"/>
                <w:color w:val="000000"/>
                <w:szCs w:val="20"/>
                <w:lang w:eastAsia="fr-FR"/>
              </w:rPr>
            </w:pPr>
          </w:p>
        </w:tc>
        <w:tc>
          <w:tcPr>
            <w:tcW w:w="1221" w:type="pct"/>
            <w:tcBorders>
              <w:top w:val="nil"/>
              <w:left w:val="nil"/>
              <w:bottom w:val="single" w:sz="4" w:space="0" w:color="auto"/>
              <w:right w:val="single" w:sz="4" w:space="0" w:color="auto"/>
            </w:tcBorders>
            <w:shd w:val="clear" w:color="auto" w:fill="auto"/>
            <w:noWrap/>
            <w:vAlign w:val="center"/>
          </w:tcPr>
          <w:p w14:paraId="71B598A5"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Improve efficiency of traffic flow</w:t>
            </w:r>
          </w:p>
        </w:tc>
        <w:tc>
          <w:tcPr>
            <w:tcW w:w="703" w:type="pct"/>
            <w:tcBorders>
              <w:top w:val="nil"/>
              <w:left w:val="nil"/>
              <w:bottom w:val="single" w:sz="4" w:space="0" w:color="auto"/>
              <w:right w:val="single" w:sz="4" w:space="0" w:color="auto"/>
            </w:tcBorders>
            <w:vAlign w:val="center"/>
          </w:tcPr>
          <w:p w14:paraId="5EADF61D"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Short term</w:t>
            </w:r>
          </w:p>
        </w:tc>
        <w:tc>
          <w:tcPr>
            <w:tcW w:w="515" w:type="pct"/>
            <w:tcBorders>
              <w:top w:val="nil"/>
              <w:left w:val="nil"/>
              <w:bottom w:val="single" w:sz="4" w:space="0" w:color="auto"/>
              <w:right w:val="single" w:sz="4" w:space="0" w:color="auto"/>
            </w:tcBorders>
          </w:tcPr>
          <w:p w14:paraId="52C7A042" w14:textId="77777777" w:rsidR="00BC204F" w:rsidRPr="006122EE" w:rsidRDefault="00BC204F" w:rsidP="00BC204F">
            <w:pPr>
              <w:jc w:val="left"/>
            </w:pPr>
            <w:r w:rsidRPr="006122EE">
              <w:t>Ministry of Transport and Public Works</w:t>
            </w:r>
          </w:p>
        </w:tc>
        <w:tc>
          <w:tcPr>
            <w:tcW w:w="703" w:type="pct"/>
            <w:tcBorders>
              <w:top w:val="nil"/>
              <w:left w:val="nil"/>
              <w:bottom w:val="single" w:sz="4" w:space="0" w:color="auto"/>
              <w:right w:val="single" w:sz="4" w:space="0" w:color="auto"/>
            </w:tcBorders>
            <w:vAlign w:val="center"/>
          </w:tcPr>
          <w:p w14:paraId="4F5BE921"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 xml:space="preserve">City Councils; Ministry of Local Government and Rural Development; </w:t>
            </w:r>
            <w:r w:rsidRPr="006122EE">
              <w:t>Universities and other research institutions</w:t>
            </w:r>
          </w:p>
        </w:tc>
        <w:tc>
          <w:tcPr>
            <w:tcW w:w="870" w:type="pct"/>
            <w:tcBorders>
              <w:top w:val="nil"/>
              <w:left w:val="nil"/>
              <w:bottom w:val="single" w:sz="4" w:space="0" w:color="auto"/>
              <w:right w:val="single" w:sz="4" w:space="0" w:color="auto"/>
            </w:tcBorders>
            <w:vAlign w:val="center"/>
          </w:tcPr>
          <w:p w14:paraId="140B7913" w14:textId="77777777" w:rsidR="00BC204F" w:rsidRPr="006122EE" w:rsidRDefault="00BC204F" w:rsidP="00BC204F">
            <w:pPr>
              <w:spacing w:before="0" w:after="0" w:line="240" w:lineRule="auto"/>
              <w:jc w:val="left"/>
              <w:rPr>
                <w:rFonts w:eastAsia="Times New Roman" w:cs="Arial"/>
                <w:color w:val="000000"/>
                <w:szCs w:val="20"/>
                <w:lang w:eastAsia="fr-FR"/>
              </w:rPr>
            </w:pPr>
            <w:r w:rsidRPr="006122EE">
              <w:rPr>
                <w:rFonts w:eastAsia="Times New Roman" w:cs="Arial"/>
                <w:color w:val="000000"/>
                <w:szCs w:val="20"/>
                <w:lang w:eastAsia="fr-FR"/>
              </w:rPr>
              <w:t>n.a.</w:t>
            </w:r>
          </w:p>
        </w:tc>
      </w:tr>
    </w:tbl>
    <w:p w14:paraId="398A274D" w14:textId="77777777" w:rsidR="006734AE" w:rsidRPr="006122EE" w:rsidRDefault="006734AE" w:rsidP="004F328A">
      <w:pPr>
        <w:rPr>
          <w:lang w:eastAsia="en-US"/>
        </w:rPr>
      </w:pPr>
    </w:p>
    <w:p w14:paraId="0412860D" w14:textId="77777777" w:rsidR="006734AE" w:rsidRPr="00866D96" w:rsidRDefault="006734AE" w:rsidP="006E363C">
      <w:pPr>
        <w:pStyle w:val="Annex"/>
        <w:pageBreakBefore/>
        <w:rPr>
          <w:noProof w:val="0"/>
          <w:lang w:val="en-GB"/>
        </w:rPr>
      </w:pPr>
      <w:bookmarkStart w:id="627" w:name="_Toc457944599"/>
      <w:bookmarkStart w:id="628" w:name="_Toc481614962"/>
      <w:r w:rsidRPr="00866D96">
        <w:rPr>
          <w:noProof w:val="0"/>
          <w:lang w:val="en-GB"/>
        </w:rPr>
        <w:t>Annex 4: References</w:t>
      </w:r>
      <w:bookmarkEnd w:id="627"/>
      <w:bookmarkEnd w:id="628"/>
    </w:p>
    <w:p w14:paraId="55AD425D" w14:textId="77777777" w:rsidR="006734AE" w:rsidRPr="006122EE" w:rsidRDefault="006734AE" w:rsidP="006734AE">
      <w:pPr>
        <w:spacing w:before="0" w:after="0"/>
        <w:ind w:left="227" w:right="113"/>
        <w:rPr>
          <w:lang w:eastAsia="en-US"/>
        </w:rPr>
      </w:pPr>
      <w:r w:rsidRPr="006122EE">
        <w:rPr>
          <w:lang w:eastAsia="en-US"/>
        </w:rPr>
        <w:t>The table below lists the key legislative documents and policies consulted during the development of the Action Agenda. A detailed review of the legislative and policy framework is provided in the legal analysis that has been developed as part of the SE4ALL process.</w:t>
      </w:r>
    </w:p>
    <w:p w14:paraId="72D7D8FA" w14:textId="77777777" w:rsidR="006734AE" w:rsidRPr="00866D96" w:rsidRDefault="006734AE" w:rsidP="00726AF3">
      <w:pPr>
        <w:pStyle w:val="BSubheading-Blue"/>
        <w:rPr>
          <w:noProof w:val="0"/>
          <w:lang w:val="en-GB"/>
        </w:rPr>
      </w:pPr>
      <w:bookmarkStart w:id="629" w:name="_Toc481614963"/>
      <w:r w:rsidRPr="00866D96">
        <w:rPr>
          <w:noProof w:val="0"/>
          <w:lang w:val="en-GB"/>
        </w:rPr>
        <w:t>Legal framework and institutions</w:t>
      </w:r>
      <w:bookmarkEnd w:id="629"/>
    </w:p>
    <w:tbl>
      <w:tblPr>
        <w:tblStyle w:val="TableGrid"/>
        <w:tblW w:w="0" w:type="auto"/>
        <w:tblCellMar>
          <w:top w:w="57" w:type="dxa"/>
          <w:left w:w="0" w:type="dxa"/>
          <w:bottom w:w="57" w:type="dxa"/>
          <w:right w:w="0" w:type="dxa"/>
        </w:tblCellMar>
        <w:tblLook w:val="04A0" w:firstRow="1" w:lastRow="0" w:firstColumn="1" w:lastColumn="0" w:noHBand="0" w:noVBand="1"/>
      </w:tblPr>
      <w:tblGrid>
        <w:gridCol w:w="9581"/>
        <w:gridCol w:w="1134"/>
        <w:gridCol w:w="1134"/>
        <w:gridCol w:w="1134"/>
        <w:gridCol w:w="1134"/>
      </w:tblGrid>
      <w:tr w:rsidR="006734AE" w:rsidRPr="006122EE" w14:paraId="60B1E642" w14:textId="77777777" w:rsidTr="00726AF3">
        <w:trPr>
          <w:cantSplit/>
          <w:trHeight w:val="1567"/>
        </w:trPr>
        <w:tc>
          <w:tcPr>
            <w:tcW w:w="9581" w:type="dxa"/>
            <w:shd w:val="clear" w:color="auto" w:fill="00A1DE" w:themeFill="accent3"/>
            <w:vAlign w:val="center"/>
          </w:tcPr>
          <w:p w14:paraId="5DABDDF0" w14:textId="77777777" w:rsidR="006734AE" w:rsidRPr="006122EE" w:rsidRDefault="006734AE" w:rsidP="009E55B0">
            <w:pPr>
              <w:jc w:val="left"/>
              <w:rPr>
                <w:b/>
                <w:color w:val="FFFFFF" w:themeColor="background1"/>
                <w:lang w:eastAsia="en-US"/>
              </w:rPr>
            </w:pPr>
            <w:r w:rsidRPr="006122EE">
              <w:rPr>
                <w:b/>
                <w:color w:val="FFFFFF" w:themeColor="background1"/>
                <w:lang w:eastAsia="en-US"/>
              </w:rPr>
              <w:t>Reference name</w:t>
            </w:r>
          </w:p>
        </w:tc>
        <w:tc>
          <w:tcPr>
            <w:tcW w:w="1134" w:type="dxa"/>
            <w:shd w:val="clear" w:color="auto" w:fill="00A1DE" w:themeFill="accent3"/>
            <w:textDirection w:val="btLr"/>
            <w:vAlign w:val="center"/>
          </w:tcPr>
          <w:p w14:paraId="256E286A" w14:textId="77777777" w:rsidR="006734AE" w:rsidRPr="006122EE" w:rsidRDefault="006734AE" w:rsidP="009E55B0">
            <w:pPr>
              <w:jc w:val="center"/>
              <w:rPr>
                <w:b/>
                <w:color w:val="FFFFFF" w:themeColor="background1"/>
                <w:lang w:eastAsia="en-US"/>
              </w:rPr>
            </w:pPr>
            <w:r w:rsidRPr="006122EE">
              <w:rPr>
                <w:b/>
                <w:color w:val="FFFFFF" w:themeColor="background1"/>
                <w:lang w:eastAsia="en-US"/>
              </w:rPr>
              <w:t>Energy Access</w:t>
            </w:r>
          </w:p>
        </w:tc>
        <w:tc>
          <w:tcPr>
            <w:tcW w:w="1134" w:type="dxa"/>
            <w:shd w:val="clear" w:color="auto" w:fill="00A1DE" w:themeFill="accent3"/>
            <w:textDirection w:val="btLr"/>
            <w:vAlign w:val="center"/>
          </w:tcPr>
          <w:p w14:paraId="0E113763" w14:textId="77777777" w:rsidR="006734AE" w:rsidRPr="006122EE" w:rsidRDefault="006734AE" w:rsidP="009E55B0">
            <w:pPr>
              <w:jc w:val="center"/>
              <w:rPr>
                <w:b/>
                <w:color w:val="FFFFFF" w:themeColor="background1"/>
                <w:lang w:eastAsia="en-US"/>
              </w:rPr>
            </w:pPr>
            <w:r w:rsidRPr="006122EE">
              <w:rPr>
                <w:b/>
                <w:color w:val="FFFFFF" w:themeColor="background1"/>
                <w:lang w:eastAsia="en-US"/>
              </w:rPr>
              <w:t>Renewable Energy</w:t>
            </w:r>
          </w:p>
        </w:tc>
        <w:tc>
          <w:tcPr>
            <w:tcW w:w="1134" w:type="dxa"/>
            <w:shd w:val="clear" w:color="auto" w:fill="00A1DE" w:themeFill="accent3"/>
            <w:textDirection w:val="btLr"/>
            <w:vAlign w:val="center"/>
          </w:tcPr>
          <w:p w14:paraId="45869261" w14:textId="77777777" w:rsidR="006734AE" w:rsidRPr="006122EE" w:rsidRDefault="006734AE" w:rsidP="009E55B0">
            <w:pPr>
              <w:jc w:val="center"/>
              <w:rPr>
                <w:b/>
                <w:color w:val="FFFFFF" w:themeColor="background1"/>
                <w:lang w:eastAsia="en-US"/>
              </w:rPr>
            </w:pPr>
            <w:r w:rsidRPr="006122EE">
              <w:rPr>
                <w:b/>
                <w:color w:val="FFFFFF" w:themeColor="background1"/>
                <w:lang w:eastAsia="en-US"/>
              </w:rPr>
              <w:t>Energy Efficiency</w:t>
            </w:r>
          </w:p>
        </w:tc>
        <w:tc>
          <w:tcPr>
            <w:tcW w:w="1134" w:type="dxa"/>
            <w:shd w:val="clear" w:color="auto" w:fill="00A1DE" w:themeFill="accent3"/>
            <w:textDirection w:val="btLr"/>
            <w:vAlign w:val="center"/>
          </w:tcPr>
          <w:p w14:paraId="56AA5CAB" w14:textId="77777777" w:rsidR="006734AE" w:rsidRPr="006122EE" w:rsidRDefault="006734AE" w:rsidP="009E55B0">
            <w:pPr>
              <w:jc w:val="center"/>
              <w:rPr>
                <w:b/>
                <w:color w:val="FFFFFF" w:themeColor="background1"/>
                <w:lang w:eastAsia="en-US"/>
              </w:rPr>
            </w:pPr>
            <w:r w:rsidRPr="006122EE">
              <w:rPr>
                <w:b/>
                <w:color w:val="FFFFFF" w:themeColor="background1"/>
                <w:lang w:eastAsia="en-US"/>
              </w:rPr>
              <w:t>Transportation</w:t>
            </w:r>
          </w:p>
        </w:tc>
      </w:tr>
      <w:tr w:rsidR="006734AE" w:rsidRPr="006122EE" w14:paraId="152B5DE4" w14:textId="77777777" w:rsidTr="009E55B0">
        <w:tc>
          <w:tcPr>
            <w:tcW w:w="9581" w:type="dxa"/>
            <w:shd w:val="clear" w:color="auto" w:fill="BFBFBF" w:themeFill="background1" w:themeFillShade="BF"/>
          </w:tcPr>
          <w:p w14:paraId="23DB5F86" w14:textId="77777777" w:rsidR="006734AE" w:rsidRPr="006122EE" w:rsidRDefault="006734AE" w:rsidP="009E55B0">
            <w:pPr>
              <w:spacing w:before="0" w:after="0"/>
              <w:ind w:left="227" w:right="113"/>
              <w:rPr>
                <w:b/>
                <w:color w:val="FFFFFF" w:themeColor="background1"/>
                <w:lang w:eastAsia="en-US"/>
              </w:rPr>
            </w:pPr>
            <w:r w:rsidRPr="006122EE">
              <w:rPr>
                <w:b/>
                <w:color w:val="FFFFFF" w:themeColor="background1"/>
                <w:lang w:eastAsia="en-US"/>
              </w:rPr>
              <w:t>Legal Framework</w:t>
            </w:r>
          </w:p>
        </w:tc>
        <w:tc>
          <w:tcPr>
            <w:tcW w:w="1134" w:type="dxa"/>
            <w:shd w:val="clear" w:color="auto" w:fill="BFBFBF" w:themeFill="background1" w:themeFillShade="BF"/>
            <w:vAlign w:val="center"/>
          </w:tcPr>
          <w:p w14:paraId="31EC6096" w14:textId="77777777" w:rsidR="006734AE" w:rsidRPr="006122EE" w:rsidRDefault="006734AE" w:rsidP="009E55B0">
            <w:pPr>
              <w:spacing w:before="0" w:after="0"/>
              <w:jc w:val="center"/>
              <w:rPr>
                <w:b/>
                <w:color w:val="FFFFFF" w:themeColor="background1"/>
                <w:lang w:eastAsia="en-US"/>
              </w:rPr>
            </w:pPr>
          </w:p>
        </w:tc>
        <w:tc>
          <w:tcPr>
            <w:tcW w:w="1134" w:type="dxa"/>
            <w:shd w:val="clear" w:color="auto" w:fill="BFBFBF" w:themeFill="background1" w:themeFillShade="BF"/>
            <w:vAlign w:val="center"/>
          </w:tcPr>
          <w:p w14:paraId="54422A37" w14:textId="77777777" w:rsidR="006734AE" w:rsidRPr="006122EE" w:rsidRDefault="006734AE" w:rsidP="009E55B0">
            <w:pPr>
              <w:spacing w:before="0" w:after="0"/>
              <w:jc w:val="center"/>
              <w:rPr>
                <w:b/>
                <w:color w:val="FFFFFF" w:themeColor="background1"/>
                <w:lang w:eastAsia="en-US"/>
              </w:rPr>
            </w:pPr>
          </w:p>
        </w:tc>
        <w:tc>
          <w:tcPr>
            <w:tcW w:w="1134" w:type="dxa"/>
            <w:shd w:val="clear" w:color="auto" w:fill="BFBFBF" w:themeFill="background1" w:themeFillShade="BF"/>
            <w:vAlign w:val="center"/>
          </w:tcPr>
          <w:p w14:paraId="095A6403" w14:textId="77777777" w:rsidR="006734AE" w:rsidRPr="006122EE" w:rsidRDefault="006734AE" w:rsidP="009E55B0">
            <w:pPr>
              <w:spacing w:before="0" w:after="0"/>
              <w:jc w:val="center"/>
              <w:rPr>
                <w:b/>
                <w:color w:val="FFFFFF" w:themeColor="background1"/>
                <w:lang w:eastAsia="en-US"/>
              </w:rPr>
            </w:pPr>
          </w:p>
        </w:tc>
        <w:tc>
          <w:tcPr>
            <w:tcW w:w="1134" w:type="dxa"/>
            <w:shd w:val="clear" w:color="auto" w:fill="BFBFBF" w:themeFill="background1" w:themeFillShade="BF"/>
            <w:vAlign w:val="center"/>
          </w:tcPr>
          <w:p w14:paraId="6BBB8D5F" w14:textId="77777777" w:rsidR="006734AE" w:rsidRPr="006122EE" w:rsidRDefault="006734AE" w:rsidP="009E55B0">
            <w:pPr>
              <w:spacing w:before="0" w:after="0"/>
              <w:jc w:val="center"/>
              <w:rPr>
                <w:b/>
                <w:color w:val="FFFFFF" w:themeColor="background1"/>
                <w:lang w:eastAsia="en-US"/>
              </w:rPr>
            </w:pPr>
          </w:p>
        </w:tc>
      </w:tr>
      <w:tr w:rsidR="006734AE" w:rsidRPr="006122EE" w14:paraId="5BAF32CC" w14:textId="77777777" w:rsidTr="009E55B0">
        <w:tc>
          <w:tcPr>
            <w:tcW w:w="9581" w:type="dxa"/>
          </w:tcPr>
          <w:p w14:paraId="3BBDA85A" w14:textId="77777777" w:rsidR="006734AE" w:rsidRPr="006122EE" w:rsidRDefault="006734AE" w:rsidP="009E55B0">
            <w:pPr>
              <w:spacing w:before="0" w:after="0"/>
              <w:ind w:left="227" w:right="113"/>
              <w:rPr>
                <w:lang w:eastAsia="en-US"/>
              </w:rPr>
            </w:pPr>
            <w:r w:rsidRPr="006122EE">
              <w:rPr>
                <w:lang w:eastAsia="en-US"/>
              </w:rPr>
              <w:t>Liquid Fuels and Gas (Production and Supply) Act, 2004 (rule 25)</w:t>
            </w:r>
          </w:p>
        </w:tc>
        <w:tc>
          <w:tcPr>
            <w:tcW w:w="1134" w:type="dxa"/>
            <w:vAlign w:val="center"/>
          </w:tcPr>
          <w:p w14:paraId="75F06B32" w14:textId="77777777" w:rsidR="006734AE" w:rsidRPr="006122EE" w:rsidRDefault="006734AE" w:rsidP="009E55B0">
            <w:pPr>
              <w:spacing w:before="0" w:after="0"/>
              <w:jc w:val="center"/>
              <w:rPr>
                <w:lang w:eastAsia="en-US"/>
              </w:rPr>
            </w:pPr>
          </w:p>
        </w:tc>
        <w:tc>
          <w:tcPr>
            <w:tcW w:w="1134" w:type="dxa"/>
            <w:vAlign w:val="center"/>
          </w:tcPr>
          <w:p w14:paraId="234D4996" w14:textId="77777777" w:rsidR="006734AE" w:rsidRPr="006122EE" w:rsidRDefault="006734AE" w:rsidP="009E55B0">
            <w:pPr>
              <w:spacing w:before="0" w:after="0"/>
              <w:jc w:val="center"/>
              <w:rPr>
                <w:lang w:eastAsia="en-US"/>
              </w:rPr>
            </w:pPr>
          </w:p>
        </w:tc>
        <w:tc>
          <w:tcPr>
            <w:tcW w:w="1134" w:type="dxa"/>
            <w:vAlign w:val="center"/>
          </w:tcPr>
          <w:p w14:paraId="670CD309" w14:textId="77777777" w:rsidR="006734AE" w:rsidRPr="006122EE" w:rsidRDefault="006734AE" w:rsidP="009E55B0">
            <w:pPr>
              <w:spacing w:before="0" w:after="0"/>
              <w:jc w:val="center"/>
              <w:rPr>
                <w:lang w:eastAsia="en-US"/>
              </w:rPr>
            </w:pPr>
          </w:p>
        </w:tc>
        <w:tc>
          <w:tcPr>
            <w:tcW w:w="1134" w:type="dxa"/>
            <w:vAlign w:val="center"/>
          </w:tcPr>
          <w:p w14:paraId="7208EE69"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37F706D9" w14:textId="77777777" w:rsidTr="009E55B0">
        <w:tc>
          <w:tcPr>
            <w:tcW w:w="9581" w:type="dxa"/>
          </w:tcPr>
          <w:p w14:paraId="6B3C914D" w14:textId="77777777" w:rsidR="006734AE" w:rsidRPr="006122EE" w:rsidRDefault="006734AE" w:rsidP="009E55B0">
            <w:pPr>
              <w:spacing w:before="0" w:after="0"/>
              <w:ind w:left="227" w:right="113"/>
              <w:rPr>
                <w:lang w:eastAsia="en-US"/>
              </w:rPr>
            </w:pPr>
            <w:r w:rsidRPr="006122EE">
              <w:rPr>
                <w:lang w:eastAsia="en-US"/>
              </w:rPr>
              <w:t>Road Traffic Act, 1997</w:t>
            </w:r>
          </w:p>
        </w:tc>
        <w:tc>
          <w:tcPr>
            <w:tcW w:w="1134" w:type="dxa"/>
            <w:vAlign w:val="center"/>
          </w:tcPr>
          <w:p w14:paraId="0D9F24F9" w14:textId="77777777" w:rsidR="006734AE" w:rsidRPr="006122EE" w:rsidRDefault="006734AE" w:rsidP="009E55B0">
            <w:pPr>
              <w:spacing w:before="0" w:after="0"/>
              <w:jc w:val="center"/>
              <w:rPr>
                <w:lang w:eastAsia="en-US"/>
              </w:rPr>
            </w:pPr>
          </w:p>
        </w:tc>
        <w:tc>
          <w:tcPr>
            <w:tcW w:w="1134" w:type="dxa"/>
            <w:vAlign w:val="center"/>
          </w:tcPr>
          <w:p w14:paraId="2D5A0A72" w14:textId="77777777" w:rsidR="006734AE" w:rsidRPr="006122EE" w:rsidRDefault="006734AE" w:rsidP="009E55B0">
            <w:pPr>
              <w:spacing w:before="0" w:after="0"/>
              <w:jc w:val="center"/>
              <w:rPr>
                <w:lang w:eastAsia="en-US"/>
              </w:rPr>
            </w:pPr>
          </w:p>
        </w:tc>
        <w:tc>
          <w:tcPr>
            <w:tcW w:w="1134" w:type="dxa"/>
            <w:vAlign w:val="center"/>
          </w:tcPr>
          <w:p w14:paraId="724F94C6" w14:textId="77777777" w:rsidR="006734AE" w:rsidRPr="006122EE" w:rsidRDefault="006734AE" w:rsidP="009E55B0">
            <w:pPr>
              <w:spacing w:before="0" w:after="0"/>
              <w:jc w:val="center"/>
              <w:rPr>
                <w:lang w:eastAsia="en-US"/>
              </w:rPr>
            </w:pPr>
          </w:p>
        </w:tc>
        <w:tc>
          <w:tcPr>
            <w:tcW w:w="1134" w:type="dxa"/>
            <w:vAlign w:val="center"/>
          </w:tcPr>
          <w:p w14:paraId="720B5634"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7E0C93C0" w14:textId="77777777" w:rsidTr="009718DB">
        <w:tc>
          <w:tcPr>
            <w:tcW w:w="9581" w:type="dxa"/>
            <w:shd w:val="clear" w:color="auto" w:fill="BFBFBF" w:themeFill="background1" w:themeFillShade="BF"/>
          </w:tcPr>
          <w:p w14:paraId="1ACE7359" w14:textId="77777777" w:rsidR="006734AE" w:rsidRPr="006122EE" w:rsidRDefault="006734AE" w:rsidP="009E55B0">
            <w:pPr>
              <w:spacing w:before="0" w:after="0"/>
              <w:ind w:left="227" w:right="113"/>
              <w:rPr>
                <w:lang w:eastAsia="en-US"/>
              </w:rPr>
            </w:pPr>
            <w:r w:rsidRPr="006122EE">
              <w:rPr>
                <w:b/>
                <w:color w:val="FFFFFF" w:themeColor="background1"/>
                <w:lang w:eastAsia="en-US"/>
              </w:rPr>
              <w:t>Policy Framework</w:t>
            </w:r>
          </w:p>
        </w:tc>
        <w:tc>
          <w:tcPr>
            <w:tcW w:w="1134" w:type="dxa"/>
            <w:shd w:val="clear" w:color="auto" w:fill="BFBFBF" w:themeFill="background1" w:themeFillShade="BF"/>
            <w:vAlign w:val="center"/>
          </w:tcPr>
          <w:p w14:paraId="7D2BDFDD"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17382CE1"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611E767F"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68B4E045" w14:textId="77777777" w:rsidR="006734AE" w:rsidRPr="006122EE" w:rsidRDefault="006734AE" w:rsidP="009E55B0">
            <w:pPr>
              <w:spacing w:before="0" w:after="0"/>
              <w:jc w:val="center"/>
              <w:rPr>
                <w:lang w:eastAsia="en-US"/>
              </w:rPr>
            </w:pPr>
          </w:p>
        </w:tc>
      </w:tr>
      <w:tr w:rsidR="006734AE" w:rsidRPr="006122EE" w14:paraId="1E6634C6" w14:textId="77777777" w:rsidTr="00726AF3">
        <w:tc>
          <w:tcPr>
            <w:tcW w:w="9581" w:type="dxa"/>
          </w:tcPr>
          <w:p w14:paraId="438D210A" w14:textId="77777777" w:rsidR="006734AE" w:rsidRPr="006122EE" w:rsidRDefault="006734AE" w:rsidP="009E55B0">
            <w:pPr>
              <w:spacing w:before="0" w:after="0"/>
              <w:ind w:left="227" w:right="113"/>
              <w:rPr>
                <w:lang w:eastAsia="en-US"/>
              </w:rPr>
            </w:pPr>
            <w:r w:rsidRPr="006122EE">
              <w:rPr>
                <w:lang w:eastAsia="en-US"/>
              </w:rPr>
              <w:t>Malawi Ethanol Programme, 2013</w:t>
            </w:r>
          </w:p>
        </w:tc>
        <w:tc>
          <w:tcPr>
            <w:tcW w:w="1134" w:type="dxa"/>
            <w:vAlign w:val="center"/>
          </w:tcPr>
          <w:p w14:paraId="183952E1" w14:textId="77777777" w:rsidR="006734AE" w:rsidRPr="006122EE" w:rsidRDefault="006734AE" w:rsidP="009E55B0">
            <w:pPr>
              <w:spacing w:before="0" w:after="0"/>
              <w:jc w:val="center"/>
              <w:rPr>
                <w:lang w:eastAsia="en-US"/>
              </w:rPr>
            </w:pPr>
          </w:p>
        </w:tc>
        <w:tc>
          <w:tcPr>
            <w:tcW w:w="1134" w:type="dxa"/>
            <w:vAlign w:val="center"/>
          </w:tcPr>
          <w:p w14:paraId="6A2D37D6" w14:textId="77777777" w:rsidR="006734AE" w:rsidRPr="006122EE" w:rsidRDefault="006734AE" w:rsidP="009E55B0">
            <w:pPr>
              <w:spacing w:before="0" w:after="0"/>
              <w:jc w:val="center"/>
              <w:rPr>
                <w:lang w:eastAsia="en-US"/>
              </w:rPr>
            </w:pPr>
          </w:p>
        </w:tc>
        <w:tc>
          <w:tcPr>
            <w:tcW w:w="1134" w:type="dxa"/>
            <w:vAlign w:val="center"/>
          </w:tcPr>
          <w:p w14:paraId="63C3EC20" w14:textId="77777777" w:rsidR="006734AE" w:rsidRPr="006122EE" w:rsidRDefault="006734AE" w:rsidP="009E55B0">
            <w:pPr>
              <w:spacing w:before="0" w:after="0"/>
              <w:jc w:val="center"/>
              <w:rPr>
                <w:lang w:eastAsia="en-US"/>
              </w:rPr>
            </w:pPr>
          </w:p>
        </w:tc>
        <w:tc>
          <w:tcPr>
            <w:tcW w:w="1134" w:type="dxa"/>
            <w:vAlign w:val="center"/>
          </w:tcPr>
          <w:p w14:paraId="6E466A3A"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7EDA3B93" w14:textId="77777777" w:rsidTr="00726AF3">
        <w:tc>
          <w:tcPr>
            <w:tcW w:w="9581" w:type="dxa"/>
          </w:tcPr>
          <w:p w14:paraId="52035397" w14:textId="77777777" w:rsidR="006734AE" w:rsidRPr="006122EE" w:rsidRDefault="006734AE" w:rsidP="009E55B0">
            <w:pPr>
              <w:spacing w:before="0" w:after="0"/>
              <w:ind w:left="227" w:right="113"/>
              <w:rPr>
                <w:lang w:eastAsia="en-US"/>
              </w:rPr>
            </w:pPr>
            <w:r w:rsidRPr="006122EE">
              <w:rPr>
                <w:lang w:eastAsia="en-US"/>
              </w:rPr>
              <w:t>Draft National Energy Policy, 2016</w:t>
            </w:r>
          </w:p>
        </w:tc>
        <w:tc>
          <w:tcPr>
            <w:tcW w:w="1134" w:type="dxa"/>
            <w:vAlign w:val="center"/>
          </w:tcPr>
          <w:p w14:paraId="64AAA284"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012999EB"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3402786E"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5DD2E64F"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35BE7C2B" w14:textId="77777777" w:rsidTr="00726AF3">
        <w:tc>
          <w:tcPr>
            <w:tcW w:w="9581" w:type="dxa"/>
          </w:tcPr>
          <w:p w14:paraId="152C7AE1" w14:textId="77777777" w:rsidR="006734AE" w:rsidRPr="006122EE" w:rsidRDefault="006734AE" w:rsidP="009E55B0">
            <w:pPr>
              <w:spacing w:before="0" w:after="0"/>
              <w:ind w:left="227" w:right="113"/>
              <w:rPr>
                <w:lang w:eastAsia="en-US"/>
              </w:rPr>
            </w:pPr>
            <w:r w:rsidRPr="006122EE">
              <w:rPr>
                <w:lang w:eastAsia="en-US"/>
              </w:rPr>
              <w:t>National Energy Policy (NEP), 2003</w:t>
            </w:r>
            <w:r w:rsidR="00545150" w:rsidRPr="006122EE">
              <w:rPr>
                <w:lang w:eastAsia="en-US"/>
              </w:rPr>
              <w:t>, updated 2016</w:t>
            </w:r>
          </w:p>
        </w:tc>
        <w:tc>
          <w:tcPr>
            <w:tcW w:w="1134" w:type="dxa"/>
            <w:vAlign w:val="center"/>
          </w:tcPr>
          <w:p w14:paraId="6672C29B"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5BA0AF57"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3E738030"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70097445" w14:textId="77777777" w:rsidR="006734AE" w:rsidRPr="006122EE" w:rsidRDefault="006734AE" w:rsidP="009E55B0">
            <w:pPr>
              <w:spacing w:before="0" w:after="0"/>
              <w:jc w:val="center"/>
              <w:rPr>
                <w:lang w:eastAsia="en-US"/>
              </w:rPr>
            </w:pPr>
            <w:r w:rsidRPr="006122EE">
              <w:rPr>
                <w:lang w:eastAsia="en-US"/>
              </w:rPr>
              <w:t>X</w:t>
            </w:r>
          </w:p>
        </w:tc>
      </w:tr>
      <w:tr w:rsidR="00B1153E" w:rsidRPr="006122EE" w14:paraId="43CD66D2" w14:textId="77777777" w:rsidTr="00726AF3">
        <w:tc>
          <w:tcPr>
            <w:tcW w:w="9581" w:type="dxa"/>
          </w:tcPr>
          <w:p w14:paraId="67AE5642" w14:textId="77777777" w:rsidR="00B1153E" w:rsidRPr="006122EE" w:rsidRDefault="00B1153E" w:rsidP="009E55B0">
            <w:pPr>
              <w:spacing w:before="0" w:after="0"/>
              <w:ind w:left="227" w:right="113"/>
              <w:rPr>
                <w:lang w:eastAsia="en-US"/>
              </w:rPr>
            </w:pPr>
            <w:r>
              <w:rPr>
                <w:lang w:eastAsia="en-US"/>
              </w:rPr>
              <w:t>Draft Renewable Energy Strategy</w:t>
            </w:r>
          </w:p>
        </w:tc>
        <w:tc>
          <w:tcPr>
            <w:tcW w:w="1134" w:type="dxa"/>
            <w:vAlign w:val="center"/>
          </w:tcPr>
          <w:p w14:paraId="26301D9C" w14:textId="77777777" w:rsidR="00B1153E" w:rsidRPr="006122EE" w:rsidRDefault="00B1153E" w:rsidP="009E55B0">
            <w:pPr>
              <w:spacing w:before="0" w:after="0"/>
              <w:jc w:val="center"/>
              <w:rPr>
                <w:lang w:eastAsia="en-US"/>
              </w:rPr>
            </w:pPr>
          </w:p>
        </w:tc>
        <w:tc>
          <w:tcPr>
            <w:tcW w:w="1134" w:type="dxa"/>
            <w:vAlign w:val="center"/>
          </w:tcPr>
          <w:p w14:paraId="1EECB846" w14:textId="77777777" w:rsidR="00B1153E" w:rsidRPr="006122EE" w:rsidRDefault="00B1153E" w:rsidP="009E55B0">
            <w:pPr>
              <w:spacing w:before="0" w:after="0"/>
              <w:jc w:val="center"/>
              <w:rPr>
                <w:lang w:eastAsia="en-US"/>
              </w:rPr>
            </w:pPr>
            <w:r>
              <w:rPr>
                <w:lang w:eastAsia="en-US"/>
              </w:rPr>
              <w:t>X</w:t>
            </w:r>
          </w:p>
        </w:tc>
        <w:tc>
          <w:tcPr>
            <w:tcW w:w="1134" w:type="dxa"/>
            <w:vAlign w:val="center"/>
          </w:tcPr>
          <w:p w14:paraId="7A661DA8" w14:textId="77777777" w:rsidR="00B1153E" w:rsidRPr="006122EE" w:rsidRDefault="00B1153E" w:rsidP="009E55B0">
            <w:pPr>
              <w:spacing w:before="0" w:after="0"/>
              <w:jc w:val="center"/>
              <w:rPr>
                <w:lang w:eastAsia="en-US"/>
              </w:rPr>
            </w:pPr>
          </w:p>
        </w:tc>
        <w:tc>
          <w:tcPr>
            <w:tcW w:w="1134" w:type="dxa"/>
            <w:vAlign w:val="center"/>
          </w:tcPr>
          <w:p w14:paraId="3A8CBA21" w14:textId="77777777" w:rsidR="00B1153E" w:rsidRPr="006122EE" w:rsidRDefault="00B1153E" w:rsidP="009E55B0">
            <w:pPr>
              <w:spacing w:before="0" w:after="0"/>
              <w:jc w:val="center"/>
              <w:rPr>
                <w:lang w:eastAsia="en-US"/>
              </w:rPr>
            </w:pPr>
          </w:p>
        </w:tc>
      </w:tr>
      <w:tr w:rsidR="00B1153E" w:rsidRPr="006122EE" w14:paraId="07FE645C" w14:textId="77777777" w:rsidTr="00726AF3">
        <w:tc>
          <w:tcPr>
            <w:tcW w:w="9581" w:type="dxa"/>
          </w:tcPr>
          <w:p w14:paraId="39EE502B" w14:textId="77777777" w:rsidR="00B1153E" w:rsidRPr="006122EE" w:rsidRDefault="00B1153E" w:rsidP="009E55B0">
            <w:pPr>
              <w:spacing w:before="0" w:after="0"/>
              <w:ind w:left="227" w:right="113"/>
              <w:rPr>
                <w:lang w:eastAsia="en-US"/>
              </w:rPr>
            </w:pPr>
            <w:r>
              <w:rPr>
                <w:lang w:eastAsia="en-US"/>
              </w:rPr>
              <w:t>Draft IPP Framework</w:t>
            </w:r>
          </w:p>
        </w:tc>
        <w:tc>
          <w:tcPr>
            <w:tcW w:w="1134" w:type="dxa"/>
            <w:vAlign w:val="center"/>
          </w:tcPr>
          <w:p w14:paraId="06865F36" w14:textId="77777777" w:rsidR="00B1153E" w:rsidRPr="006122EE" w:rsidRDefault="00B1153E" w:rsidP="009E55B0">
            <w:pPr>
              <w:spacing w:before="0" w:after="0"/>
              <w:jc w:val="center"/>
              <w:rPr>
                <w:lang w:eastAsia="en-US"/>
              </w:rPr>
            </w:pPr>
          </w:p>
        </w:tc>
        <w:tc>
          <w:tcPr>
            <w:tcW w:w="1134" w:type="dxa"/>
            <w:vAlign w:val="center"/>
          </w:tcPr>
          <w:p w14:paraId="6BFF4912" w14:textId="77777777" w:rsidR="00B1153E" w:rsidRPr="006122EE" w:rsidRDefault="00B1153E" w:rsidP="009E55B0">
            <w:pPr>
              <w:spacing w:before="0" w:after="0"/>
              <w:jc w:val="center"/>
              <w:rPr>
                <w:lang w:eastAsia="en-US"/>
              </w:rPr>
            </w:pPr>
            <w:r>
              <w:rPr>
                <w:lang w:eastAsia="en-US"/>
              </w:rPr>
              <w:t>X</w:t>
            </w:r>
          </w:p>
        </w:tc>
        <w:tc>
          <w:tcPr>
            <w:tcW w:w="1134" w:type="dxa"/>
            <w:vAlign w:val="center"/>
          </w:tcPr>
          <w:p w14:paraId="3BA3290E" w14:textId="77777777" w:rsidR="00B1153E" w:rsidRPr="006122EE" w:rsidRDefault="00B1153E" w:rsidP="009E55B0">
            <w:pPr>
              <w:spacing w:before="0" w:after="0"/>
              <w:jc w:val="center"/>
              <w:rPr>
                <w:lang w:eastAsia="en-US"/>
              </w:rPr>
            </w:pPr>
          </w:p>
        </w:tc>
        <w:tc>
          <w:tcPr>
            <w:tcW w:w="1134" w:type="dxa"/>
            <w:vAlign w:val="center"/>
          </w:tcPr>
          <w:p w14:paraId="7D6ADF1D" w14:textId="77777777" w:rsidR="00B1153E" w:rsidRPr="006122EE" w:rsidRDefault="00B1153E" w:rsidP="009E55B0">
            <w:pPr>
              <w:spacing w:before="0" w:after="0"/>
              <w:jc w:val="center"/>
              <w:rPr>
                <w:lang w:eastAsia="en-US"/>
              </w:rPr>
            </w:pPr>
          </w:p>
        </w:tc>
      </w:tr>
      <w:tr w:rsidR="006734AE" w:rsidRPr="006122EE" w14:paraId="3E836547" w14:textId="77777777" w:rsidTr="00726AF3">
        <w:tc>
          <w:tcPr>
            <w:tcW w:w="9581" w:type="dxa"/>
          </w:tcPr>
          <w:p w14:paraId="455CC49C" w14:textId="77777777" w:rsidR="006734AE" w:rsidRPr="006122EE" w:rsidRDefault="006734AE" w:rsidP="009E55B0">
            <w:pPr>
              <w:spacing w:before="0" w:after="0"/>
              <w:ind w:left="227" w:right="113"/>
              <w:rPr>
                <w:lang w:eastAsia="en-US"/>
              </w:rPr>
            </w:pPr>
            <w:r w:rsidRPr="006122EE">
              <w:rPr>
                <w:lang w:eastAsia="en-US"/>
              </w:rPr>
              <w:t>Malawi Growth and Development Strategy II (2011-2016)</w:t>
            </w:r>
          </w:p>
        </w:tc>
        <w:tc>
          <w:tcPr>
            <w:tcW w:w="1134" w:type="dxa"/>
            <w:vAlign w:val="center"/>
          </w:tcPr>
          <w:p w14:paraId="12EF6E70" w14:textId="77777777" w:rsidR="006734AE" w:rsidRPr="006122EE" w:rsidRDefault="006734AE" w:rsidP="009E55B0">
            <w:pPr>
              <w:spacing w:before="0" w:after="0"/>
              <w:jc w:val="center"/>
              <w:rPr>
                <w:lang w:eastAsia="en-US"/>
              </w:rPr>
            </w:pPr>
          </w:p>
        </w:tc>
        <w:tc>
          <w:tcPr>
            <w:tcW w:w="1134" w:type="dxa"/>
            <w:vAlign w:val="center"/>
          </w:tcPr>
          <w:p w14:paraId="066C8965" w14:textId="77777777" w:rsidR="006734AE" w:rsidRPr="006122EE" w:rsidRDefault="006734AE" w:rsidP="009E55B0">
            <w:pPr>
              <w:spacing w:before="0" w:after="0"/>
              <w:jc w:val="center"/>
              <w:rPr>
                <w:lang w:eastAsia="en-US"/>
              </w:rPr>
            </w:pPr>
          </w:p>
        </w:tc>
        <w:tc>
          <w:tcPr>
            <w:tcW w:w="1134" w:type="dxa"/>
            <w:vAlign w:val="center"/>
          </w:tcPr>
          <w:p w14:paraId="0CDF9ED8" w14:textId="77777777" w:rsidR="006734AE" w:rsidRPr="006122EE" w:rsidRDefault="006734AE" w:rsidP="009E55B0">
            <w:pPr>
              <w:spacing w:before="0" w:after="0"/>
              <w:jc w:val="center"/>
              <w:rPr>
                <w:lang w:eastAsia="en-US"/>
              </w:rPr>
            </w:pPr>
          </w:p>
        </w:tc>
        <w:tc>
          <w:tcPr>
            <w:tcW w:w="1134" w:type="dxa"/>
            <w:vAlign w:val="center"/>
          </w:tcPr>
          <w:p w14:paraId="79DD6BF4"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131F2460" w14:textId="77777777" w:rsidTr="00726AF3">
        <w:tc>
          <w:tcPr>
            <w:tcW w:w="9581" w:type="dxa"/>
          </w:tcPr>
          <w:p w14:paraId="51D13586" w14:textId="77777777" w:rsidR="006734AE" w:rsidRPr="006122EE" w:rsidRDefault="006734AE" w:rsidP="009E55B0">
            <w:pPr>
              <w:spacing w:before="0" w:after="0"/>
              <w:ind w:left="227" w:right="113"/>
              <w:rPr>
                <w:lang w:eastAsia="en-US"/>
              </w:rPr>
            </w:pPr>
            <w:r w:rsidRPr="006122EE">
              <w:rPr>
                <w:lang w:eastAsia="en-US"/>
              </w:rPr>
              <w:t>National Transport Policy, 2015</w:t>
            </w:r>
          </w:p>
        </w:tc>
        <w:tc>
          <w:tcPr>
            <w:tcW w:w="1134" w:type="dxa"/>
            <w:vAlign w:val="center"/>
          </w:tcPr>
          <w:p w14:paraId="61FF42A0" w14:textId="77777777" w:rsidR="006734AE" w:rsidRPr="006122EE" w:rsidRDefault="006734AE" w:rsidP="009E55B0">
            <w:pPr>
              <w:spacing w:before="0" w:after="0"/>
              <w:jc w:val="center"/>
              <w:rPr>
                <w:lang w:eastAsia="en-US"/>
              </w:rPr>
            </w:pPr>
          </w:p>
        </w:tc>
        <w:tc>
          <w:tcPr>
            <w:tcW w:w="1134" w:type="dxa"/>
            <w:vAlign w:val="center"/>
          </w:tcPr>
          <w:p w14:paraId="18ABD203" w14:textId="77777777" w:rsidR="006734AE" w:rsidRPr="006122EE" w:rsidRDefault="006734AE" w:rsidP="009E55B0">
            <w:pPr>
              <w:spacing w:before="0" w:after="0"/>
              <w:jc w:val="center"/>
              <w:rPr>
                <w:lang w:eastAsia="en-US"/>
              </w:rPr>
            </w:pPr>
          </w:p>
        </w:tc>
        <w:tc>
          <w:tcPr>
            <w:tcW w:w="1134" w:type="dxa"/>
            <w:vAlign w:val="center"/>
          </w:tcPr>
          <w:p w14:paraId="12A4876C" w14:textId="77777777" w:rsidR="006734AE" w:rsidRPr="006122EE" w:rsidRDefault="006734AE" w:rsidP="009E55B0">
            <w:pPr>
              <w:spacing w:before="0" w:after="0"/>
              <w:jc w:val="center"/>
              <w:rPr>
                <w:lang w:eastAsia="en-US"/>
              </w:rPr>
            </w:pPr>
          </w:p>
        </w:tc>
        <w:tc>
          <w:tcPr>
            <w:tcW w:w="1134" w:type="dxa"/>
            <w:vAlign w:val="center"/>
          </w:tcPr>
          <w:p w14:paraId="4CEBF4E7"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1E8C6FB2" w14:textId="77777777" w:rsidTr="00726AF3">
        <w:tc>
          <w:tcPr>
            <w:tcW w:w="9581" w:type="dxa"/>
          </w:tcPr>
          <w:p w14:paraId="2CC34447" w14:textId="77777777" w:rsidR="006734AE" w:rsidRPr="006122EE" w:rsidRDefault="00545150" w:rsidP="009E55B0">
            <w:pPr>
              <w:spacing w:before="0" w:after="0"/>
              <w:ind w:left="227" w:right="113"/>
              <w:rPr>
                <w:bCs/>
              </w:rPr>
            </w:pPr>
            <w:r w:rsidRPr="00866D96">
              <w:t>Cook Stoves Road Map</w:t>
            </w:r>
            <w:r w:rsidR="00745D8E" w:rsidRPr="00866D96">
              <w:t xml:space="preserve"> (2015 – 2017)</w:t>
            </w:r>
          </w:p>
        </w:tc>
        <w:tc>
          <w:tcPr>
            <w:tcW w:w="1134" w:type="dxa"/>
            <w:vAlign w:val="center"/>
          </w:tcPr>
          <w:p w14:paraId="5A1F239E" w14:textId="77777777" w:rsidR="006734AE" w:rsidRPr="006122EE" w:rsidRDefault="00745D8E" w:rsidP="009E55B0">
            <w:pPr>
              <w:spacing w:before="0" w:after="0"/>
              <w:jc w:val="center"/>
              <w:rPr>
                <w:lang w:eastAsia="en-US"/>
              </w:rPr>
            </w:pPr>
            <w:r w:rsidRPr="006122EE">
              <w:rPr>
                <w:lang w:eastAsia="en-US"/>
              </w:rPr>
              <w:t>X</w:t>
            </w:r>
          </w:p>
        </w:tc>
        <w:tc>
          <w:tcPr>
            <w:tcW w:w="1134" w:type="dxa"/>
            <w:vAlign w:val="center"/>
          </w:tcPr>
          <w:p w14:paraId="77A65DB4" w14:textId="77777777" w:rsidR="006734AE" w:rsidRPr="006122EE" w:rsidRDefault="006734AE" w:rsidP="009E55B0">
            <w:pPr>
              <w:spacing w:before="0" w:after="0"/>
              <w:jc w:val="center"/>
              <w:rPr>
                <w:lang w:eastAsia="en-US"/>
              </w:rPr>
            </w:pPr>
          </w:p>
        </w:tc>
        <w:tc>
          <w:tcPr>
            <w:tcW w:w="1134" w:type="dxa"/>
            <w:vAlign w:val="center"/>
          </w:tcPr>
          <w:p w14:paraId="4465C584" w14:textId="77777777" w:rsidR="006734AE" w:rsidRPr="006122EE" w:rsidRDefault="00745D8E" w:rsidP="009E55B0">
            <w:pPr>
              <w:spacing w:before="0" w:after="0"/>
              <w:jc w:val="center"/>
              <w:rPr>
                <w:lang w:eastAsia="en-US"/>
              </w:rPr>
            </w:pPr>
            <w:r w:rsidRPr="006122EE">
              <w:rPr>
                <w:lang w:eastAsia="en-US"/>
              </w:rPr>
              <w:t>X</w:t>
            </w:r>
          </w:p>
        </w:tc>
        <w:tc>
          <w:tcPr>
            <w:tcW w:w="1134" w:type="dxa"/>
            <w:vAlign w:val="center"/>
          </w:tcPr>
          <w:p w14:paraId="0F572E00" w14:textId="77777777" w:rsidR="006734AE" w:rsidRPr="006122EE" w:rsidRDefault="006734AE" w:rsidP="009E55B0">
            <w:pPr>
              <w:spacing w:before="0" w:after="0"/>
              <w:jc w:val="center"/>
              <w:rPr>
                <w:lang w:eastAsia="en-US"/>
              </w:rPr>
            </w:pPr>
          </w:p>
        </w:tc>
      </w:tr>
      <w:tr w:rsidR="006734AE" w:rsidRPr="006122EE" w14:paraId="2958C1FB" w14:textId="77777777" w:rsidTr="009718DB">
        <w:tc>
          <w:tcPr>
            <w:tcW w:w="9581" w:type="dxa"/>
            <w:shd w:val="clear" w:color="auto" w:fill="BFBFBF" w:themeFill="background1" w:themeFillShade="BF"/>
          </w:tcPr>
          <w:p w14:paraId="0CA5D443" w14:textId="77777777" w:rsidR="006734AE" w:rsidRPr="006122EE" w:rsidRDefault="006734AE" w:rsidP="009E55B0">
            <w:pPr>
              <w:spacing w:before="0" w:after="0"/>
              <w:ind w:left="227" w:right="113"/>
              <w:rPr>
                <w:lang w:eastAsia="en-US"/>
              </w:rPr>
            </w:pPr>
            <w:r w:rsidRPr="006122EE">
              <w:rPr>
                <w:b/>
                <w:color w:val="FFFFFF" w:themeColor="background1"/>
                <w:lang w:eastAsia="en-US"/>
              </w:rPr>
              <w:t>Institutions consulted</w:t>
            </w:r>
            <w:r w:rsidR="00B1153E">
              <w:rPr>
                <w:b/>
                <w:color w:val="FFFFFF" w:themeColor="background1"/>
                <w:lang w:eastAsia="en-US"/>
              </w:rPr>
              <w:t xml:space="preserve"> (outside of multi-stakeholder meetings)</w:t>
            </w:r>
          </w:p>
        </w:tc>
        <w:tc>
          <w:tcPr>
            <w:tcW w:w="1134" w:type="dxa"/>
            <w:shd w:val="clear" w:color="auto" w:fill="BFBFBF" w:themeFill="background1" w:themeFillShade="BF"/>
            <w:vAlign w:val="center"/>
          </w:tcPr>
          <w:p w14:paraId="50CCC496"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5A9E9BD0"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11CC54EE" w14:textId="77777777" w:rsidR="006734AE" w:rsidRPr="006122EE" w:rsidRDefault="006734AE" w:rsidP="009E55B0">
            <w:pPr>
              <w:spacing w:before="0" w:after="0"/>
              <w:jc w:val="center"/>
              <w:rPr>
                <w:lang w:eastAsia="en-US"/>
              </w:rPr>
            </w:pPr>
          </w:p>
        </w:tc>
        <w:tc>
          <w:tcPr>
            <w:tcW w:w="1134" w:type="dxa"/>
            <w:shd w:val="clear" w:color="auto" w:fill="BFBFBF" w:themeFill="background1" w:themeFillShade="BF"/>
            <w:vAlign w:val="center"/>
          </w:tcPr>
          <w:p w14:paraId="66E2E42F" w14:textId="77777777" w:rsidR="006734AE" w:rsidRPr="006122EE" w:rsidRDefault="006734AE" w:rsidP="009E55B0">
            <w:pPr>
              <w:spacing w:before="0" w:after="0"/>
              <w:jc w:val="center"/>
              <w:rPr>
                <w:lang w:eastAsia="en-US"/>
              </w:rPr>
            </w:pPr>
          </w:p>
        </w:tc>
      </w:tr>
      <w:tr w:rsidR="006734AE" w:rsidRPr="006122EE" w14:paraId="706273AD" w14:textId="77777777" w:rsidTr="00726AF3">
        <w:tc>
          <w:tcPr>
            <w:tcW w:w="9581" w:type="dxa"/>
          </w:tcPr>
          <w:p w14:paraId="4D168B08" w14:textId="77777777" w:rsidR="006734AE" w:rsidRPr="006122EE" w:rsidRDefault="006734AE" w:rsidP="009E55B0">
            <w:pPr>
              <w:spacing w:before="0" w:after="0"/>
              <w:ind w:left="227" w:right="113"/>
              <w:rPr>
                <w:lang w:eastAsia="en-US"/>
              </w:rPr>
            </w:pPr>
            <w:r w:rsidRPr="006122EE">
              <w:rPr>
                <w:lang w:eastAsia="en-US"/>
              </w:rPr>
              <w:t>Malawi Energy Regulatory Authority (MERA)</w:t>
            </w:r>
          </w:p>
        </w:tc>
        <w:tc>
          <w:tcPr>
            <w:tcW w:w="1134" w:type="dxa"/>
            <w:vAlign w:val="center"/>
          </w:tcPr>
          <w:p w14:paraId="74E08B5E"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654F90B4"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386F3776"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1DAF7D31"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31F5AB8B" w14:textId="77777777" w:rsidTr="00726AF3">
        <w:tc>
          <w:tcPr>
            <w:tcW w:w="9581" w:type="dxa"/>
          </w:tcPr>
          <w:p w14:paraId="0BFC9A81" w14:textId="77777777" w:rsidR="006734AE" w:rsidRPr="006122EE" w:rsidRDefault="006734AE" w:rsidP="009E55B0">
            <w:pPr>
              <w:spacing w:before="0" w:after="0"/>
              <w:ind w:left="227" w:right="113"/>
              <w:rPr>
                <w:lang w:eastAsia="en-US"/>
              </w:rPr>
            </w:pPr>
            <w:r w:rsidRPr="006122EE">
              <w:rPr>
                <w:lang w:eastAsia="en-US"/>
              </w:rPr>
              <w:t>Malawi Investment and Trade Center (MITC)</w:t>
            </w:r>
          </w:p>
        </w:tc>
        <w:tc>
          <w:tcPr>
            <w:tcW w:w="1134" w:type="dxa"/>
            <w:vAlign w:val="center"/>
          </w:tcPr>
          <w:p w14:paraId="74BFF4A4"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0319371C"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7963E6A4" w14:textId="77777777" w:rsidR="006734AE" w:rsidRPr="006122EE" w:rsidRDefault="006734AE" w:rsidP="009E55B0">
            <w:pPr>
              <w:spacing w:before="0" w:after="0"/>
              <w:jc w:val="center"/>
              <w:rPr>
                <w:lang w:eastAsia="en-US"/>
              </w:rPr>
            </w:pPr>
            <w:r w:rsidRPr="006122EE">
              <w:rPr>
                <w:lang w:eastAsia="en-US"/>
              </w:rPr>
              <w:t>X</w:t>
            </w:r>
          </w:p>
        </w:tc>
        <w:tc>
          <w:tcPr>
            <w:tcW w:w="1134" w:type="dxa"/>
            <w:vAlign w:val="center"/>
          </w:tcPr>
          <w:p w14:paraId="089407A3" w14:textId="77777777" w:rsidR="006734AE" w:rsidRPr="006122EE" w:rsidRDefault="006734AE" w:rsidP="009E55B0">
            <w:pPr>
              <w:spacing w:before="0" w:after="0"/>
              <w:jc w:val="center"/>
              <w:rPr>
                <w:lang w:eastAsia="en-US"/>
              </w:rPr>
            </w:pPr>
            <w:r w:rsidRPr="006122EE">
              <w:rPr>
                <w:lang w:eastAsia="en-US"/>
              </w:rPr>
              <w:t>X</w:t>
            </w:r>
          </w:p>
        </w:tc>
      </w:tr>
      <w:tr w:rsidR="006734AE" w:rsidRPr="006122EE" w14:paraId="711C1C38" w14:textId="77777777" w:rsidTr="00726AF3">
        <w:tc>
          <w:tcPr>
            <w:tcW w:w="9581" w:type="dxa"/>
          </w:tcPr>
          <w:p w14:paraId="38C2B73B" w14:textId="77777777" w:rsidR="006734AE" w:rsidRPr="006122EE" w:rsidRDefault="006734AE" w:rsidP="009E55B0">
            <w:pPr>
              <w:spacing w:before="0" w:after="0"/>
              <w:ind w:left="227" w:right="113"/>
              <w:rPr>
                <w:lang w:eastAsia="en-US"/>
              </w:rPr>
            </w:pPr>
            <w:r w:rsidRPr="006122EE">
              <w:rPr>
                <w:lang w:eastAsia="en-US"/>
              </w:rPr>
              <w:t>National Oil Company of Malawi (NOCMA)</w:t>
            </w:r>
          </w:p>
        </w:tc>
        <w:tc>
          <w:tcPr>
            <w:tcW w:w="1134" w:type="dxa"/>
            <w:vAlign w:val="center"/>
          </w:tcPr>
          <w:p w14:paraId="20FC3411" w14:textId="77777777" w:rsidR="006734AE" w:rsidRPr="006122EE" w:rsidRDefault="006734AE" w:rsidP="009E55B0">
            <w:pPr>
              <w:spacing w:before="0" w:after="0"/>
              <w:jc w:val="center"/>
              <w:rPr>
                <w:lang w:eastAsia="en-US"/>
              </w:rPr>
            </w:pPr>
          </w:p>
        </w:tc>
        <w:tc>
          <w:tcPr>
            <w:tcW w:w="1134" w:type="dxa"/>
            <w:vAlign w:val="center"/>
          </w:tcPr>
          <w:p w14:paraId="06663DA8" w14:textId="77777777" w:rsidR="006734AE" w:rsidRPr="006122EE" w:rsidRDefault="006734AE" w:rsidP="009E55B0">
            <w:pPr>
              <w:spacing w:before="0" w:after="0"/>
              <w:jc w:val="center"/>
              <w:rPr>
                <w:lang w:eastAsia="en-US"/>
              </w:rPr>
            </w:pPr>
          </w:p>
        </w:tc>
        <w:tc>
          <w:tcPr>
            <w:tcW w:w="1134" w:type="dxa"/>
            <w:vAlign w:val="center"/>
          </w:tcPr>
          <w:p w14:paraId="1B580277" w14:textId="77777777" w:rsidR="006734AE" w:rsidRPr="006122EE" w:rsidRDefault="006734AE" w:rsidP="009E55B0">
            <w:pPr>
              <w:spacing w:before="0" w:after="0"/>
              <w:jc w:val="center"/>
              <w:rPr>
                <w:lang w:eastAsia="en-US"/>
              </w:rPr>
            </w:pPr>
          </w:p>
        </w:tc>
        <w:tc>
          <w:tcPr>
            <w:tcW w:w="1134" w:type="dxa"/>
            <w:vAlign w:val="center"/>
          </w:tcPr>
          <w:p w14:paraId="1A635E0F" w14:textId="77777777" w:rsidR="006734AE" w:rsidRPr="006122EE" w:rsidRDefault="006734AE" w:rsidP="009E55B0">
            <w:pPr>
              <w:spacing w:before="0" w:after="0"/>
              <w:jc w:val="center"/>
              <w:rPr>
                <w:lang w:eastAsia="en-US"/>
              </w:rPr>
            </w:pPr>
            <w:r w:rsidRPr="006122EE">
              <w:rPr>
                <w:lang w:eastAsia="en-US"/>
              </w:rPr>
              <w:t>X</w:t>
            </w:r>
          </w:p>
        </w:tc>
      </w:tr>
    </w:tbl>
    <w:p w14:paraId="5E738814" w14:textId="77777777" w:rsidR="006734AE" w:rsidRPr="00866D96" w:rsidRDefault="006734AE" w:rsidP="006734AE">
      <w:pPr>
        <w:pStyle w:val="BSubheading-Blue"/>
        <w:rPr>
          <w:noProof w:val="0"/>
          <w:lang w:val="en-GB"/>
        </w:rPr>
      </w:pPr>
      <w:bookmarkStart w:id="630" w:name="_Toc481614964"/>
      <w:r w:rsidRPr="006122EE">
        <w:rPr>
          <w:noProof w:val="0"/>
          <w:lang w:val="en-GB"/>
        </w:rPr>
        <w:t>Bibliography</w:t>
      </w:r>
      <w:bookmarkEnd w:id="630"/>
    </w:p>
    <w:p w14:paraId="11384B4C" w14:textId="77777777" w:rsidR="00D436D9" w:rsidRDefault="00D436D9" w:rsidP="00D436D9">
      <w:pPr>
        <w:spacing w:after="0" w:line="240" w:lineRule="auto"/>
        <w:rPr>
          <w:rFonts w:eastAsia="Times New Roman" w:cs="Arial"/>
          <w:szCs w:val="20"/>
        </w:rPr>
      </w:pPr>
    </w:p>
    <w:p w14:paraId="37AD68E5" w14:textId="77777777" w:rsidR="00D436D9" w:rsidRPr="006122EE" w:rsidRDefault="00D436D9" w:rsidP="00D436D9">
      <w:pPr>
        <w:spacing w:after="0" w:line="240" w:lineRule="auto"/>
        <w:rPr>
          <w:rFonts w:eastAsia="Times New Roman" w:cs="Arial"/>
          <w:szCs w:val="20"/>
        </w:rPr>
      </w:pPr>
      <w:r w:rsidRPr="006122EE">
        <w:rPr>
          <w:rFonts w:eastAsia="Times New Roman" w:cs="Arial"/>
          <w:szCs w:val="20"/>
        </w:rPr>
        <w:t>Access to Sustainable Energy – The Gender Dimensions policy brief, Mary Robinson Foundation Climate Justice, Government of Malawi (2009)</w:t>
      </w:r>
    </w:p>
    <w:p w14:paraId="129DDB35" w14:textId="77777777" w:rsidR="00D436D9" w:rsidRDefault="00D436D9" w:rsidP="00866D96">
      <w:pPr>
        <w:spacing w:after="0" w:line="240" w:lineRule="auto"/>
        <w:jc w:val="left"/>
        <w:rPr>
          <w:rStyle w:val="Hyperlink"/>
          <w:rFonts w:eastAsia="Times New Roman" w:cs="Arial"/>
          <w:szCs w:val="20"/>
        </w:rPr>
      </w:pPr>
      <w:r w:rsidRPr="006122EE">
        <w:rPr>
          <w:rFonts w:eastAsia="Times New Roman" w:cs="Arial"/>
          <w:szCs w:val="20"/>
        </w:rPr>
        <w:t xml:space="preserve">Agency Africa Energy Outlook, International Energy (2014), : </w:t>
      </w:r>
      <w:hyperlink r:id="rId60" w:history="1">
        <w:r w:rsidRPr="006122EE">
          <w:rPr>
            <w:rStyle w:val="Hyperlink"/>
            <w:rFonts w:eastAsia="Times New Roman" w:cs="Arial"/>
            <w:szCs w:val="20"/>
          </w:rPr>
          <w:t>http://www.worldenergyoutlook.org/africa/</w:t>
        </w:r>
      </w:hyperlink>
    </w:p>
    <w:p w14:paraId="4CEF34B4"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Annual Economic Report 2014, Ministry of Finance, Economic Planning and Development , Government of Malawi (2014)</w:t>
      </w:r>
    </w:p>
    <w:p w14:paraId="0FC5BCED" w14:textId="77777777" w:rsidR="00967F23" w:rsidRDefault="00967F23" w:rsidP="00967F23">
      <w:pPr>
        <w:spacing w:after="0" w:line="240" w:lineRule="auto"/>
        <w:rPr>
          <w:rFonts w:eastAsia="Times New Roman" w:cs="Arial"/>
          <w:szCs w:val="20"/>
        </w:rPr>
      </w:pPr>
      <w:r w:rsidRPr="006122EE">
        <w:rPr>
          <w:rFonts w:eastAsia="Times New Roman" w:cs="Arial"/>
          <w:szCs w:val="20"/>
        </w:rPr>
        <w:t>Annual Ec</w:t>
      </w:r>
      <w:r>
        <w:rPr>
          <w:rFonts w:eastAsia="Times New Roman" w:cs="Arial"/>
          <w:szCs w:val="20"/>
        </w:rPr>
        <w:t>onomic Report 2015</w:t>
      </w:r>
      <w:r w:rsidRPr="006122EE">
        <w:rPr>
          <w:rFonts w:eastAsia="Times New Roman" w:cs="Arial"/>
          <w:szCs w:val="20"/>
        </w:rPr>
        <w:t xml:space="preserve">, Ministry of Finance, Economic Planning and Development , </w:t>
      </w:r>
      <w:r>
        <w:rPr>
          <w:rFonts w:eastAsia="Times New Roman" w:cs="Arial"/>
          <w:szCs w:val="20"/>
        </w:rPr>
        <w:t>Government of Malawi (2015)</w:t>
      </w:r>
    </w:p>
    <w:p w14:paraId="2FED9A47" w14:textId="77777777" w:rsidR="00967F23" w:rsidRPr="006122EE" w:rsidRDefault="00967F23" w:rsidP="00967F23">
      <w:pPr>
        <w:rPr>
          <w:rFonts w:cs="Arial"/>
          <w:szCs w:val="20"/>
        </w:rPr>
      </w:pPr>
      <w:r w:rsidRPr="006122EE">
        <w:rPr>
          <w:rFonts w:cs="Arial"/>
          <w:szCs w:val="20"/>
        </w:rPr>
        <w:t>Baseline survey of Uganda’s national average automotive fuel economy</w:t>
      </w:r>
      <w:r>
        <w:rPr>
          <w:rFonts w:cs="Arial"/>
          <w:szCs w:val="20"/>
        </w:rPr>
        <w:t>, Mutenyo et al (2015)</w:t>
      </w:r>
    </w:p>
    <w:p w14:paraId="494468E3"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Current Activities and Challenges to Scaling up Mini-Grids in Kenya. Energy Sector Management Assistance Program (ESMAP). World Bank, Washington, DC, World Bank (2016)</w:t>
      </w:r>
    </w:p>
    <w:p w14:paraId="6078B729"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 xml:space="preserve">Electricity Grid Access in Southern Africa: Country-Specific Information on Regulators and Regulations Pertaining to Independent Power Producers, Promethium Carbon and British High Commission (2016), </w:t>
      </w:r>
    </w:p>
    <w:p w14:paraId="121792EA" w14:textId="77777777" w:rsidR="00967F23" w:rsidRDefault="00967F23" w:rsidP="00967F23">
      <w:pPr>
        <w:rPr>
          <w:rFonts w:cs="Arial"/>
          <w:szCs w:val="20"/>
        </w:rPr>
      </w:pPr>
      <w:r w:rsidRPr="006122EE">
        <w:rPr>
          <w:rFonts w:cs="Arial"/>
          <w:szCs w:val="20"/>
        </w:rPr>
        <w:t xml:space="preserve">Energy Status Report PWC (2016) </w:t>
      </w:r>
    </w:p>
    <w:p w14:paraId="2D6BC784" w14:textId="77777777" w:rsidR="00967F23" w:rsidRPr="006122EE" w:rsidRDefault="00967F23" w:rsidP="00967F23">
      <w:pPr>
        <w:rPr>
          <w:rFonts w:cs="Arial"/>
          <w:szCs w:val="20"/>
        </w:rPr>
      </w:pPr>
      <w:r w:rsidRPr="006122EE">
        <w:rPr>
          <w:rFonts w:cs="Arial"/>
          <w:szCs w:val="20"/>
        </w:rPr>
        <w:t>Energy supply in Malawi: Options and issues, Journal of Energy in Southern Africa, Vol 26 No 2, May 2015, Taulo J., Gondwe K., Sebitosi A. (2015)</w:t>
      </w:r>
    </w:p>
    <w:p w14:paraId="1AD1E8C0"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 xml:space="preserve">ESCOM Integrated Strategic Plan 2013 – 2017, ESCOM (2013) </w:t>
      </w:r>
    </w:p>
    <w:p w14:paraId="01DAC068" w14:textId="77777777" w:rsidR="00967F23" w:rsidRDefault="00967F23" w:rsidP="00967F23">
      <w:pPr>
        <w:rPr>
          <w:rFonts w:cs="Arial"/>
          <w:szCs w:val="20"/>
        </w:rPr>
      </w:pPr>
      <w:r w:rsidRPr="006122EE">
        <w:rPr>
          <w:rFonts w:cs="Arial"/>
          <w:szCs w:val="20"/>
        </w:rPr>
        <w:t>Gender and equity issues in liquid biofuels production minimizing the risks to maximize the opportunities, FAO (2008)</w:t>
      </w:r>
    </w:p>
    <w:p w14:paraId="4014012A" w14:textId="77777777" w:rsidR="00C74448" w:rsidRPr="006122EE" w:rsidRDefault="00C74448" w:rsidP="00967F23">
      <w:pPr>
        <w:rPr>
          <w:rFonts w:cs="Arial"/>
          <w:szCs w:val="20"/>
        </w:rPr>
      </w:pPr>
      <w:r>
        <w:rPr>
          <w:rFonts w:cs="Arial"/>
          <w:szCs w:val="20"/>
        </w:rPr>
        <w:t>Global Tracking Framework, World Bank (2013)</w:t>
      </w:r>
    </w:p>
    <w:p w14:paraId="5A7D889E" w14:textId="77777777" w:rsidR="00967F23" w:rsidRPr="006122EE" w:rsidRDefault="00967F23" w:rsidP="00967F23">
      <w:pPr>
        <w:rPr>
          <w:rFonts w:cs="Arial"/>
          <w:szCs w:val="20"/>
        </w:rPr>
      </w:pPr>
      <w:r w:rsidRPr="006122EE">
        <w:rPr>
          <w:rFonts w:cs="Arial"/>
          <w:szCs w:val="20"/>
        </w:rPr>
        <w:t>Growing Sustainable Business for Poverty Reduction Program in Malawi: Feasibility Study for the use of ethanol as a household cooking fuel in Malawi, The United Nation Development Program UNDP/Malawi (2007)</w:t>
      </w:r>
    </w:p>
    <w:p w14:paraId="1CEEF682" w14:textId="77777777" w:rsidR="00967F23" w:rsidRPr="006122EE" w:rsidRDefault="00967F23" w:rsidP="00967F23">
      <w:pPr>
        <w:rPr>
          <w:rFonts w:cs="Arial"/>
          <w:szCs w:val="20"/>
        </w:rPr>
      </w:pPr>
      <w:r w:rsidRPr="006122EE">
        <w:rPr>
          <w:rFonts w:cs="Arial"/>
          <w:szCs w:val="20"/>
        </w:rPr>
        <w:t>Integrated Strategic Plan, Electricity Supply Corporation of Malawi Limited (ESCOM), July 2013 – June 2017, ESCOM (2013)</w:t>
      </w:r>
    </w:p>
    <w:p w14:paraId="16739C4A" w14:textId="77777777" w:rsidR="00967F23" w:rsidRDefault="00967F23" w:rsidP="00967F23">
      <w:pPr>
        <w:rPr>
          <w:rStyle w:val="Hyperlink"/>
          <w:rFonts w:cs="Arial"/>
          <w:color w:val="auto"/>
          <w:szCs w:val="20"/>
          <w:u w:val="none"/>
        </w:rPr>
      </w:pPr>
      <w:r w:rsidRPr="00967F23">
        <w:rPr>
          <w:rStyle w:val="Hyperlink"/>
          <w:rFonts w:cs="Arial"/>
          <w:color w:val="auto"/>
          <w:szCs w:val="20"/>
          <w:u w:val="none"/>
        </w:rPr>
        <w:t>IPP Framework Advisor: 3</w:t>
      </w:r>
      <w:r w:rsidRPr="00967F23">
        <w:rPr>
          <w:rStyle w:val="Hyperlink"/>
          <w:rFonts w:cs="Arial"/>
          <w:color w:val="auto"/>
          <w:szCs w:val="20"/>
          <w:u w:val="none"/>
          <w:vertAlign w:val="superscript"/>
        </w:rPr>
        <w:t>rd</w:t>
      </w:r>
      <w:r w:rsidRPr="00967F23">
        <w:rPr>
          <w:rStyle w:val="Hyperlink"/>
          <w:rFonts w:cs="Arial"/>
          <w:color w:val="auto"/>
          <w:szCs w:val="20"/>
          <w:u w:val="none"/>
        </w:rPr>
        <w:t xml:space="preserve"> Draft IPP Framework, SIAL (March 2016)</w:t>
      </w:r>
    </w:p>
    <w:p w14:paraId="6C3F8C29"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 xml:space="preserve">Malawi Biomass Energy Strategy, Government of Malawi (2009) </w:t>
      </w:r>
    </w:p>
    <w:p w14:paraId="5CF0F375"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Malawi: Development of a Large-Scale Energy Efficient Lighting Program – Final Report, TI-UP Resource Centre (2010)</w:t>
      </w:r>
    </w:p>
    <w:p w14:paraId="22B8C55E" w14:textId="77777777" w:rsidR="00967F23" w:rsidRPr="006122EE" w:rsidRDefault="00967F23" w:rsidP="00967F23">
      <w:pPr>
        <w:rPr>
          <w:rFonts w:cs="Arial"/>
          <w:szCs w:val="20"/>
        </w:rPr>
      </w:pPr>
      <w:r w:rsidRPr="006122EE">
        <w:rPr>
          <w:rFonts w:cs="Arial"/>
          <w:szCs w:val="20"/>
        </w:rPr>
        <w:t>Malawi Grid Capacity Study, Mott McDonald, (July 2016)</w:t>
      </w:r>
    </w:p>
    <w:p w14:paraId="25787646"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Malawi Growth and Development Strategy II 2011 – 2016, Ministry of Finance, Economic</w:t>
      </w:r>
      <w:r>
        <w:rPr>
          <w:rFonts w:eastAsia="Times New Roman" w:cs="Arial"/>
          <w:szCs w:val="20"/>
        </w:rPr>
        <w:t xml:space="preserve"> Planning and Development</w:t>
      </w:r>
      <w:r w:rsidRPr="006122EE">
        <w:rPr>
          <w:rFonts w:eastAsia="Times New Roman" w:cs="Arial"/>
          <w:szCs w:val="20"/>
        </w:rPr>
        <w:t xml:space="preserve">, Department of Development Planning (2010) </w:t>
      </w:r>
    </w:p>
    <w:p w14:paraId="195E2E14"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 xml:space="preserve">Malawi Intended Nationally Determined Contribution to UNFCCC, </w:t>
      </w:r>
      <w:r>
        <w:rPr>
          <w:rFonts w:eastAsia="Times New Roman" w:cs="Arial"/>
          <w:szCs w:val="20"/>
        </w:rPr>
        <w:t>Republic of Malawi (2015)</w:t>
      </w:r>
    </w:p>
    <w:p w14:paraId="4D1A7627" w14:textId="77777777" w:rsidR="00967F23" w:rsidRPr="006122EE" w:rsidRDefault="00967F23" w:rsidP="00967F23">
      <w:pPr>
        <w:spacing w:after="0" w:line="240" w:lineRule="auto"/>
        <w:rPr>
          <w:rFonts w:eastAsia="Times New Roman" w:cs="Arial"/>
          <w:szCs w:val="20"/>
        </w:rPr>
      </w:pPr>
      <w:r>
        <w:rPr>
          <w:rFonts w:eastAsia="Times New Roman" w:cs="Arial"/>
          <w:szCs w:val="20"/>
        </w:rPr>
        <w:t>Malawi</w:t>
      </w:r>
      <w:r w:rsidRPr="006122EE">
        <w:rPr>
          <w:rFonts w:eastAsia="Times New Roman" w:cs="Arial"/>
          <w:szCs w:val="20"/>
        </w:rPr>
        <w:t xml:space="preserve"> Mini Integrated Resource Plan 2016 – 2020, Ministry of Natural Resources, Energy and Mining (2015) </w:t>
      </w:r>
    </w:p>
    <w:p w14:paraId="0B339B8D" w14:textId="77777777" w:rsidR="00967F23" w:rsidRDefault="00967F23" w:rsidP="00967F23">
      <w:pPr>
        <w:spacing w:after="0" w:line="240" w:lineRule="auto"/>
        <w:rPr>
          <w:rFonts w:eastAsia="Times New Roman" w:cs="Arial"/>
          <w:szCs w:val="20"/>
        </w:rPr>
      </w:pPr>
      <w:r w:rsidRPr="006122EE">
        <w:rPr>
          <w:rFonts w:eastAsia="Times New Roman" w:cs="Arial"/>
          <w:szCs w:val="20"/>
        </w:rPr>
        <w:t>Malawi National Climate Change Investment Plan 2013 – 2018, Ministry of Environment and Climate Change Management (2012)</w:t>
      </w:r>
      <w:r>
        <w:rPr>
          <w:rFonts w:eastAsia="Times New Roman" w:cs="Arial"/>
          <w:szCs w:val="20"/>
        </w:rPr>
        <w:t xml:space="preserve"> </w:t>
      </w:r>
    </w:p>
    <w:p w14:paraId="55E31A7B" w14:textId="77777777" w:rsidR="00967F23" w:rsidRPr="006122EE" w:rsidRDefault="00967F23" w:rsidP="00967F23">
      <w:pPr>
        <w:rPr>
          <w:rFonts w:cs="Arial"/>
          <w:szCs w:val="20"/>
        </w:rPr>
      </w:pPr>
      <w:r w:rsidRPr="006122EE">
        <w:rPr>
          <w:rFonts w:cs="Arial"/>
          <w:szCs w:val="20"/>
        </w:rPr>
        <w:t>Malawi Renewable Energy Strategy, Government of Malawi, Februrary 2017 (draft)</w:t>
      </w:r>
    </w:p>
    <w:p w14:paraId="047BCB9C" w14:textId="77777777" w:rsidR="00327938" w:rsidRPr="006122EE" w:rsidRDefault="00327938" w:rsidP="00866D96">
      <w:pPr>
        <w:spacing w:after="0" w:line="240" w:lineRule="auto"/>
        <w:jc w:val="left"/>
        <w:rPr>
          <w:rFonts w:eastAsia="Times New Roman" w:cs="Arial"/>
          <w:szCs w:val="20"/>
        </w:rPr>
      </w:pPr>
      <w:r w:rsidRPr="006122EE">
        <w:rPr>
          <w:rFonts w:eastAsia="Times New Roman" w:cs="Arial"/>
          <w:szCs w:val="20"/>
        </w:rPr>
        <w:t>National Energy Policy</w:t>
      </w:r>
      <w:r w:rsidR="00967F23">
        <w:rPr>
          <w:rFonts w:eastAsia="Times New Roman" w:cs="Arial"/>
          <w:szCs w:val="20"/>
        </w:rPr>
        <w:t xml:space="preserve"> (Draft)</w:t>
      </w:r>
      <w:r w:rsidRPr="006122EE">
        <w:rPr>
          <w:rFonts w:eastAsia="Times New Roman" w:cs="Arial"/>
          <w:szCs w:val="20"/>
        </w:rPr>
        <w:t>, Malawi Government, Ministry of Natural Resources, Energy and Mining, Department of Energy Affairs (November 2016)</w:t>
      </w:r>
    </w:p>
    <w:p w14:paraId="1C3EDADE" w14:textId="77777777" w:rsidR="00967F23" w:rsidRPr="006122EE" w:rsidRDefault="00967F23" w:rsidP="00967F23">
      <w:pPr>
        <w:rPr>
          <w:rFonts w:cs="Arial"/>
          <w:szCs w:val="20"/>
        </w:rPr>
      </w:pPr>
      <w:r w:rsidRPr="006122EE">
        <w:rPr>
          <w:rFonts w:cs="Arial"/>
          <w:szCs w:val="20"/>
        </w:rPr>
        <w:t>Solar Resource Mapping in Malawi: Solar Modelling Report, Energy Sector Management Assistance Program, World Bank (2015)</w:t>
      </w:r>
    </w:p>
    <w:p w14:paraId="325F3D28" w14:textId="77777777" w:rsidR="00C217F0" w:rsidRPr="006122EE" w:rsidRDefault="00C217F0" w:rsidP="00CF296B">
      <w:pPr>
        <w:spacing w:after="0" w:line="240" w:lineRule="auto"/>
        <w:rPr>
          <w:rFonts w:eastAsia="Times New Roman" w:cs="Arial"/>
          <w:szCs w:val="20"/>
        </w:rPr>
      </w:pPr>
      <w:r w:rsidRPr="006122EE">
        <w:rPr>
          <w:rFonts w:eastAsia="Times New Roman" w:cs="Arial"/>
          <w:szCs w:val="20"/>
        </w:rPr>
        <w:t>Status and methodological issues. International Renewable Energy Agency (IRENA) Innovation and Technology Centre, Bonn, Germany</w:t>
      </w:r>
      <w:r w:rsidR="00610F63" w:rsidRPr="006122EE">
        <w:rPr>
          <w:rFonts w:eastAsia="Times New Roman" w:cs="Arial"/>
          <w:szCs w:val="20"/>
        </w:rPr>
        <w:t>, IRENA Off-grid Renewable Energy Systems (2015)</w:t>
      </w:r>
    </w:p>
    <w:p w14:paraId="0AB9FE74" w14:textId="77777777" w:rsidR="00967F23" w:rsidRPr="006122EE" w:rsidRDefault="00967F23" w:rsidP="00967F23">
      <w:pPr>
        <w:spacing w:after="0" w:line="240" w:lineRule="auto"/>
        <w:jc w:val="left"/>
        <w:rPr>
          <w:rFonts w:eastAsia="Times New Roman" w:cs="Arial"/>
          <w:szCs w:val="20"/>
        </w:rPr>
      </w:pPr>
      <w:r w:rsidRPr="006122EE">
        <w:rPr>
          <w:rFonts w:eastAsia="Times New Roman" w:cs="Arial"/>
          <w:szCs w:val="20"/>
        </w:rPr>
        <w:t xml:space="preserve">Sustainable Energy for All 2015—Progress Toward Sustainable Energy 2015, EA and World Bank (2015), </w:t>
      </w:r>
      <w:hyperlink r:id="rId61" w:history="1">
        <w:r w:rsidRPr="006122EE">
          <w:rPr>
            <w:rStyle w:val="Hyperlink"/>
            <w:rFonts w:eastAsia="Times New Roman" w:cs="Arial"/>
            <w:szCs w:val="20"/>
          </w:rPr>
          <w:t>http://www.</w:t>
        </w:r>
        <w:r w:rsidRPr="006122EE">
          <w:rPr>
            <w:rFonts w:cs="Arial"/>
            <w:szCs w:val="20"/>
            <w:lang w:eastAsia="en-US"/>
          </w:rPr>
          <w:t xml:space="preserve"> SE4ALL</w:t>
        </w:r>
        <w:r w:rsidRPr="006122EE" w:rsidDel="00FE7056">
          <w:rPr>
            <w:rStyle w:val="Hyperlink"/>
            <w:rFonts w:eastAsia="Times New Roman" w:cs="Arial"/>
            <w:szCs w:val="20"/>
          </w:rPr>
          <w:t xml:space="preserve"> </w:t>
        </w:r>
        <w:r w:rsidRPr="006122EE">
          <w:rPr>
            <w:rStyle w:val="Hyperlink"/>
            <w:rFonts w:eastAsia="Times New Roman" w:cs="Arial"/>
            <w:szCs w:val="20"/>
          </w:rPr>
          <w:t>l.org/sites/default/files/l/2013/09/GTF-2105-Full-Report.pdf</w:t>
        </w:r>
      </w:hyperlink>
      <w:r w:rsidRPr="006122EE">
        <w:rPr>
          <w:rFonts w:eastAsia="Times New Roman" w:cs="Arial"/>
          <w:szCs w:val="20"/>
        </w:rPr>
        <w:t xml:space="preserve">  </w:t>
      </w:r>
    </w:p>
    <w:p w14:paraId="1C63503B" w14:textId="77777777" w:rsidR="004C163D" w:rsidRPr="006122EE" w:rsidRDefault="004C163D" w:rsidP="004C163D">
      <w:pPr>
        <w:rPr>
          <w:rFonts w:cs="Arial"/>
          <w:szCs w:val="20"/>
        </w:rPr>
      </w:pPr>
      <w:r w:rsidRPr="006122EE">
        <w:rPr>
          <w:rFonts w:cs="Arial"/>
          <w:szCs w:val="20"/>
        </w:rPr>
        <w:t>Sustainable Off -grid Electrification for Rural Villages, SOGERV Policy Briefing</w:t>
      </w:r>
      <w:r w:rsidR="00610F63" w:rsidRPr="006122EE">
        <w:rPr>
          <w:rFonts w:cs="Arial"/>
          <w:szCs w:val="20"/>
        </w:rPr>
        <w:t>, University of Strathclyde (2016)</w:t>
      </w:r>
    </w:p>
    <w:p w14:paraId="2909A1BB" w14:textId="77777777" w:rsidR="00967F23" w:rsidRPr="006122EE" w:rsidRDefault="00967F23" w:rsidP="00967F23">
      <w:pPr>
        <w:rPr>
          <w:rFonts w:cs="Arial"/>
          <w:szCs w:val="20"/>
        </w:rPr>
      </w:pPr>
      <w:r w:rsidRPr="006122EE">
        <w:rPr>
          <w:rFonts w:cs="Arial"/>
          <w:szCs w:val="20"/>
        </w:rPr>
        <w:t xml:space="preserve">Urban Structure Plan of Lilongwe City,  Lilongwe City Council (2013) </w:t>
      </w:r>
    </w:p>
    <w:p w14:paraId="718E428C" w14:textId="77777777" w:rsidR="00967F23" w:rsidRPr="006122EE" w:rsidRDefault="00967F23" w:rsidP="00967F23">
      <w:pPr>
        <w:spacing w:after="0" w:line="240" w:lineRule="auto"/>
        <w:rPr>
          <w:rFonts w:eastAsia="Times New Roman" w:cs="Arial"/>
          <w:szCs w:val="20"/>
        </w:rPr>
      </w:pPr>
      <w:r w:rsidRPr="006122EE">
        <w:rPr>
          <w:rFonts w:eastAsia="Times New Roman" w:cs="Arial"/>
          <w:szCs w:val="20"/>
        </w:rPr>
        <w:t xml:space="preserve">What size shall it be? A guide to mini-grid sizing and demand forecasting, GIZ Promotion of Solar-Hybrid Mini-Grids, The German Climate Technology Initiative (2016) </w:t>
      </w:r>
    </w:p>
    <w:p w14:paraId="799BD6DD" w14:textId="77777777" w:rsidR="00700ECA" w:rsidRPr="00866D96" w:rsidRDefault="004C163D" w:rsidP="004F328A">
      <w:pPr>
        <w:rPr>
          <w:rStyle w:val="Hyperlink"/>
          <w:rFonts w:cs="Arial"/>
          <w:szCs w:val="20"/>
        </w:rPr>
      </w:pPr>
      <w:r w:rsidRPr="006122EE">
        <w:rPr>
          <w:rFonts w:cs="Arial"/>
          <w:szCs w:val="20"/>
        </w:rPr>
        <w:t xml:space="preserve">World Small Hydropower Development Report, Eastern Africa, UNIDO and International Center on Small Hydro Power, </w:t>
      </w:r>
      <w:r w:rsidR="00947D2A" w:rsidRPr="006122EE">
        <w:rPr>
          <w:rFonts w:cs="Arial"/>
          <w:szCs w:val="20"/>
        </w:rPr>
        <w:t>(2013)</w:t>
      </w:r>
      <w:r w:rsidRPr="006122EE">
        <w:rPr>
          <w:rFonts w:cs="Arial"/>
          <w:szCs w:val="20"/>
        </w:rPr>
        <w:t xml:space="preserve">: </w:t>
      </w:r>
      <w:hyperlink r:id="rId62" w:history="1">
        <w:r w:rsidRPr="006122EE">
          <w:rPr>
            <w:rStyle w:val="Hyperlink"/>
            <w:rFonts w:cs="Arial"/>
            <w:szCs w:val="20"/>
          </w:rPr>
          <w:t>www.smallhydroworld.org</w:t>
        </w:r>
      </w:hyperlink>
    </w:p>
    <w:p w14:paraId="6A8ECC9A" w14:textId="77777777" w:rsidR="00700ECA" w:rsidRPr="006122EE" w:rsidRDefault="00700ECA" w:rsidP="004F328A">
      <w:pPr>
        <w:rPr>
          <w:lang w:eastAsia="en-US"/>
        </w:rPr>
      </w:pPr>
    </w:p>
    <w:p w14:paraId="034C1494" w14:textId="77777777" w:rsidR="00700ECA" w:rsidRPr="006122EE" w:rsidRDefault="00700ECA" w:rsidP="004F328A">
      <w:pPr>
        <w:rPr>
          <w:lang w:eastAsia="en-US"/>
        </w:rPr>
      </w:pPr>
    </w:p>
    <w:p w14:paraId="18BE2312" w14:textId="77777777" w:rsidR="00700ECA" w:rsidRPr="006122EE" w:rsidRDefault="00700ECA" w:rsidP="004F328A">
      <w:pPr>
        <w:rPr>
          <w:lang w:eastAsia="en-US"/>
        </w:rPr>
      </w:pPr>
    </w:p>
    <w:p w14:paraId="515430F3" w14:textId="77777777" w:rsidR="00700ECA" w:rsidRPr="006122EE" w:rsidRDefault="00700ECA" w:rsidP="004F328A">
      <w:pPr>
        <w:rPr>
          <w:lang w:eastAsia="en-US"/>
        </w:rPr>
      </w:pPr>
    </w:p>
    <w:p w14:paraId="25E6A8BB" w14:textId="77777777" w:rsidR="00700ECA" w:rsidRPr="006122EE" w:rsidRDefault="00700ECA" w:rsidP="004F328A">
      <w:pPr>
        <w:rPr>
          <w:lang w:eastAsia="en-US"/>
        </w:rPr>
      </w:pPr>
    </w:p>
    <w:p w14:paraId="1CE3C83B" w14:textId="77777777" w:rsidR="00700ECA" w:rsidRPr="006122EE" w:rsidRDefault="00700ECA" w:rsidP="004F328A">
      <w:pPr>
        <w:rPr>
          <w:lang w:eastAsia="en-US"/>
        </w:rPr>
        <w:sectPr w:rsidR="00700ECA" w:rsidRPr="006122EE" w:rsidSect="000B6EA9">
          <w:footerReference w:type="even" r:id="rId63"/>
          <w:footerReference w:type="default" r:id="rId64"/>
          <w:pgSz w:w="16838" w:h="11899" w:orient="landscape" w:code="9"/>
          <w:pgMar w:top="1134" w:right="851" w:bottom="1134" w:left="851" w:header="709" w:footer="709" w:gutter="227"/>
          <w:cols w:space="708"/>
          <w:docGrid w:linePitch="272"/>
        </w:sectPr>
      </w:pPr>
    </w:p>
    <w:p w14:paraId="69853F0C" w14:textId="0905D924" w:rsidR="00DF6714" w:rsidRPr="006122EE" w:rsidRDefault="00DF6714" w:rsidP="003D471C"/>
    <w:sectPr w:rsidR="00DF6714" w:rsidRPr="006122EE" w:rsidSect="00652EB8">
      <w:footerReference w:type="even" r:id="rId65"/>
      <w:footerReference w:type="default" r:id="rId66"/>
      <w:pgSz w:w="11899" w:h="16838" w:code="9"/>
      <w:pgMar w:top="851" w:right="1134" w:bottom="851" w:left="1134" w:header="397" w:footer="340" w:gutter="227"/>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Austin Patikani Theu" w:date="2017-06-14T16:46:00Z" w:initials="AP">
    <w:p w14:paraId="60545727" w14:textId="77777777" w:rsidR="00B7022D" w:rsidRDefault="00B7022D">
      <w:pPr>
        <w:pStyle w:val="CommentText"/>
      </w:pPr>
      <w:r>
        <w:rPr>
          <w:rStyle w:val="CommentReference"/>
        </w:rPr>
        <w:annotationRef/>
      </w:r>
      <w:r>
        <w:t>As of 2016, we had 351MW so minus small hydro this figure could be risen up to around 346.65MW</w:t>
      </w:r>
    </w:p>
  </w:comment>
  <w:comment w:id="33" w:author="Austin Patikani Theu" w:date="2017-06-14T16:55:00Z" w:initials="AP">
    <w:p w14:paraId="02EB5EA7" w14:textId="18E415A8" w:rsidR="00B7022D" w:rsidRDefault="00B7022D">
      <w:pPr>
        <w:pStyle w:val="CommentText"/>
      </w:pPr>
      <w:r>
        <w:rPr>
          <w:rStyle w:val="CommentReference"/>
        </w:rPr>
        <w:annotationRef/>
      </w:r>
      <w:r>
        <w:t>In the previous meeting it was agreed that the baseline year should be 2016</w:t>
      </w:r>
    </w:p>
  </w:comment>
  <w:comment w:id="34" w:author="Austin Patikani Theu" w:date="2017-06-14T16:56:00Z" w:initials="AP">
    <w:p w14:paraId="3EB4CA72" w14:textId="38C73A67" w:rsidR="00B7022D" w:rsidRDefault="00B7022D">
      <w:pPr>
        <w:pStyle w:val="CommentText"/>
      </w:pPr>
      <w:r>
        <w:rPr>
          <w:rStyle w:val="CommentReference"/>
        </w:rPr>
        <w:annotationRef/>
      </w:r>
    </w:p>
  </w:comment>
  <w:comment w:id="35" w:author="Austin Patikani Theu" w:date="2017-06-14T16:58:00Z" w:initials="AP">
    <w:p w14:paraId="403E81B8" w14:textId="5593000A" w:rsidR="00B7022D" w:rsidRDefault="00B7022D">
      <w:pPr>
        <w:pStyle w:val="CommentText"/>
      </w:pPr>
      <w:r>
        <w:rPr>
          <w:rStyle w:val="CommentReference"/>
        </w:rPr>
        <w:annotationRef/>
      </w:r>
      <w:r>
        <w:t>Other documentation say 18million littres/annum</w:t>
      </w:r>
    </w:p>
  </w:comment>
  <w:comment w:id="36" w:author="Austin Patikani Theu" w:date="2017-06-14T16:59:00Z" w:initials="AP">
    <w:p w14:paraId="2ECC9794" w14:textId="31391E58" w:rsidR="00B7022D" w:rsidRDefault="00B7022D">
      <w:pPr>
        <w:pStyle w:val="CommentText"/>
      </w:pPr>
      <w:r>
        <w:rPr>
          <w:rStyle w:val="CommentReference"/>
        </w:rPr>
        <w:annotationRef/>
      </w:r>
      <w:r>
        <w:t>As of 2016, I think they say its blended at 20:80</w:t>
      </w:r>
    </w:p>
  </w:comment>
  <w:comment w:id="37" w:author="Austin Patikani Theu" w:date="2017-06-14T17:01:00Z" w:initials="AP">
    <w:p w14:paraId="0FC62DAF" w14:textId="04880E80" w:rsidR="00B7022D" w:rsidRDefault="00B7022D">
      <w:pPr>
        <w:pStyle w:val="CommentText"/>
      </w:pPr>
      <w:r>
        <w:rPr>
          <w:rStyle w:val="CommentReference"/>
        </w:rPr>
        <w:annotationRef/>
      </w:r>
      <w:r>
        <w:t xml:space="preserve">As of 2016, </w:t>
      </w:r>
      <w:r w:rsidR="0080202A">
        <w:t xml:space="preserve">the Revised NEP say </w:t>
      </w:r>
      <w:r>
        <w:t xml:space="preserve">blending </w:t>
      </w:r>
      <w:r w:rsidR="0080202A">
        <w:t xml:space="preserve">was </w:t>
      </w:r>
      <w:r>
        <w:t>at 91</w:t>
      </w:r>
      <w:r w:rsidR="0080202A">
        <w:t>:9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545727" w15:done="0"/>
  <w15:commentEx w15:paraId="02EB5EA7" w15:done="0"/>
  <w15:commentEx w15:paraId="3EB4CA72" w15:paraIdParent="02EB5EA7" w15:done="0"/>
  <w15:commentEx w15:paraId="403E81B8" w15:done="0"/>
  <w15:commentEx w15:paraId="2ECC9794" w15:done="0"/>
  <w15:commentEx w15:paraId="0FC62D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545727" w16cid:durableId="1D10B826"/>
  <w16cid:commentId w16cid:paraId="02EB5EA7" w16cid:durableId="1D10B827"/>
  <w16cid:commentId w16cid:paraId="3EB4CA72" w16cid:durableId="1D10B828"/>
  <w16cid:commentId w16cid:paraId="403E81B8" w16cid:durableId="1D10B829"/>
  <w16cid:commentId w16cid:paraId="2ECC9794" w16cid:durableId="1D10B82A"/>
  <w16cid:commentId w16cid:paraId="0FC62DAF" w16cid:durableId="1D10B8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374D0" w14:textId="77777777" w:rsidR="00DC7D8C" w:rsidRDefault="00DC7D8C">
      <w:r>
        <w:separator/>
      </w:r>
    </w:p>
    <w:p w14:paraId="23253C96" w14:textId="77777777" w:rsidR="00DC7D8C" w:rsidRDefault="00DC7D8C"/>
    <w:p w14:paraId="669204FB" w14:textId="77777777" w:rsidR="00DC7D8C" w:rsidRDefault="00DC7D8C"/>
    <w:p w14:paraId="0AD5FDC2" w14:textId="77777777" w:rsidR="00DC7D8C" w:rsidRDefault="00DC7D8C"/>
  </w:endnote>
  <w:endnote w:type="continuationSeparator" w:id="0">
    <w:p w14:paraId="6E8AEB3F" w14:textId="77777777" w:rsidR="00DC7D8C" w:rsidRDefault="00DC7D8C">
      <w:r>
        <w:continuationSeparator/>
      </w:r>
    </w:p>
    <w:p w14:paraId="626FD568" w14:textId="77777777" w:rsidR="00DC7D8C" w:rsidRDefault="00DC7D8C"/>
    <w:p w14:paraId="775AEAFE" w14:textId="77777777" w:rsidR="00DC7D8C" w:rsidRDefault="00DC7D8C"/>
    <w:p w14:paraId="75F607E8" w14:textId="77777777" w:rsidR="00DC7D8C" w:rsidRDefault="00DC7D8C"/>
  </w:endnote>
  <w:endnote w:type="continuationNotice" w:id="1">
    <w:p w14:paraId="0DF08DE6" w14:textId="77777777" w:rsidR="00DC7D8C" w:rsidRDefault="00DC7D8C">
      <w:pPr>
        <w:spacing w:before="0" w:after="0" w:line="240" w:lineRule="auto"/>
      </w:pPr>
    </w:p>
  </w:endnote>
  <w:endnote w:id="2">
    <w:p w14:paraId="65CA8919" w14:textId="77777777" w:rsidR="00B7022D" w:rsidRPr="00AD374C" w:rsidRDefault="00B7022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Kartika">
    <w:charset w:val="00"/>
    <w:family w:val="roman"/>
    <w:pitch w:val="variable"/>
    <w:sig w:usb0="008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8349"/>
    </w:tblGrid>
    <w:tr w:rsidR="00B7022D" w14:paraId="459943B5" w14:textId="77777777" w:rsidTr="00AD7E75">
      <w:tc>
        <w:tcPr>
          <w:tcW w:w="823" w:type="dxa"/>
        </w:tcPr>
        <w:p w14:paraId="01C546E7" w14:textId="77D522B9" w:rsidR="00B7022D" w:rsidRDefault="00B7022D" w:rsidP="00435B64">
          <w:pPr>
            <w:pStyle w:val="Footer"/>
            <w:tabs>
              <w:tab w:val="clear" w:pos="284"/>
            </w:tabs>
            <w:jc w:val="center"/>
          </w:pPr>
          <w:r w:rsidRPr="00027A17">
            <w:fldChar w:fldCharType="begin"/>
          </w:r>
          <w:r w:rsidRPr="00CB21C6">
            <w:instrText xml:space="preserve"> PAGE </w:instrText>
          </w:r>
          <w:r w:rsidRPr="00027A17">
            <w:fldChar w:fldCharType="separate"/>
          </w:r>
          <w:r w:rsidR="00BF607C">
            <w:rPr>
              <w:noProof/>
            </w:rPr>
            <w:t>2</w:t>
          </w:r>
          <w:r w:rsidRPr="00027A17">
            <w:fldChar w:fldCharType="end"/>
          </w:r>
        </w:p>
      </w:tc>
      <w:tc>
        <w:tcPr>
          <w:tcW w:w="9024" w:type="dxa"/>
        </w:tcPr>
        <w:p w14:paraId="083DCAC9" w14:textId="77777777" w:rsidR="00B7022D" w:rsidRPr="00A862D0" w:rsidRDefault="00B7022D" w:rsidP="00EA17F5">
          <w:pPr>
            <w:pStyle w:val="Footer"/>
          </w:pPr>
          <w:r>
            <w:t xml:space="preserve">SE4ALL Malawi </w:t>
          </w:r>
          <w:r w:rsidRPr="00A862D0">
            <w:t xml:space="preserve">| </w:t>
          </w:r>
          <w:r>
            <w:rPr>
              <w:b w:val="0"/>
            </w:rPr>
            <w:t>Action Agenda</w:t>
          </w:r>
        </w:p>
      </w:tc>
    </w:tr>
  </w:tbl>
  <w:p w14:paraId="23C75A8D" w14:textId="77777777" w:rsidR="00B7022D" w:rsidRDefault="00B7022D" w:rsidP="00087EBF">
    <w:pPr>
      <w:pStyle w:val="Footer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1"/>
      <w:gridCol w:w="1294"/>
    </w:tblGrid>
    <w:tr w:rsidR="00B7022D" w14:paraId="1177E4BF" w14:textId="77777777" w:rsidTr="00AD7E75">
      <w:tc>
        <w:tcPr>
          <w:tcW w:w="8811" w:type="dxa"/>
        </w:tcPr>
        <w:p w14:paraId="625D94C7"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3B218F01" w14:textId="77777777"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Pr>
              <w:noProof/>
            </w:rPr>
            <w:t>101</w:t>
          </w:r>
          <w:r w:rsidRPr="00027A17">
            <w:fldChar w:fldCharType="end"/>
          </w:r>
        </w:p>
      </w:tc>
    </w:tr>
  </w:tbl>
  <w:p w14:paraId="3F8F1C86" w14:textId="77777777" w:rsidR="00B7022D" w:rsidRDefault="00B7022D" w:rsidP="00087EBF">
    <w:pPr>
      <w:pStyle w:val="Footer2"/>
    </w:pPr>
  </w:p>
  <w:p w14:paraId="70460FCD" w14:textId="77777777" w:rsidR="00B7022D" w:rsidRPr="00B301B6" w:rsidRDefault="00B7022D" w:rsidP="00087EBF">
    <w:pPr>
      <w:pStyle w:val="Footer2"/>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4"/>
      <w:gridCol w:w="802"/>
    </w:tblGrid>
    <w:tr w:rsidR="00B7022D" w14:paraId="43C99467" w14:textId="77777777" w:rsidTr="00AD7E75">
      <w:tc>
        <w:tcPr>
          <w:tcW w:w="8811" w:type="dxa"/>
        </w:tcPr>
        <w:p w14:paraId="07596A03"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0C44BB14" w14:textId="6FA7C8FE"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80202A">
            <w:rPr>
              <w:noProof/>
            </w:rPr>
            <w:t>121</w:t>
          </w:r>
          <w:r w:rsidRPr="00027A17">
            <w:fldChar w:fldCharType="end"/>
          </w:r>
        </w:p>
      </w:tc>
    </w:tr>
  </w:tbl>
  <w:p w14:paraId="274F1EB8" w14:textId="77777777" w:rsidR="00B7022D" w:rsidRDefault="00B7022D" w:rsidP="00087EBF">
    <w:pPr>
      <w:pStyle w:val="Footer2"/>
    </w:pPr>
  </w:p>
  <w:p w14:paraId="215A3085" w14:textId="77777777" w:rsidR="00B7022D" w:rsidRPr="00B301B6" w:rsidRDefault="00B7022D" w:rsidP="00087EBF">
    <w:pPr>
      <w:pStyle w:val="Footer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84"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13803"/>
    </w:tblGrid>
    <w:tr w:rsidR="00B7022D" w14:paraId="7936984E" w14:textId="77777777" w:rsidTr="007C41F5">
      <w:trPr>
        <w:trHeight w:val="278"/>
        <w:jc w:val="left"/>
      </w:trPr>
      <w:tc>
        <w:tcPr>
          <w:tcW w:w="798" w:type="dxa"/>
          <w:vAlign w:val="center"/>
        </w:tcPr>
        <w:p w14:paraId="62EF0D22" w14:textId="4BA46928" w:rsidR="00B7022D" w:rsidRDefault="00B7022D" w:rsidP="007C41F5">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108</w:t>
          </w:r>
          <w:r w:rsidRPr="00027A17">
            <w:fldChar w:fldCharType="end"/>
          </w:r>
        </w:p>
      </w:tc>
      <w:tc>
        <w:tcPr>
          <w:tcW w:w="8575" w:type="dxa"/>
          <w:vAlign w:val="center"/>
        </w:tcPr>
        <w:p w14:paraId="07D7B48F" w14:textId="77777777" w:rsidR="00B7022D" w:rsidRPr="00A862D0" w:rsidRDefault="00B7022D" w:rsidP="007C41F5">
          <w:pPr>
            <w:pStyle w:val="Footer"/>
          </w:pPr>
          <w:r>
            <w:t xml:space="preserve">SE4ALL Malawi </w:t>
          </w:r>
          <w:r w:rsidRPr="00A862D0">
            <w:t xml:space="preserve">| </w:t>
          </w:r>
          <w:r>
            <w:rPr>
              <w:b w:val="0"/>
            </w:rPr>
            <w:t>Action Agenda</w:t>
          </w:r>
        </w:p>
      </w:tc>
    </w:tr>
  </w:tbl>
  <w:p w14:paraId="3E7DD7AE" w14:textId="77777777" w:rsidR="00B7022D" w:rsidRDefault="00B7022D" w:rsidP="00087EBF">
    <w:pPr>
      <w:pStyle w:val="Footer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84"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8576"/>
    </w:tblGrid>
    <w:tr w:rsidR="00B7022D" w14:paraId="472FC37C" w14:textId="77777777" w:rsidTr="007C41F5">
      <w:trPr>
        <w:trHeight w:val="278"/>
        <w:jc w:val="left"/>
      </w:trPr>
      <w:tc>
        <w:tcPr>
          <w:tcW w:w="798" w:type="dxa"/>
          <w:vAlign w:val="center"/>
        </w:tcPr>
        <w:p w14:paraId="2076B192" w14:textId="599248C4" w:rsidR="00B7022D" w:rsidRDefault="00B7022D" w:rsidP="007C41F5">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122</w:t>
          </w:r>
          <w:r w:rsidRPr="00027A17">
            <w:fldChar w:fldCharType="end"/>
          </w:r>
        </w:p>
      </w:tc>
      <w:tc>
        <w:tcPr>
          <w:tcW w:w="8575" w:type="dxa"/>
          <w:vAlign w:val="center"/>
        </w:tcPr>
        <w:p w14:paraId="0486EC9C" w14:textId="77777777" w:rsidR="00B7022D" w:rsidRPr="00A862D0" w:rsidRDefault="00B7022D" w:rsidP="007C41F5">
          <w:pPr>
            <w:pStyle w:val="Footer"/>
          </w:pPr>
          <w:r>
            <w:t xml:space="preserve">SE4ALL Malawi </w:t>
          </w:r>
          <w:r w:rsidRPr="00A862D0">
            <w:t xml:space="preserve">| </w:t>
          </w:r>
          <w:r>
            <w:rPr>
              <w:b w:val="0"/>
            </w:rPr>
            <w:t>Action Agenda</w:t>
          </w:r>
        </w:p>
      </w:tc>
    </w:tr>
  </w:tbl>
  <w:p w14:paraId="0E6B4956" w14:textId="77777777" w:rsidR="00B7022D" w:rsidRDefault="00B7022D" w:rsidP="00087EBF">
    <w:pPr>
      <w:pStyle w:val="Footer2"/>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13871"/>
    </w:tblGrid>
    <w:tr w:rsidR="00B7022D" w14:paraId="35CD64FF" w14:textId="77777777" w:rsidTr="00AD7E75">
      <w:tc>
        <w:tcPr>
          <w:tcW w:w="823" w:type="dxa"/>
        </w:tcPr>
        <w:p w14:paraId="3EAB0A13" w14:textId="1179B0A5" w:rsidR="00B7022D" w:rsidRDefault="00B7022D" w:rsidP="00435B64">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134</w:t>
          </w:r>
          <w:r w:rsidRPr="00027A17">
            <w:fldChar w:fldCharType="end"/>
          </w:r>
        </w:p>
      </w:tc>
      <w:tc>
        <w:tcPr>
          <w:tcW w:w="9024" w:type="dxa"/>
        </w:tcPr>
        <w:p w14:paraId="42AE5A5C" w14:textId="77777777" w:rsidR="00B7022D" w:rsidRPr="00A862D0" w:rsidRDefault="00B7022D" w:rsidP="00EA17F5">
          <w:pPr>
            <w:pStyle w:val="Footer"/>
          </w:pPr>
          <w:r>
            <w:t xml:space="preserve">SE4ALL Malawi </w:t>
          </w:r>
          <w:r w:rsidRPr="00A862D0">
            <w:t xml:space="preserve">| </w:t>
          </w:r>
          <w:r>
            <w:rPr>
              <w:b w:val="0"/>
            </w:rPr>
            <w:t>Action Agenda</w:t>
          </w:r>
        </w:p>
      </w:tc>
    </w:tr>
  </w:tbl>
  <w:p w14:paraId="23A861DB" w14:textId="77777777" w:rsidR="00B7022D" w:rsidRDefault="00B7022D" w:rsidP="00087EBF">
    <w:pPr>
      <w:pStyle w:val="Footer2"/>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3"/>
      <w:gridCol w:w="1276"/>
    </w:tblGrid>
    <w:tr w:rsidR="00B7022D" w14:paraId="517DFA75" w14:textId="77777777" w:rsidTr="00AD7E75">
      <w:tc>
        <w:tcPr>
          <w:tcW w:w="8811" w:type="dxa"/>
        </w:tcPr>
        <w:p w14:paraId="6C9F087D"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2C158AE3" w14:textId="2418C4D9"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80202A">
            <w:rPr>
              <w:noProof/>
            </w:rPr>
            <w:t>133</w:t>
          </w:r>
          <w:r w:rsidRPr="00027A17">
            <w:fldChar w:fldCharType="end"/>
          </w:r>
        </w:p>
      </w:tc>
    </w:tr>
  </w:tbl>
  <w:p w14:paraId="68FE4C18" w14:textId="77777777" w:rsidR="00B7022D" w:rsidRDefault="00B7022D" w:rsidP="00087EBF">
    <w:pPr>
      <w:pStyle w:val="Footer2"/>
    </w:pPr>
  </w:p>
  <w:p w14:paraId="7EBA1CA4" w14:textId="77777777" w:rsidR="00B7022D" w:rsidRPr="00B301B6" w:rsidRDefault="00B7022D" w:rsidP="00087EBF">
    <w:pPr>
      <w:pStyle w:val="Footer2"/>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51BF" w14:textId="77777777" w:rsidR="00B7022D" w:rsidRPr="00A47EB8" w:rsidRDefault="00B7022D" w:rsidP="000B6EA9">
    <w:pPr>
      <w:spacing w:line="240" w:lineRule="exact"/>
      <w:rPr>
        <w:sz w:val="14"/>
        <w:szCs w:val="14"/>
        <w:lang w:val="en-US"/>
      </w:rPr>
    </w:pPr>
    <w:r w:rsidRPr="00A47EB8">
      <w:rPr>
        <w:sz w:val="14"/>
        <w:szCs w:val="14"/>
        <w:lang w:val="en-US"/>
      </w:rPr>
      <w:t>Deloitte refers to one or more of Deloitte Touche Tohmatsu Limited, a UK private company limited by guarantee, and its network of member firms, each of which is a legally separate and independent entity. Please see www.deloitte.nl/about for a detailed description of the legal structure of Deloitte Touche Tohmatsu Limited and its member firms.</w:t>
    </w:r>
  </w:p>
  <w:p w14:paraId="4B1CE241" w14:textId="77777777" w:rsidR="00B7022D" w:rsidRPr="00A47EB8" w:rsidRDefault="00B7022D" w:rsidP="000B6EA9">
    <w:pPr>
      <w:spacing w:line="240" w:lineRule="exact"/>
      <w:rPr>
        <w:sz w:val="14"/>
        <w:szCs w:val="14"/>
        <w:lang w:val="en-US"/>
      </w:rPr>
    </w:pPr>
    <w:r w:rsidRPr="00A47EB8">
      <w:rPr>
        <w:sz w:val="14"/>
        <w:szCs w:val="14"/>
        <w:lang w:val="en-US"/>
      </w:rP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 has in the region of 200,000 professionals, all committed to becoming the standard of excellence.</w:t>
    </w:r>
  </w:p>
  <w:p w14:paraId="2E20B799" w14:textId="77777777" w:rsidR="00B7022D" w:rsidRPr="00493D88" w:rsidRDefault="00B7022D" w:rsidP="000B6EA9">
    <w:pPr>
      <w:spacing w:line="240" w:lineRule="exact"/>
      <w:rPr>
        <w:sz w:val="14"/>
        <w:szCs w:val="14"/>
        <w:lang w:val="en-US"/>
      </w:rPr>
    </w:pPr>
    <w:r w:rsidRPr="00A47EB8">
      <w:rPr>
        <w:sz w:val="14"/>
        <w:szCs w:val="14"/>
        <w:lang w:val="en-US"/>
      </w:rPr>
      <w:t xml:space="preserve">This communication contains general information only, and none of Deloitte Touche Tohmatsu Limited, its member firms, or their related entities (collectively, the “Deloitte Network”) is, by means of this publication, rendering professional advice or services. Before making any decision or taking any action that may affect your finances or your business, you should consult a qualified professional adviser. </w:t>
    </w:r>
    <w:r w:rsidRPr="00493D88">
      <w:rPr>
        <w:sz w:val="14"/>
        <w:szCs w:val="14"/>
        <w:lang w:val="en-US"/>
      </w:rPr>
      <w:t>No entity in the Deloitte Network shall be responsible for any loss whatsoever sustained by any person who relies on this communication.</w:t>
    </w:r>
  </w:p>
  <w:p w14:paraId="38303635" w14:textId="77777777" w:rsidR="00B7022D" w:rsidRPr="000B6EA9" w:rsidRDefault="00B7022D" w:rsidP="000B6EA9">
    <w:pPr>
      <w:pStyle w:val="Footer2"/>
    </w:pPr>
    <w:r w:rsidRPr="002928AC">
      <w:rPr>
        <w:sz w:val="14"/>
        <w:szCs w:val="14"/>
      </w:rPr>
      <w:t>© 201</w:t>
    </w:r>
    <w:r>
      <w:rPr>
        <w:sz w:val="14"/>
        <w:szCs w:val="14"/>
      </w:rPr>
      <w:t>7</w:t>
    </w:r>
    <w:r w:rsidRPr="002928AC">
      <w:rPr>
        <w:sz w:val="14"/>
        <w:szCs w:val="14"/>
      </w:rPr>
      <w:t xml:space="preserve"> Deloitte SA. Member of Deloitte Touche Tohmatsu Limited</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037F" w14:textId="77777777" w:rsidR="00B7022D" w:rsidRPr="00A47EB8" w:rsidRDefault="00B7022D" w:rsidP="00E34549">
    <w:pPr>
      <w:spacing w:line="240" w:lineRule="exact"/>
      <w:rPr>
        <w:sz w:val="14"/>
        <w:szCs w:val="14"/>
        <w:lang w:val="en-US"/>
      </w:rPr>
    </w:pPr>
    <w:r w:rsidRPr="00A47EB8">
      <w:rPr>
        <w:sz w:val="14"/>
        <w:szCs w:val="14"/>
        <w:lang w:val="en-US"/>
      </w:rPr>
      <w:t>Deloitte refers to one or more of Deloitte Touche Tohmatsu Limited, a UK private company limited by guarantee, and its network of member firms, each of which is a legally separate and independent entity. Please see www.deloitte.nl/about for a detailed description of the legal structure of Deloitte Touche Tohmatsu Limited and its member firms.</w:t>
    </w:r>
  </w:p>
  <w:p w14:paraId="586FD6A8" w14:textId="77777777" w:rsidR="00B7022D" w:rsidRPr="00A47EB8" w:rsidRDefault="00B7022D" w:rsidP="00E34549">
    <w:pPr>
      <w:spacing w:line="240" w:lineRule="exact"/>
      <w:rPr>
        <w:sz w:val="14"/>
        <w:szCs w:val="14"/>
        <w:lang w:val="en-US"/>
      </w:rPr>
    </w:pPr>
    <w:r w:rsidRPr="00A47EB8">
      <w:rPr>
        <w:sz w:val="14"/>
        <w:szCs w:val="14"/>
        <w:lang w:val="en-US"/>
      </w:rP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 has in the region of 200,000 professionals, all committed to becoming the standard of excellence.</w:t>
    </w:r>
  </w:p>
  <w:p w14:paraId="558ADBB9" w14:textId="77777777" w:rsidR="00B7022D" w:rsidRPr="00493D88" w:rsidRDefault="00B7022D" w:rsidP="00E34549">
    <w:pPr>
      <w:spacing w:line="240" w:lineRule="exact"/>
      <w:rPr>
        <w:sz w:val="14"/>
        <w:szCs w:val="14"/>
        <w:lang w:val="en-US"/>
      </w:rPr>
    </w:pPr>
    <w:r w:rsidRPr="00A47EB8">
      <w:rPr>
        <w:sz w:val="14"/>
        <w:szCs w:val="14"/>
        <w:lang w:val="en-US"/>
      </w:rPr>
      <w:t xml:space="preserve">This communication contains general information only, and none of Deloitte Touche Tohmatsu Limited, its member firms, or their related entities (collectively, the “Deloitte Network”) is, by means of this publication, rendering professional advice or services. Before making any decision or taking any action that may affect your finances or your business, you should consult a qualified professional adviser. </w:t>
    </w:r>
    <w:r w:rsidRPr="00493D88">
      <w:rPr>
        <w:sz w:val="14"/>
        <w:szCs w:val="14"/>
        <w:lang w:val="en-US"/>
      </w:rPr>
      <w:t>No entity in the Deloitte Network shall be responsible for any loss whatsoever sustained by any person who relies on this communication.</w:t>
    </w:r>
  </w:p>
  <w:p w14:paraId="4B1C293D" w14:textId="77777777" w:rsidR="00B7022D" w:rsidRPr="00E34549" w:rsidRDefault="00B7022D" w:rsidP="00E34549">
    <w:pPr>
      <w:pStyle w:val="Footer"/>
    </w:pPr>
    <w:r w:rsidRPr="002928AC">
      <w:rPr>
        <w:sz w:val="14"/>
        <w:szCs w:val="14"/>
      </w:rPr>
      <w:t>© 201</w:t>
    </w:r>
    <w:r>
      <w:rPr>
        <w:sz w:val="14"/>
        <w:szCs w:val="14"/>
      </w:rPr>
      <w:t>7</w:t>
    </w:r>
    <w:r w:rsidRPr="002928AC">
      <w:rPr>
        <w:sz w:val="14"/>
        <w:szCs w:val="14"/>
      </w:rPr>
      <w:t xml:space="preserve"> Deloitte SA. Member of Deloitte Touche Tohmatsu Limited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782"/>
    </w:tblGrid>
    <w:tr w:rsidR="00B7022D" w14:paraId="45F96DDF" w14:textId="77777777" w:rsidTr="00AD7E75">
      <w:tc>
        <w:tcPr>
          <w:tcW w:w="8811" w:type="dxa"/>
        </w:tcPr>
        <w:p w14:paraId="6A062E7C" w14:textId="77777777" w:rsidR="00B7022D" w:rsidRDefault="00B7022D" w:rsidP="00EA17F5">
          <w:pPr>
            <w:pStyle w:val="Footer"/>
            <w:tabs>
              <w:tab w:val="clear" w:pos="284"/>
            </w:tabs>
            <w:jc w:val="right"/>
          </w:pPr>
          <w:r>
            <w:rPr>
              <w:b w:val="0"/>
            </w:rPr>
            <w:t>Action Agenda</w:t>
          </w:r>
          <w:r w:rsidRPr="00A862D0">
            <w:t xml:space="preserve"> | </w:t>
          </w:r>
          <w:r>
            <w:t>SE4ALL Malawi</w:t>
          </w:r>
        </w:p>
      </w:tc>
      <w:tc>
        <w:tcPr>
          <w:tcW w:w="811" w:type="dxa"/>
        </w:tcPr>
        <w:p w14:paraId="0A3247CE" w14:textId="14AAB4B0"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BF607C">
            <w:rPr>
              <w:noProof/>
            </w:rPr>
            <w:t>3</w:t>
          </w:r>
          <w:r w:rsidRPr="00027A17">
            <w:fldChar w:fldCharType="end"/>
          </w:r>
        </w:p>
      </w:tc>
    </w:tr>
  </w:tbl>
  <w:p w14:paraId="0CF8DB28" w14:textId="77777777" w:rsidR="00B7022D" w:rsidRDefault="00B7022D" w:rsidP="00087EBF">
    <w:pPr>
      <w:pStyle w:val="Footer2"/>
    </w:pPr>
  </w:p>
  <w:p w14:paraId="41FC4A86" w14:textId="77777777" w:rsidR="00B7022D" w:rsidRPr="00B301B6" w:rsidRDefault="00B7022D" w:rsidP="00087EBF">
    <w:pPr>
      <w:pStyle w:val="Footer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8"/>
      <w:gridCol w:w="798"/>
    </w:tblGrid>
    <w:tr w:rsidR="00B7022D" w14:paraId="18780732" w14:textId="77777777" w:rsidTr="00AD7E75">
      <w:tc>
        <w:tcPr>
          <w:tcW w:w="8811" w:type="dxa"/>
        </w:tcPr>
        <w:p w14:paraId="204E9990"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0265DA65" w14:textId="6D5E0D5A"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80202A">
            <w:rPr>
              <w:noProof/>
            </w:rPr>
            <w:t>13</w:t>
          </w:r>
          <w:r w:rsidRPr="00027A17">
            <w:fldChar w:fldCharType="end"/>
          </w:r>
        </w:p>
      </w:tc>
    </w:tr>
  </w:tbl>
  <w:p w14:paraId="4FB8CCFA" w14:textId="77777777" w:rsidR="00B7022D" w:rsidRDefault="00B7022D" w:rsidP="00087EBF">
    <w:pPr>
      <w:pStyle w:val="Footer2"/>
    </w:pPr>
  </w:p>
  <w:p w14:paraId="7F9C6C0E" w14:textId="77777777" w:rsidR="00B7022D" w:rsidRPr="00B301B6" w:rsidRDefault="00B7022D" w:rsidP="00087EBF">
    <w:pPr>
      <w:pStyle w:val="Footer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13871"/>
    </w:tblGrid>
    <w:tr w:rsidR="00B7022D" w14:paraId="27E71CA7" w14:textId="77777777" w:rsidTr="00AD7E75">
      <w:tc>
        <w:tcPr>
          <w:tcW w:w="823" w:type="dxa"/>
        </w:tcPr>
        <w:p w14:paraId="70C25396" w14:textId="7FD396A2" w:rsidR="00B7022D" w:rsidRDefault="00B7022D" w:rsidP="00435B64">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86</w:t>
          </w:r>
          <w:r w:rsidRPr="00027A17">
            <w:fldChar w:fldCharType="end"/>
          </w:r>
        </w:p>
      </w:tc>
      <w:tc>
        <w:tcPr>
          <w:tcW w:w="9024" w:type="dxa"/>
        </w:tcPr>
        <w:p w14:paraId="6A0DA105" w14:textId="77777777" w:rsidR="00B7022D" w:rsidRPr="00A862D0" w:rsidRDefault="00B7022D" w:rsidP="00EA17F5">
          <w:pPr>
            <w:pStyle w:val="Footer"/>
          </w:pPr>
          <w:r>
            <w:t xml:space="preserve">SE4ALL Malawi </w:t>
          </w:r>
          <w:r w:rsidRPr="00A862D0">
            <w:t xml:space="preserve">| </w:t>
          </w:r>
          <w:r>
            <w:rPr>
              <w:b w:val="0"/>
            </w:rPr>
            <w:t>Action Agenda</w:t>
          </w:r>
        </w:p>
      </w:tc>
    </w:tr>
  </w:tbl>
  <w:p w14:paraId="6842F25B" w14:textId="77777777" w:rsidR="00B7022D" w:rsidRDefault="00B7022D" w:rsidP="00087EBF">
    <w:pPr>
      <w:pStyle w:val="Foot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3"/>
      <w:gridCol w:w="1276"/>
    </w:tblGrid>
    <w:tr w:rsidR="00B7022D" w14:paraId="3114370D" w14:textId="77777777" w:rsidTr="00AD7E75">
      <w:tc>
        <w:tcPr>
          <w:tcW w:w="8811" w:type="dxa"/>
        </w:tcPr>
        <w:p w14:paraId="3BB4FD1A"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295EB360" w14:textId="1DADF254"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80202A">
            <w:rPr>
              <w:noProof/>
            </w:rPr>
            <w:t>85</w:t>
          </w:r>
          <w:r w:rsidRPr="00027A17">
            <w:fldChar w:fldCharType="end"/>
          </w:r>
        </w:p>
      </w:tc>
    </w:tr>
  </w:tbl>
  <w:p w14:paraId="6F90CB01" w14:textId="77777777" w:rsidR="00B7022D" w:rsidRDefault="00B7022D" w:rsidP="00087EBF">
    <w:pPr>
      <w:pStyle w:val="Footer2"/>
    </w:pPr>
  </w:p>
  <w:p w14:paraId="20C8EB0A" w14:textId="77777777" w:rsidR="00B7022D" w:rsidRPr="00B301B6" w:rsidRDefault="00B7022D" w:rsidP="00087EBF">
    <w:pPr>
      <w:pStyle w:val="Footer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8603"/>
    </w:tblGrid>
    <w:tr w:rsidR="00B7022D" w14:paraId="2F327B17" w14:textId="77777777" w:rsidTr="00AD7E75">
      <w:tc>
        <w:tcPr>
          <w:tcW w:w="823" w:type="dxa"/>
        </w:tcPr>
        <w:p w14:paraId="73500ABD" w14:textId="5FE9E90D" w:rsidR="00B7022D" w:rsidRDefault="00B7022D" w:rsidP="00435B64">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92</w:t>
          </w:r>
          <w:r w:rsidRPr="00027A17">
            <w:fldChar w:fldCharType="end"/>
          </w:r>
        </w:p>
      </w:tc>
      <w:tc>
        <w:tcPr>
          <w:tcW w:w="9024" w:type="dxa"/>
        </w:tcPr>
        <w:p w14:paraId="60B8DE3C" w14:textId="77777777" w:rsidR="00B7022D" w:rsidRPr="00A862D0" w:rsidRDefault="00B7022D" w:rsidP="00EA17F5">
          <w:pPr>
            <w:pStyle w:val="Footer"/>
          </w:pPr>
          <w:r>
            <w:t xml:space="preserve">SE4ALL Malawi </w:t>
          </w:r>
          <w:r w:rsidRPr="00A862D0">
            <w:t xml:space="preserve">| </w:t>
          </w:r>
          <w:r>
            <w:rPr>
              <w:b w:val="0"/>
            </w:rPr>
            <w:t>Action Agenda</w:t>
          </w:r>
        </w:p>
      </w:tc>
    </w:tr>
  </w:tbl>
  <w:p w14:paraId="3EA8EC49" w14:textId="77777777" w:rsidR="00B7022D" w:rsidRDefault="00B7022D" w:rsidP="00087EBF">
    <w:pPr>
      <w:pStyle w:val="Footer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6"/>
      <w:gridCol w:w="800"/>
    </w:tblGrid>
    <w:tr w:rsidR="00B7022D" w14:paraId="4D98D5E7" w14:textId="77777777" w:rsidTr="00AD7E75">
      <w:tc>
        <w:tcPr>
          <w:tcW w:w="8811" w:type="dxa"/>
        </w:tcPr>
        <w:p w14:paraId="758760E3" w14:textId="77777777" w:rsidR="00B7022D" w:rsidRDefault="00B7022D" w:rsidP="00EA17F5">
          <w:pPr>
            <w:pStyle w:val="Footer"/>
            <w:tabs>
              <w:tab w:val="clear" w:pos="284"/>
            </w:tabs>
            <w:jc w:val="right"/>
          </w:pPr>
          <w:r>
            <w:rPr>
              <w:b w:val="0"/>
            </w:rPr>
            <w:t xml:space="preserve">Action Agenda </w:t>
          </w:r>
          <w:r w:rsidRPr="00A862D0">
            <w:t xml:space="preserve">| </w:t>
          </w:r>
          <w:r>
            <w:t>SE4ALL Malawi</w:t>
          </w:r>
        </w:p>
      </w:tc>
      <w:tc>
        <w:tcPr>
          <w:tcW w:w="811" w:type="dxa"/>
        </w:tcPr>
        <w:p w14:paraId="659CDB60" w14:textId="093DC6AE" w:rsidR="00B7022D" w:rsidRPr="00A862D0" w:rsidRDefault="00B7022D" w:rsidP="00435B64">
          <w:pPr>
            <w:pStyle w:val="Footer"/>
            <w:jc w:val="center"/>
          </w:pPr>
          <w:r w:rsidRPr="00027A17">
            <w:fldChar w:fldCharType="begin"/>
          </w:r>
          <w:r w:rsidRPr="00CB21C6">
            <w:instrText xml:space="preserve"> PAGE </w:instrText>
          </w:r>
          <w:r w:rsidRPr="00027A17">
            <w:fldChar w:fldCharType="separate"/>
          </w:r>
          <w:r w:rsidR="0080202A">
            <w:rPr>
              <w:noProof/>
            </w:rPr>
            <w:t>99</w:t>
          </w:r>
          <w:r w:rsidRPr="00027A17">
            <w:fldChar w:fldCharType="end"/>
          </w:r>
        </w:p>
      </w:tc>
    </w:tr>
  </w:tbl>
  <w:p w14:paraId="7B52EB90" w14:textId="77777777" w:rsidR="00B7022D" w:rsidRDefault="00B7022D" w:rsidP="00087EBF">
    <w:pPr>
      <w:pStyle w:val="Footer2"/>
    </w:pPr>
  </w:p>
  <w:p w14:paraId="3723DBB0" w14:textId="77777777" w:rsidR="00B7022D" w:rsidRPr="00B301B6" w:rsidRDefault="00B7022D" w:rsidP="00087EBF">
    <w:pPr>
      <w:pStyle w:val="Footer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13871"/>
    </w:tblGrid>
    <w:tr w:rsidR="00B7022D" w14:paraId="75A90266" w14:textId="77777777" w:rsidTr="00AD7E75">
      <w:tc>
        <w:tcPr>
          <w:tcW w:w="823" w:type="dxa"/>
        </w:tcPr>
        <w:p w14:paraId="73DE8A27" w14:textId="4A0F0661" w:rsidR="00B7022D" w:rsidRDefault="00B7022D" w:rsidP="00435B64">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94</w:t>
          </w:r>
          <w:r w:rsidRPr="00027A17">
            <w:fldChar w:fldCharType="end"/>
          </w:r>
        </w:p>
      </w:tc>
      <w:tc>
        <w:tcPr>
          <w:tcW w:w="9024" w:type="dxa"/>
        </w:tcPr>
        <w:p w14:paraId="3B66E697" w14:textId="77777777" w:rsidR="00B7022D" w:rsidRPr="00A862D0" w:rsidRDefault="00B7022D" w:rsidP="00EA17F5">
          <w:pPr>
            <w:pStyle w:val="Footer"/>
          </w:pPr>
          <w:r>
            <w:t xml:space="preserve">SE4ALL Malawi </w:t>
          </w:r>
          <w:r w:rsidRPr="00A862D0">
            <w:t xml:space="preserve">| </w:t>
          </w:r>
          <w:r>
            <w:rPr>
              <w:b w:val="0"/>
            </w:rPr>
            <w:t>Action Agenda</w:t>
          </w:r>
        </w:p>
      </w:tc>
    </w:tr>
  </w:tbl>
  <w:p w14:paraId="6FCDF132" w14:textId="77777777" w:rsidR="00B7022D" w:rsidRDefault="00B7022D" w:rsidP="00087EBF">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8603"/>
    </w:tblGrid>
    <w:tr w:rsidR="00B7022D" w14:paraId="3B88CFF3" w14:textId="77777777" w:rsidTr="00AD7E75">
      <w:tc>
        <w:tcPr>
          <w:tcW w:w="823" w:type="dxa"/>
        </w:tcPr>
        <w:p w14:paraId="1EF6E5DD" w14:textId="08E57253" w:rsidR="00B7022D" w:rsidRDefault="00B7022D" w:rsidP="007C41F5">
          <w:pPr>
            <w:pStyle w:val="Footer"/>
            <w:tabs>
              <w:tab w:val="clear" w:pos="284"/>
            </w:tabs>
            <w:jc w:val="center"/>
          </w:pPr>
          <w:r w:rsidRPr="00027A17">
            <w:fldChar w:fldCharType="begin"/>
          </w:r>
          <w:r w:rsidRPr="00CB21C6">
            <w:instrText xml:space="preserve"> PAGE </w:instrText>
          </w:r>
          <w:r w:rsidRPr="00027A17">
            <w:fldChar w:fldCharType="separate"/>
          </w:r>
          <w:r w:rsidR="0080202A">
            <w:rPr>
              <w:noProof/>
            </w:rPr>
            <w:t>106</w:t>
          </w:r>
          <w:r w:rsidRPr="00027A17">
            <w:fldChar w:fldCharType="end"/>
          </w:r>
        </w:p>
      </w:tc>
      <w:tc>
        <w:tcPr>
          <w:tcW w:w="9024" w:type="dxa"/>
        </w:tcPr>
        <w:p w14:paraId="00DD0EAE" w14:textId="77777777" w:rsidR="00B7022D" w:rsidRPr="00A862D0" w:rsidRDefault="00B7022D" w:rsidP="007C41F5">
          <w:pPr>
            <w:pStyle w:val="Footer"/>
          </w:pPr>
          <w:r>
            <w:t xml:space="preserve">SE4ALL Malawi </w:t>
          </w:r>
          <w:r w:rsidRPr="00A862D0">
            <w:t xml:space="preserve">| </w:t>
          </w:r>
          <w:r>
            <w:rPr>
              <w:b w:val="0"/>
            </w:rPr>
            <w:t>Action Agenda</w:t>
          </w:r>
        </w:p>
      </w:tc>
    </w:tr>
  </w:tbl>
  <w:p w14:paraId="0A9E7399" w14:textId="77777777" w:rsidR="00B7022D" w:rsidRDefault="00B7022D" w:rsidP="00087EBF">
    <w:pPr>
      <w:pStyle w:val="Foot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A4BD1" w14:textId="77777777" w:rsidR="00DC7D8C" w:rsidRDefault="00DC7D8C">
      <w:r>
        <w:separator/>
      </w:r>
    </w:p>
  </w:footnote>
  <w:footnote w:type="continuationSeparator" w:id="0">
    <w:p w14:paraId="55CBD3FB" w14:textId="77777777" w:rsidR="00DC7D8C" w:rsidRDefault="00DC7D8C">
      <w:r>
        <w:continuationSeparator/>
      </w:r>
    </w:p>
  </w:footnote>
  <w:footnote w:type="continuationNotice" w:id="1">
    <w:p w14:paraId="41B0FD43" w14:textId="77777777" w:rsidR="00DC7D8C" w:rsidRPr="00085BDC" w:rsidRDefault="00DC7D8C" w:rsidP="00085BDC">
      <w:pPr>
        <w:pStyle w:val="Footer"/>
      </w:pPr>
    </w:p>
  </w:footnote>
  <w:footnote w:id="2">
    <w:p w14:paraId="24D5594D" w14:textId="77777777" w:rsidR="00B7022D" w:rsidRPr="00AF48CC" w:rsidRDefault="00B7022D" w:rsidP="00FD396F">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 xml:space="preserve">Malawi Population Data Sheet 2012, Population Reference Bureau, </w:t>
      </w:r>
      <w:hyperlink r:id="rId1" w:history="1">
        <w:r w:rsidRPr="00AF48CC">
          <w:rPr>
            <w:rStyle w:val="Hyperlink"/>
            <w:rFonts w:cs="Arial"/>
            <w:szCs w:val="16"/>
            <w:lang w:val="en-US"/>
          </w:rPr>
          <w:t>http://www.prb.org/pdf12/malawi-datasheet-2012.pdf</w:t>
        </w:r>
      </w:hyperlink>
      <w:r w:rsidRPr="00AF48CC">
        <w:rPr>
          <w:rFonts w:cs="Arial"/>
          <w:szCs w:val="16"/>
          <w:lang w:val="en-US"/>
        </w:rPr>
        <w:t xml:space="preserve"> </w:t>
      </w:r>
    </w:p>
  </w:footnote>
  <w:footnote w:id="3">
    <w:p w14:paraId="27CFB1EC" w14:textId="77777777" w:rsidR="00B7022D" w:rsidRPr="00AF48CC" w:rsidRDefault="00B7022D">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The rural population totals 12.5 million people and represents 84% of Malawi’s total population of 14.8 million,. Source: Malawi Population Data Sheet 2012.</w:t>
      </w:r>
    </w:p>
  </w:footnote>
  <w:footnote w:id="4">
    <w:p w14:paraId="65E96121" w14:textId="77777777" w:rsidR="00B7022D" w:rsidRPr="00AF48CC" w:rsidRDefault="00B7022D">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 xml:space="preserve">The rural population is projected to be 21 million, representing 79% of the total projected population of 26.6 million. Source: Population Pyramids of the World from 1950 to 2100, </w:t>
      </w:r>
      <w:r w:rsidRPr="00AF48CC">
        <w:rPr>
          <w:rFonts w:cs="Arial"/>
          <w:szCs w:val="16"/>
        </w:rPr>
        <w:t>United Nations, Department of Economic and Social Affairs, Population Division,</w:t>
      </w:r>
      <w:r w:rsidRPr="00AF48CC">
        <w:rPr>
          <w:rFonts w:cs="Arial"/>
          <w:szCs w:val="16"/>
          <w:lang w:val="en-US"/>
        </w:rPr>
        <w:t xml:space="preserve">  https://populationpyramid.net/malawi/2030/</w:t>
      </w:r>
    </w:p>
  </w:footnote>
  <w:footnote w:id="5">
    <w:p w14:paraId="45402A3F" w14:textId="77777777" w:rsidR="00B7022D" w:rsidRPr="00AF48CC" w:rsidRDefault="00B7022D">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Based on experience in other African countries, we assume 40 kWp PV systems with battery systems and possible 12.5 KVA diesel back-up in some cases, which will support 220 connections. We assume roughly 1/3 of the connections will be non-residential, leaving about 150 residential connections per mini-grid. 90 mini grids x 150 residential connections = 13,500 residential connections. At 4.4 people per household, 59,400 people will be served by mini grids.</w:t>
      </w:r>
    </w:p>
  </w:footnote>
  <w:footnote w:id="6">
    <w:p w14:paraId="49A18502" w14:textId="77777777" w:rsidR="00B7022D" w:rsidRPr="00AF48CC" w:rsidRDefault="00B7022D" w:rsidP="008E69B8">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Official Malawi Government Online, https://www.facebook.com/malawigovernment/posts/431737397012760</w:t>
      </w:r>
    </w:p>
  </w:footnote>
  <w:footnote w:id="7">
    <w:p w14:paraId="54787A90" w14:textId="77777777" w:rsidR="00B7022D" w:rsidRPr="00AF48CC" w:rsidRDefault="00B7022D" w:rsidP="008E69B8">
      <w:pPr>
        <w:pStyle w:val="FootnoteText"/>
        <w:rPr>
          <w:rFonts w:cs="Arial"/>
          <w:szCs w:val="16"/>
          <w:lang w:val="en-US"/>
        </w:rPr>
      </w:pPr>
      <w:r w:rsidRPr="00AF48CC">
        <w:rPr>
          <w:rStyle w:val="FootnoteReference"/>
          <w:rFonts w:cs="Arial"/>
          <w:szCs w:val="16"/>
        </w:rPr>
        <w:footnoteRef/>
      </w:r>
      <w:r w:rsidRPr="00AF48CC">
        <w:rPr>
          <w:rFonts w:cs="Arial"/>
          <w:szCs w:val="16"/>
        </w:rPr>
        <w:t xml:space="preserve"> http://www.worldbank.org/en/country/malawi</w:t>
      </w:r>
    </w:p>
  </w:footnote>
  <w:footnote w:id="8">
    <w:p w14:paraId="2D02C22D" w14:textId="77777777" w:rsidR="00B7022D" w:rsidRPr="00AF48CC" w:rsidRDefault="00B7022D" w:rsidP="008E69B8">
      <w:pPr>
        <w:pStyle w:val="EndnoteText"/>
        <w:rPr>
          <w:rFonts w:cs="Arial"/>
          <w:sz w:val="16"/>
          <w:szCs w:val="16"/>
        </w:rPr>
      </w:pPr>
      <w:r w:rsidRPr="00AF48CC">
        <w:rPr>
          <w:rStyle w:val="FootnoteReference"/>
          <w:rFonts w:cs="Arial"/>
          <w:sz w:val="16"/>
          <w:szCs w:val="16"/>
        </w:rPr>
        <w:footnoteRef/>
      </w:r>
      <w:r w:rsidRPr="00AF48CC">
        <w:rPr>
          <w:rFonts w:cs="Arial"/>
          <w:sz w:val="16"/>
          <w:szCs w:val="16"/>
        </w:rPr>
        <w:t xml:space="preserve"> http://www.worldbank.org/en/country/malawi</w:t>
      </w:r>
    </w:p>
    <w:p w14:paraId="5DE00659" w14:textId="77777777" w:rsidR="00B7022D" w:rsidRPr="00AF48CC" w:rsidRDefault="00B7022D" w:rsidP="008E69B8">
      <w:pPr>
        <w:pStyle w:val="FootnoteText"/>
        <w:rPr>
          <w:rFonts w:cs="Arial"/>
          <w:szCs w:val="16"/>
        </w:rPr>
      </w:pPr>
    </w:p>
  </w:footnote>
  <w:footnote w:id="9">
    <w:p w14:paraId="7660618A" w14:textId="77777777" w:rsidR="00B7022D" w:rsidRPr="00AF48CC" w:rsidRDefault="00B7022D" w:rsidP="00B06E2B">
      <w:pPr>
        <w:pStyle w:val="FootnoteText"/>
        <w:rPr>
          <w:rFonts w:cs="Arial"/>
          <w:szCs w:val="16"/>
          <w:lang w:val="en-US"/>
        </w:rPr>
      </w:pPr>
      <w:r w:rsidRPr="00AF48CC">
        <w:rPr>
          <w:rStyle w:val="FootnoteReference"/>
          <w:rFonts w:cs="Arial"/>
          <w:szCs w:val="16"/>
        </w:rPr>
        <w:footnoteRef/>
      </w:r>
      <w:r w:rsidRPr="00AF48CC">
        <w:rPr>
          <w:rFonts w:cs="Arial"/>
          <w:szCs w:val="16"/>
        </w:rPr>
        <w:t xml:space="preserve"> </w:t>
      </w:r>
      <w:r w:rsidRPr="00AF48CC">
        <w:rPr>
          <w:rFonts w:cs="Arial"/>
          <w:szCs w:val="16"/>
          <w:lang w:val="en-US"/>
        </w:rPr>
        <w:t>Intended Nationally Determined Contribution, Republic of Malawi, UNFCC 2015</w:t>
      </w:r>
    </w:p>
  </w:footnote>
  <w:footnote w:id="10">
    <w:p w14:paraId="6A8AE9D6" w14:textId="77777777" w:rsidR="00B7022D" w:rsidRPr="006122EE" w:rsidRDefault="00B7022D">
      <w:pPr>
        <w:pStyle w:val="FootnoteText"/>
        <w:rPr>
          <w:rFonts w:cs="Arial"/>
          <w:szCs w:val="16"/>
        </w:rPr>
      </w:pPr>
      <w:r w:rsidRPr="00AF48CC">
        <w:rPr>
          <w:rStyle w:val="FootnoteReference"/>
          <w:rFonts w:cs="Arial"/>
          <w:szCs w:val="16"/>
        </w:rPr>
        <w:footnoteRef/>
      </w:r>
      <w:r w:rsidRPr="00AF48CC">
        <w:rPr>
          <w:rFonts w:cs="Arial"/>
          <w:szCs w:val="16"/>
        </w:rPr>
        <w:t xml:space="preserve"> </w:t>
      </w:r>
      <w:r w:rsidRPr="00866D96">
        <w:rPr>
          <w:rFonts w:cs="Arial"/>
          <w:i/>
          <w:spacing w:val="-1"/>
          <w:szCs w:val="16"/>
        </w:rPr>
        <w:t>Biomass</w:t>
      </w:r>
      <w:r w:rsidRPr="00866D96">
        <w:rPr>
          <w:rFonts w:cs="Arial"/>
          <w:i/>
          <w:spacing w:val="-3"/>
          <w:szCs w:val="16"/>
        </w:rPr>
        <w:t xml:space="preserve"> </w:t>
      </w:r>
      <w:r w:rsidRPr="00866D96">
        <w:rPr>
          <w:rFonts w:cs="Arial"/>
          <w:i/>
          <w:spacing w:val="-1"/>
          <w:szCs w:val="16"/>
        </w:rPr>
        <w:t>Energy</w:t>
      </w:r>
      <w:r w:rsidRPr="00866D96">
        <w:rPr>
          <w:rFonts w:cs="Arial"/>
          <w:i/>
          <w:spacing w:val="-2"/>
          <w:szCs w:val="16"/>
        </w:rPr>
        <w:t xml:space="preserve"> </w:t>
      </w:r>
      <w:r w:rsidRPr="00866D96">
        <w:rPr>
          <w:rFonts w:cs="Arial"/>
          <w:i/>
          <w:spacing w:val="-1"/>
          <w:szCs w:val="16"/>
        </w:rPr>
        <w:t>Strategy</w:t>
      </w:r>
      <w:r w:rsidRPr="00866D96">
        <w:rPr>
          <w:rFonts w:cs="Arial"/>
          <w:i/>
          <w:spacing w:val="-4"/>
          <w:szCs w:val="16"/>
        </w:rPr>
        <w:t xml:space="preserve"> </w:t>
      </w:r>
      <w:r w:rsidRPr="00866D96">
        <w:rPr>
          <w:rFonts w:cs="Arial"/>
          <w:i/>
          <w:szCs w:val="16"/>
        </w:rPr>
        <w:t>(2009),</w:t>
      </w:r>
      <w:r w:rsidRPr="00866D96">
        <w:rPr>
          <w:rFonts w:cs="Arial"/>
          <w:i/>
          <w:spacing w:val="-3"/>
          <w:szCs w:val="16"/>
        </w:rPr>
        <w:t xml:space="preserve"> </w:t>
      </w:r>
      <w:r w:rsidRPr="00866D96">
        <w:rPr>
          <w:rFonts w:cs="Arial"/>
          <w:i/>
          <w:spacing w:val="-1"/>
          <w:szCs w:val="16"/>
        </w:rPr>
        <w:t>Matthew</w:t>
      </w:r>
      <w:r w:rsidRPr="00866D96">
        <w:rPr>
          <w:rFonts w:cs="Arial"/>
          <w:i/>
          <w:spacing w:val="-2"/>
          <w:szCs w:val="16"/>
        </w:rPr>
        <w:t xml:space="preserve"> </w:t>
      </w:r>
      <w:r w:rsidRPr="00866D96">
        <w:rPr>
          <w:rFonts w:cs="Arial"/>
          <w:i/>
          <w:spacing w:val="-1"/>
          <w:szCs w:val="16"/>
        </w:rPr>
        <w:t>Owen</w:t>
      </w:r>
      <w:r w:rsidRPr="00866D96">
        <w:rPr>
          <w:rFonts w:cs="Arial"/>
          <w:i/>
          <w:spacing w:val="-2"/>
          <w:szCs w:val="16"/>
        </w:rPr>
        <w:t xml:space="preserve"> </w:t>
      </w:r>
      <w:r w:rsidRPr="00866D96">
        <w:rPr>
          <w:rFonts w:cs="Arial"/>
          <w:i/>
          <w:szCs w:val="16"/>
        </w:rPr>
        <w:t>et</w:t>
      </w:r>
      <w:r w:rsidRPr="00866D96">
        <w:rPr>
          <w:rFonts w:cs="Arial"/>
          <w:i/>
          <w:spacing w:val="2"/>
          <w:szCs w:val="16"/>
        </w:rPr>
        <w:t xml:space="preserve"> </w:t>
      </w:r>
      <w:r w:rsidRPr="00866D96">
        <w:rPr>
          <w:rFonts w:cs="Arial"/>
          <w:i/>
          <w:spacing w:val="-1"/>
          <w:szCs w:val="16"/>
        </w:rPr>
        <w:t>al.</w:t>
      </w:r>
    </w:p>
  </w:footnote>
  <w:footnote w:id="11">
    <w:p w14:paraId="6E399693"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GoM, 2003.</w:t>
      </w:r>
      <w:r w:rsidRPr="006122EE">
        <w:rPr>
          <w:rFonts w:cs="Arial"/>
          <w:szCs w:val="16"/>
        </w:rPr>
        <w:tab/>
      </w:r>
      <w:r w:rsidRPr="006122EE">
        <w:rPr>
          <w:rFonts w:cs="Arial"/>
          <w:szCs w:val="16"/>
        </w:rPr>
        <w:tab/>
      </w:r>
      <w:r w:rsidRPr="006122EE">
        <w:rPr>
          <w:rFonts w:cs="Arial"/>
          <w:szCs w:val="16"/>
        </w:rPr>
        <w:tab/>
      </w:r>
      <w:r w:rsidRPr="006122EE">
        <w:rPr>
          <w:rFonts w:cs="Arial"/>
          <w:szCs w:val="16"/>
        </w:rPr>
        <w:tab/>
      </w:r>
      <w:r w:rsidRPr="006122EE">
        <w:rPr>
          <w:rFonts w:cs="Arial"/>
          <w:szCs w:val="16"/>
        </w:rPr>
        <w:tab/>
        <w:t>Source: Adapted from Openshaw (2008)</w:t>
      </w:r>
    </w:p>
  </w:footnote>
  <w:footnote w:id="12">
    <w:p w14:paraId="32526B75" w14:textId="77777777" w:rsidR="00B7022D" w:rsidRPr="006122EE" w:rsidRDefault="00B7022D" w:rsidP="00AA182C">
      <w:pPr>
        <w:pStyle w:val="FootnoteText"/>
        <w:rPr>
          <w:rFonts w:cs="Arial"/>
          <w:szCs w:val="16"/>
          <w:lang w:val="en-US"/>
        </w:rPr>
      </w:pPr>
      <w:r w:rsidRPr="006122EE">
        <w:rPr>
          <w:rStyle w:val="FootnoteReference"/>
          <w:rFonts w:cs="Arial"/>
          <w:szCs w:val="16"/>
        </w:rPr>
        <w:footnoteRef/>
      </w:r>
      <w:r w:rsidRPr="006122EE">
        <w:rPr>
          <w:rFonts w:cs="Arial"/>
          <w:szCs w:val="16"/>
        </w:rPr>
        <w:t xml:space="preserve"> Kambewa, P. and Chiwaula, L.,(2010), “</w:t>
      </w:r>
      <w:r w:rsidRPr="006122EE">
        <w:rPr>
          <w:rFonts w:cs="Arial"/>
          <w:i/>
          <w:szCs w:val="16"/>
        </w:rPr>
        <w:t>Biomass energy use in Malawi</w:t>
      </w:r>
      <w:r w:rsidRPr="006122EE">
        <w:rPr>
          <w:rFonts w:cs="Arial"/>
          <w:szCs w:val="16"/>
        </w:rPr>
        <w:t>,” A background paper prepared for the  International Institute for Environment and Development (IIED) for an international workshop on biomass energy, 19-21 October 2010, Parliament House Hotel, Edinburgh</w:t>
      </w:r>
      <w:r w:rsidRPr="00866D96">
        <w:rPr>
          <w:rFonts w:cs="Arial"/>
          <w:szCs w:val="16"/>
        </w:rPr>
        <w:t>.</w:t>
      </w:r>
    </w:p>
  </w:footnote>
  <w:footnote w:id="13">
    <w:p w14:paraId="1EF12A44" w14:textId="77777777" w:rsidR="00B7022D" w:rsidRPr="006122EE" w:rsidRDefault="00B7022D" w:rsidP="00AA182C">
      <w:pPr>
        <w:pStyle w:val="FootnoteText"/>
        <w:rPr>
          <w:rFonts w:cs="Arial"/>
          <w:szCs w:val="16"/>
          <w:lang w:val="en-US"/>
        </w:rPr>
      </w:pPr>
      <w:r w:rsidRPr="006122EE">
        <w:rPr>
          <w:rStyle w:val="FootnoteReference"/>
          <w:rFonts w:cs="Arial"/>
          <w:szCs w:val="16"/>
        </w:rPr>
        <w:footnoteRef/>
      </w:r>
      <w:r w:rsidRPr="006122EE">
        <w:rPr>
          <w:rFonts w:cs="Arial"/>
          <w:szCs w:val="16"/>
        </w:rPr>
        <w:t xml:space="preserve"> Traditional firewood and charcoal, sourced from forests unsustainably in most of the times </w:t>
      </w:r>
    </w:p>
  </w:footnote>
  <w:footnote w:id="14">
    <w:p w14:paraId="24EF467A" w14:textId="77777777" w:rsidR="00B7022D" w:rsidRPr="006122EE" w:rsidRDefault="00B7022D" w:rsidP="00AA182C">
      <w:pPr>
        <w:pStyle w:val="FootnoteText"/>
        <w:rPr>
          <w:rFonts w:cs="Arial"/>
          <w:szCs w:val="16"/>
          <w:lang w:val="en-US"/>
        </w:rPr>
      </w:pPr>
      <w:r w:rsidRPr="006122EE">
        <w:rPr>
          <w:rStyle w:val="FootnoteReference"/>
          <w:rFonts w:cs="Arial"/>
          <w:szCs w:val="16"/>
        </w:rPr>
        <w:footnoteRef/>
      </w:r>
      <w:r w:rsidRPr="006122EE">
        <w:rPr>
          <w:rFonts w:cs="Arial"/>
          <w:szCs w:val="16"/>
        </w:rPr>
        <w:t xml:space="preserve"> According to National </w:t>
      </w:r>
      <w:r w:rsidRPr="006122EE">
        <w:rPr>
          <w:rFonts w:cs="Arial"/>
          <w:szCs w:val="16"/>
          <w:lang w:val="en-US"/>
        </w:rPr>
        <w:t>Energy Policy (2003), page 58, commercial energy include</w:t>
      </w:r>
      <w:r>
        <w:rPr>
          <w:rFonts w:cs="Arial"/>
          <w:szCs w:val="16"/>
          <w:lang w:val="en-US"/>
        </w:rPr>
        <w:t>s</w:t>
      </w:r>
      <w:r w:rsidRPr="006122EE">
        <w:rPr>
          <w:rFonts w:cs="Arial"/>
          <w:szCs w:val="16"/>
          <w:lang w:val="en-US"/>
        </w:rPr>
        <w:t xml:space="preserve"> liquid fuels, electricity and coal. </w:t>
      </w:r>
    </w:p>
  </w:footnote>
  <w:footnote w:id="15">
    <w:p w14:paraId="0A6F6CA6"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Business Opportunities in the Malawi Power Sector, Spring 2015,</w:t>
      </w:r>
    </w:p>
  </w:footnote>
  <w:footnote w:id="16">
    <w:p w14:paraId="6FA7C3DD" w14:textId="77777777" w:rsidR="00B7022D" w:rsidRPr="006122EE" w:rsidRDefault="00B7022D" w:rsidP="00EA598D">
      <w:pPr>
        <w:pStyle w:val="FootnoteText"/>
        <w:rPr>
          <w:rFonts w:cs="Arial"/>
          <w:szCs w:val="16"/>
          <w:lang w:val="en-US"/>
        </w:rPr>
      </w:pPr>
      <w:r w:rsidRPr="006122EE">
        <w:rPr>
          <w:rStyle w:val="FootnoteReference"/>
          <w:rFonts w:cs="Arial"/>
          <w:szCs w:val="16"/>
        </w:rPr>
        <w:footnoteRef/>
      </w:r>
      <w:r w:rsidRPr="006122EE">
        <w:rPr>
          <w:rFonts w:cs="Arial"/>
          <w:szCs w:val="16"/>
        </w:rPr>
        <w:t xml:space="preserve"> Malawi’s Mini </w:t>
      </w:r>
      <w:r w:rsidRPr="006122EE">
        <w:rPr>
          <w:rFonts w:cs="Arial"/>
          <w:szCs w:val="16"/>
          <w:lang w:val="en-US"/>
        </w:rPr>
        <w:t xml:space="preserve">Integrated Resource Plan, 2016-2020 </w:t>
      </w:r>
    </w:p>
  </w:footnote>
  <w:footnote w:id="17">
    <w:p w14:paraId="1211F1E5" w14:textId="77777777" w:rsidR="00B7022D" w:rsidRPr="006122EE" w:rsidRDefault="00B7022D" w:rsidP="00EA598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 xml:space="preserve">MERA </w:t>
      </w:r>
    </w:p>
  </w:footnote>
  <w:footnote w:id="18">
    <w:p w14:paraId="5579945D" w14:textId="77777777" w:rsidR="00B7022D" w:rsidRPr="006122EE" w:rsidRDefault="00B7022D" w:rsidP="00AA182C">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Lapukeni, P. G. (Controller of Policy and Planning, Ministry of Energy), 2013. Status of Energy Policy in Malawi. Powerpoint presentation at JICA International Centre, Tokyo, Japan, 2</w:t>
      </w:r>
      <w:r w:rsidRPr="006122EE">
        <w:rPr>
          <w:rFonts w:cs="Arial"/>
          <w:szCs w:val="16"/>
          <w:vertAlign w:val="superscript"/>
          <w:lang w:val="en-US"/>
        </w:rPr>
        <w:t>nd</w:t>
      </w:r>
      <w:r w:rsidRPr="006122EE">
        <w:rPr>
          <w:rFonts w:cs="Arial"/>
          <w:szCs w:val="16"/>
          <w:lang w:val="en-US"/>
        </w:rPr>
        <w:t xml:space="preserve"> to 22</w:t>
      </w:r>
      <w:r w:rsidRPr="006122EE">
        <w:rPr>
          <w:rFonts w:cs="Arial"/>
          <w:szCs w:val="16"/>
          <w:vertAlign w:val="superscript"/>
          <w:lang w:val="en-US"/>
        </w:rPr>
        <w:t>nd</w:t>
      </w:r>
      <w:r w:rsidRPr="006122EE">
        <w:rPr>
          <w:rFonts w:cs="Arial"/>
          <w:szCs w:val="16"/>
          <w:lang w:val="en-US"/>
        </w:rPr>
        <w:t xml:space="preserve"> June 2013. Available </w:t>
      </w:r>
      <w:hyperlink r:id="rId2" w:history="1">
        <w:r w:rsidRPr="006122EE">
          <w:rPr>
            <w:rStyle w:val="Hyperlink"/>
            <w:rFonts w:cs="Arial"/>
            <w:szCs w:val="16"/>
            <w:lang w:val="en-US"/>
          </w:rPr>
          <w:t>https://eneken.ieej.or.jp/data/5006.pdf</w:t>
        </w:r>
      </w:hyperlink>
    </w:p>
  </w:footnote>
  <w:footnote w:id="19">
    <w:p w14:paraId="343D9A23" w14:textId="77777777" w:rsidR="00B7022D" w:rsidRPr="006122EE" w:rsidRDefault="00B7022D" w:rsidP="009D7616">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National Energy Policy, 2013</w:t>
      </w:r>
    </w:p>
  </w:footnote>
  <w:footnote w:id="20">
    <w:p w14:paraId="3A4F0F33"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Graph was generated from fuel import data in Annual Economic Report - 2014</w:t>
      </w:r>
    </w:p>
  </w:footnote>
  <w:footnote w:id="21">
    <w:p w14:paraId="0606F33E"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Graph and trend line equation for projection were generated from fuel import data in Annual Economic Report - 2015</w:t>
      </w:r>
    </w:p>
  </w:footnote>
  <w:footnote w:id="22">
    <w:p w14:paraId="53AE5196"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National Statistical Office (NSO):  at www.nsomalawi.mw/publications/134-population projections …..</w:t>
      </w:r>
    </w:p>
  </w:footnote>
  <w:footnote w:id="23">
    <w:p w14:paraId="617CCCF2"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w:t>
      </w:r>
      <w:r w:rsidRPr="006122EE">
        <w:rPr>
          <w:rFonts w:cs="Arial"/>
          <w:szCs w:val="16"/>
          <w:lang w:val="en-ZW"/>
        </w:rPr>
        <w:t>National Energy Policy</w:t>
      </w:r>
    </w:p>
  </w:footnote>
  <w:footnote w:id="24">
    <w:p w14:paraId="0BCF3782" w14:textId="77777777" w:rsidR="00B7022D" w:rsidRPr="006122EE" w:rsidRDefault="00B7022D" w:rsidP="00B22AC9">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Draft BEST, 2009</w:t>
      </w:r>
    </w:p>
  </w:footnote>
  <w:footnote w:id="25">
    <w:p w14:paraId="279136AB" w14:textId="77777777" w:rsidR="00B7022D" w:rsidRPr="006122EE" w:rsidRDefault="00B7022D" w:rsidP="00B22AC9">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CooK Stove Road Map, 2015</w:t>
      </w:r>
    </w:p>
  </w:footnote>
  <w:footnote w:id="26">
    <w:p w14:paraId="08EAF9B1"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Estimated Based on Current Electricity Domestic Customers</w:t>
      </w:r>
    </w:p>
  </w:footnote>
  <w:footnote w:id="27">
    <w:p w14:paraId="3979BE4A"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Estimated Based on Current Electricity Domestic Customers</w:t>
      </w:r>
    </w:p>
  </w:footnote>
  <w:footnote w:id="28">
    <w:p w14:paraId="0E85DF33"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Estimated Based on the Cook Stove Road Map</w:t>
      </w:r>
    </w:p>
  </w:footnote>
  <w:footnote w:id="29">
    <w:p w14:paraId="40D0517D" w14:textId="77777777" w:rsidR="00B7022D" w:rsidRPr="006122EE" w:rsidRDefault="00B7022D" w:rsidP="00804890">
      <w:pPr>
        <w:pStyle w:val="FootnoteText"/>
        <w:rPr>
          <w:rFonts w:cs="Arial"/>
          <w:szCs w:val="16"/>
        </w:rPr>
      </w:pPr>
      <w:r w:rsidRPr="006122EE">
        <w:rPr>
          <w:rStyle w:val="FootnoteReference"/>
          <w:rFonts w:cs="Arial"/>
          <w:szCs w:val="16"/>
        </w:rPr>
        <w:footnoteRef/>
      </w:r>
      <w:r w:rsidRPr="006122EE">
        <w:rPr>
          <w:rFonts w:cs="Arial"/>
          <w:szCs w:val="16"/>
        </w:rPr>
        <w:t xml:space="preserve"> MERA</w:t>
      </w:r>
    </w:p>
  </w:footnote>
  <w:footnote w:id="30">
    <w:p w14:paraId="12D2F776" w14:textId="77777777" w:rsidR="00B7022D" w:rsidRPr="006122EE" w:rsidRDefault="00B7022D" w:rsidP="00160EA6">
      <w:pPr>
        <w:pStyle w:val="FootnoteText"/>
        <w:rPr>
          <w:rFonts w:cs="Arial"/>
          <w:szCs w:val="16"/>
        </w:rPr>
      </w:pPr>
      <w:r w:rsidRPr="006122EE">
        <w:rPr>
          <w:rStyle w:val="FootnoteReference"/>
          <w:rFonts w:cs="Arial"/>
          <w:szCs w:val="16"/>
        </w:rPr>
        <w:footnoteRef/>
      </w:r>
      <w:r w:rsidRPr="006122EE">
        <w:rPr>
          <w:rFonts w:cs="Arial"/>
          <w:szCs w:val="16"/>
        </w:rPr>
        <w:t xml:space="preserve"> Regional Electricity Regulators of Southern Africa Meeting-Blantyre –September 2015</w:t>
      </w:r>
    </w:p>
  </w:footnote>
  <w:footnote w:id="31">
    <w:p w14:paraId="426C358C"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MERA, 2015</w:t>
      </w:r>
    </w:p>
  </w:footnote>
  <w:footnote w:id="32">
    <w:p w14:paraId="4C4F00DE" w14:textId="77777777" w:rsidR="00B7022D" w:rsidRPr="006122EE" w:rsidRDefault="00B7022D" w:rsidP="0060714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ESCOM, April 2016</w:t>
      </w:r>
    </w:p>
  </w:footnote>
  <w:footnote w:id="33">
    <w:p w14:paraId="0DE129A8" w14:textId="77777777" w:rsidR="00B7022D" w:rsidRPr="006122EE"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Adapted from IHS 3 (NSO,2011), page 124. </w:t>
      </w:r>
      <w:r w:rsidRPr="006122EE">
        <w:rPr>
          <w:rFonts w:cs="Arial"/>
          <w:szCs w:val="16"/>
          <w:lang w:val="en-US"/>
        </w:rPr>
        <w:t>Access rates are based on the Integrated Household Surveys (HIS) . HIS-2 was published in 2005, and HIS-3 was published in 2012.</w:t>
      </w:r>
    </w:p>
  </w:footnote>
  <w:footnote w:id="34">
    <w:p w14:paraId="1207BFD1" w14:textId="77777777" w:rsidR="00B7022D" w:rsidRPr="006122EE" w:rsidRDefault="00B7022D" w:rsidP="00DC269F">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Integrated Resource Plan, 2015</w:t>
      </w:r>
    </w:p>
  </w:footnote>
  <w:footnote w:id="35">
    <w:p w14:paraId="4E5667BA" w14:textId="77777777" w:rsidR="00B7022D" w:rsidRPr="006122EE" w:rsidRDefault="00B7022D" w:rsidP="00DC269F">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 xml:space="preserve">ESCOM KPI </w:t>
      </w:r>
    </w:p>
  </w:footnote>
  <w:footnote w:id="36">
    <w:p w14:paraId="63D62A40"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Malawi Energy Policy, 2003</w:t>
      </w:r>
    </w:p>
  </w:footnote>
  <w:footnote w:id="37">
    <w:p w14:paraId="2A1FD7BB" w14:textId="77777777" w:rsidR="00B7022D" w:rsidRPr="007313EC" w:rsidRDefault="00B7022D" w:rsidP="007313EC">
      <w:pPr>
        <w:pStyle w:val="FootnoteText"/>
        <w:rPr>
          <w:lang w:val="en-US"/>
        </w:rPr>
      </w:pPr>
      <w:r>
        <w:rPr>
          <w:rStyle w:val="FootnoteReference"/>
        </w:rPr>
        <w:footnoteRef/>
      </w:r>
      <w:r>
        <w:t xml:space="preserve"> </w:t>
      </w:r>
      <w:r>
        <w:rPr>
          <w:lang w:val="en-US"/>
        </w:rPr>
        <w:t>This is the number of people to be served by mini-grids which would involve about 90 mini-grids by 2030.</w:t>
      </w:r>
    </w:p>
  </w:footnote>
  <w:footnote w:id="38">
    <w:p w14:paraId="22A3EBCA" w14:textId="77777777" w:rsidR="00B7022D" w:rsidRPr="00866D96" w:rsidRDefault="00B7022D" w:rsidP="003642B1">
      <w:pPr>
        <w:rPr>
          <w:rFonts w:cs="Arial"/>
          <w:sz w:val="16"/>
          <w:szCs w:val="16"/>
        </w:rPr>
      </w:pPr>
      <w:r w:rsidRPr="00866D96">
        <w:rPr>
          <w:rStyle w:val="FootnoteReference"/>
          <w:rFonts w:cs="Arial"/>
          <w:sz w:val="16"/>
          <w:szCs w:val="16"/>
        </w:rPr>
        <w:footnoteRef/>
      </w:r>
      <w:r w:rsidRPr="00866D96">
        <w:rPr>
          <w:rFonts w:cs="Arial"/>
          <w:sz w:val="16"/>
          <w:szCs w:val="16"/>
        </w:rPr>
        <w:t xml:space="preserve"> Solar Resource Mapping in Malawi: Solar Modelling Report, Energy Sector Management Assistance Program, World Bank, March 2015</w:t>
      </w:r>
    </w:p>
    <w:p w14:paraId="05996978" w14:textId="77777777" w:rsidR="00B7022D" w:rsidRPr="006122EE" w:rsidRDefault="00B7022D">
      <w:pPr>
        <w:pStyle w:val="FootnoteText"/>
        <w:rPr>
          <w:rFonts w:cs="Arial"/>
          <w:szCs w:val="16"/>
          <w:lang w:val="en-US"/>
        </w:rPr>
      </w:pPr>
    </w:p>
  </w:footnote>
  <w:footnote w:id="39">
    <w:p w14:paraId="696FE633" w14:textId="77777777" w:rsidR="00B7022D" w:rsidRPr="006122EE" w:rsidRDefault="00B7022D" w:rsidP="0045533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World Small Hydropower Development Report 2013 – Eastern Africa, UNIDO and International Center on Small Hydro Power, www.smallhydroworld.org</w:t>
      </w:r>
    </w:p>
  </w:footnote>
  <w:footnote w:id="40">
    <w:p w14:paraId="04DF28EB" w14:textId="77777777" w:rsidR="00B7022D" w:rsidRPr="00866D96"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Draft Malawi Renewable Energy Strategy, February 2017, p. 19.</w:t>
      </w:r>
    </w:p>
  </w:footnote>
  <w:footnote w:id="41">
    <w:p w14:paraId="0031728D" w14:textId="77777777" w:rsidR="00B7022D" w:rsidRPr="006122EE" w:rsidRDefault="00B7022D" w:rsidP="0045533D">
      <w:pPr>
        <w:pStyle w:val="FootnoteText"/>
        <w:rPr>
          <w:rFonts w:cs="Arial"/>
          <w:szCs w:val="16"/>
        </w:rPr>
      </w:pPr>
      <w:r w:rsidRPr="006122EE">
        <w:rPr>
          <w:rStyle w:val="FootnoteReference"/>
          <w:rFonts w:cs="Arial"/>
          <w:szCs w:val="16"/>
        </w:rPr>
        <w:footnoteRef/>
      </w:r>
      <w:r w:rsidRPr="006122EE">
        <w:rPr>
          <w:rFonts w:cs="Arial"/>
          <w:szCs w:val="16"/>
        </w:rPr>
        <w:t xml:space="preserve"> “Energy Supply Options &amp; Technologies Recommendations,” PWC, 2015, p. 5.</w:t>
      </w:r>
    </w:p>
  </w:footnote>
  <w:footnote w:id="42">
    <w:p w14:paraId="04044106" w14:textId="77777777" w:rsidR="00B7022D" w:rsidRPr="006122EE"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“Energy System Analysis of 100% Renewable Energy Systems – The Case of Denmark in Years 2030 and 2050,” 4</w:t>
      </w:r>
      <w:r w:rsidRPr="006122EE">
        <w:rPr>
          <w:rFonts w:cs="Arial"/>
          <w:szCs w:val="16"/>
          <w:vertAlign w:val="superscript"/>
          <w:lang w:val="en-US"/>
        </w:rPr>
        <w:t>th</w:t>
      </w:r>
      <w:r w:rsidRPr="006122EE">
        <w:rPr>
          <w:rFonts w:cs="Arial"/>
          <w:szCs w:val="16"/>
          <w:lang w:val="en-US"/>
        </w:rPr>
        <w:t xml:space="preserve"> Dubrovnik Conference, 2009 </w:t>
      </w:r>
      <w:hyperlink r:id="rId3" w:history="1">
        <w:r w:rsidRPr="006122EE">
          <w:rPr>
            <w:rStyle w:val="Hyperlink"/>
            <w:rFonts w:cs="Arial"/>
            <w:szCs w:val="16"/>
            <w:lang w:val="en-US"/>
          </w:rPr>
          <w:t>http://www.sciencedirect.com/science/article/pii/S0360544208000959</w:t>
        </w:r>
      </w:hyperlink>
      <w:r w:rsidRPr="006122EE">
        <w:rPr>
          <w:rFonts w:cs="Arial"/>
          <w:szCs w:val="16"/>
          <w:lang w:val="en-US"/>
        </w:rPr>
        <w:t xml:space="preserve">; </w:t>
      </w:r>
    </w:p>
  </w:footnote>
  <w:footnote w:id="43">
    <w:p w14:paraId="323F46B1" w14:textId="77777777" w:rsidR="00B7022D" w:rsidRPr="006122EE" w:rsidRDefault="00B7022D" w:rsidP="00E66521">
      <w:pPr>
        <w:pStyle w:val="FootnoteText"/>
        <w:jc w:val="lef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“How To Achieve 100% RES Electricity Supply for Portugal, 5</w:t>
      </w:r>
      <w:r w:rsidRPr="006122EE">
        <w:rPr>
          <w:rFonts w:cs="Arial"/>
          <w:szCs w:val="16"/>
          <w:vertAlign w:val="superscript"/>
          <w:lang w:val="en-US"/>
        </w:rPr>
        <w:t>th</w:t>
      </w:r>
      <w:r w:rsidRPr="006122EE">
        <w:rPr>
          <w:rFonts w:cs="Arial"/>
          <w:szCs w:val="16"/>
          <w:lang w:val="en-US"/>
        </w:rPr>
        <w:t xml:space="preserve"> Dubrovnik Conferences, 2011 http://www.sciencedirect.com/science/article/pii/S0306261910003703</w:t>
      </w:r>
    </w:p>
  </w:footnote>
  <w:footnote w:id="44">
    <w:p w14:paraId="4087CF66" w14:textId="77777777" w:rsidR="00B7022D" w:rsidRPr="006122EE" w:rsidRDefault="00B7022D" w:rsidP="0080540C">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 xml:space="preserve">“Can Renewables Provide Baseload Power?” Skeptical Science, </w:t>
      </w:r>
      <w:hyperlink r:id="rId4" w:history="1">
        <w:r w:rsidRPr="006122EE">
          <w:rPr>
            <w:rStyle w:val="Hyperlink"/>
            <w:rFonts w:cs="Arial"/>
            <w:szCs w:val="16"/>
            <w:lang w:val="en-US"/>
          </w:rPr>
          <w:t>http://www.skepticalscience.com/print.php?r=374</w:t>
        </w:r>
      </w:hyperlink>
      <w:r w:rsidRPr="006122EE">
        <w:rPr>
          <w:rFonts w:cs="Arial"/>
          <w:szCs w:val="16"/>
          <w:lang w:val="en-US"/>
        </w:rPr>
        <w:t xml:space="preserve"> </w:t>
      </w:r>
    </w:p>
  </w:footnote>
  <w:footnote w:id="45">
    <w:p w14:paraId="352C6092"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Ministry of Natural Resources, Energy and Mining, Press Release, November 26, 2015</w:t>
      </w:r>
    </w:p>
  </w:footnote>
  <w:footnote w:id="46">
    <w:p w14:paraId="0281A167" w14:textId="77777777" w:rsidR="00B7022D" w:rsidRPr="00866D96"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Malawi Grid Capacity Study, Final Report, Mott MacDonald, </w:t>
      </w:r>
      <w:r w:rsidRPr="006122EE">
        <w:rPr>
          <w:rFonts w:cs="Arial"/>
          <w:szCs w:val="16"/>
          <w:lang w:val="en-US"/>
        </w:rPr>
        <w:t>July 2016</w:t>
      </w:r>
    </w:p>
  </w:footnote>
  <w:footnote w:id="47">
    <w:p w14:paraId="42199029" w14:textId="77777777" w:rsidR="00B7022D" w:rsidRPr="006122EE" w:rsidRDefault="00B7022D" w:rsidP="0067375A">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Mini Integrated Resource Plan, 2015, p. 28</w:t>
      </w:r>
    </w:p>
  </w:footnote>
  <w:footnote w:id="48">
    <w:p w14:paraId="69BC4106" w14:textId="77777777" w:rsidR="00B7022D" w:rsidRPr="00866D96"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IRENA (2016), </w:t>
      </w:r>
      <w:r w:rsidRPr="00866D96">
        <w:rPr>
          <w:rFonts w:cs="Arial"/>
          <w:i/>
          <w:szCs w:val="16"/>
        </w:rPr>
        <w:t>Solar PV in Africa: Costs and Markets</w:t>
      </w:r>
    </w:p>
  </w:footnote>
  <w:footnote w:id="49">
    <w:p w14:paraId="761762A3"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MERA 2015</w:t>
      </w:r>
    </w:p>
  </w:footnote>
  <w:footnote w:id="50">
    <w:p w14:paraId="7A2FF0C9" w14:textId="77777777" w:rsidR="00B7022D" w:rsidRPr="006122EE" w:rsidRDefault="00B7022D" w:rsidP="00B509D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Malawi Biomass Energy Strategy final report</w:t>
      </w:r>
    </w:p>
  </w:footnote>
  <w:footnote w:id="51">
    <w:p w14:paraId="1C354CAD"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The analysis is based on both quantitative and qualitative data gathered by the project team, given that the data availability in the country is in general limited.</w:t>
      </w:r>
    </w:p>
  </w:footnote>
  <w:footnote w:id="52">
    <w:p w14:paraId="43CB53DA"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Data are available for 2014 (Economic Report 2015): 109 million litres of petrol imported in 2014, which is perfectly flat compared to 2013. For diesel, 160 million litres have been imported, which is comparable to 2007 level. Thus, these figures have not been represented, waiting for confirmation.</w:t>
      </w:r>
    </w:p>
  </w:footnote>
  <w:footnote w:id="53">
    <w:p w14:paraId="6A5CA537"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w:t>
      </w:r>
      <w:r w:rsidRPr="006122EE">
        <w:rPr>
          <w:rFonts w:cs="Arial"/>
          <w:szCs w:val="16"/>
          <w:lang w:eastAsia="fr-FR"/>
        </w:rPr>
        <w:t>2014 Annual Economic Report Full Book</w:t>
      </w:r>
    </w:p>
  </w:footnote>
  <w:footnote w:id="54">
    <w:p w14:paraId="7F3B12B5"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Press Corporation Ltd</w:t>
      </w:r>
    </w:p>
  </w:footnote>
  <w:footnote w:id="55">
    <w:p w14:paraId="1849A0E5" w14:textId="77777777" w:rsidR="00B7022D" w:rsidRPr="006122EE" w:rsidRDefault="00B7022D" w:rsidP="005F27B0">
      <w:pPr>
        <w:pStyle w:val="FootnoteText"/>
        <w:rPr>
          <w:rFonts w:cs="Arial"/>
          <w:szCs w:val="16"/>
        </w:rPr>
      </w:pPr>
      <w:r w:rsidRPr="006122EE">
        <w:rPr>
          <w:rStyle w:val="FootnoteReference"/>
          <w:rFonts w:eastAsia="SimHei" w:cs="Arial"/>
          <w:szCs w:val="16"/>
        </w:rPr>
        <w:footnoteRef/>
      </w:r>
      <w:r w:rsidRPr="006122EE">
        <w:rPr>
          <w:rFonts w:cs="Arial"/>
          <w:szCs w:val="16"/>
        </w:rPr>
        <w:t xml:space="preserve"> The United Nation Development Program UNDP/Malawi - Growing Sustainable Business for Poverty Reduction Program in Malawi: Feasibility Study</w:t>
      </w:r>
      <w:r w:rsidRPr="006122EE">
        <w:rPr>
          <w:rFonts w:cs="Arial"/>
          <w:b/>
          <w:color w:val="810081"/>
          <w:szCs w:val="16"/>
        </w:rPr>
        <w:t xml:space="preserve"> </w:t>
      </w:r>
      <w:r w:rsidRPr="006122EE">
        <w:rPr>
          <w:rFonts w:cs="Arial"/>
          <w:szCs w:val="16"/>
        </w:rPr>
        <w:t>for the use of ethanol as a household cooking fuel in Malawi, 2007</w:t>
      </w:r>
    </w:p>
  </w:footnote>
  <w:footnote w:id="56">
    <w:p w14:paraId="5BAE1D79"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Ethanol fuel mixtures have "E" numbers which describe the percentage of ethanol fuel in the mixture by volume, for example, E85 is 85% anhydrous ethanol and 15% gasoline.</w:t>
      </w:r>
    </w:p>
  </w:footnote>
  <w:footnote w:id="57">
    <w:p w14:paraId="41AD9235"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Taulo J., Gondwe K., Sebitosi A. (2015), Energy supply in Malawi: Options and issues, Journal of Energy in Southern Africa • Vol 26 No 2 • May 2015</w:t>
      </w:r>
    </w:p>
  </w:footnote>
  <w:footnote w:id="58">
    <w:p w14:paraId="3ACEE0A2" w14:textId="77777777" w:rsidR="00B7022D" w:rsidRPr="006122EE" w:rsidRDefault="00B7022D" w:rsidP="005F27B0">
      <w:pPr>
        <w:spacing w:before="20" w:after="20"/>
        <w:contextualSpacing/>
        <w:rPr>
          <w:rFonts w:cs="Arial"/>
          <w:sz w:val="16"/>
          <w:szCs w:val="16"/>
        </w:rPr>
      </w:pPr>
      <w:r w:rsidRPr="006122EE">
        <w:rPr>
          <w:rStyle w:val="FootnoteReference"/>
          <w:rFonts w:eastAsia="SimHei" w:cs="Arial"/>
          <w:sz w:val="16"/>
          <w:szCs w:val="16"/>
        </w:rPr>
        <w:footnoteRef/>
      </w:r>
      <w:r w:rsidRPr="006122EE">
        <w:rPr>
          <w:rFonts w:cs="Arial"/>
          <w:b/>
          <w:bCs/>
          <w:sz w:val="16"/>
          <w:szCs w:val="16"/>
        </w:rPr>
        <w:t xml:space="preserve"> </w:t>
      </w:r>
      <w:r w:rsidRPr="006122EE">
        <w:rPr>
          <w:rStyle w:val="FootnoteTextChar"/>
          <w:rFonts w:cs="Arial"/>
          <w:szCs w:val="16"/>
        </w:rPr>
        <w:t>Malawi Ethanol Programme  (Maethol): Roll Out Programme of Increased Ethanol Use as Vehicle Fuel, 2013</w:t>
      </w:r>
    </w:p>
  </w:footnote>
  <w:footnote w:id="59">
    <w:p w14:paraId="2D8C777A"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w:t>
      </w:r>
      <w:r w:rsidRPr="006122EE">
        <w:rPr>
          <w:rFonts w:cs="Arial"/>
          <w:szCs w:val="16"/>
          <w:lang w:eastAsia="fr-FR"/>
        </w:rPr>
        <w:t>2014 Annual Economic Report Full Book for 1999-2013 and calculations for 2014-2030</w:t>
      </w:r>
    </w:p>
  </w:footnote>
  <w:footnote w:id="60">
    <w:p w14:paraId="00D047E2"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Malawi Government (2014), Annual Economic Report </w:t>
      </w:r>
    </w:p>
  </w:footnote>
  <w:footnote w:id="61">
    <w:p w14:paraId="5162644B"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UNDESA (2012), Shanghai Manual: A Guide for Sustainable Urban Development in the 21st Century</w:t>
      </w:r>
    </w:p>
  </w:footnote>
  <w:footnote w:id="62">
    <w:p w14:paraId="46AE7E1E"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WHO (2014), Global Health Observatory data repository - Registered vehicles Data by country</w:t>
      </w:r>
    </w:p>
  </w:footnote>
  <w:footnote w:id="63">
    <w:p w14:paraId="2F292748" w14:textId="77777777" w:rsidR="00B7022D" w:rsidRPr="006122EE" w:rsidRDefault="00B7022D" w:rsidP="0082018A">
      <w:pPr>
        <w:pStyle w:val="FootnoteText"/>
        <w:rPr>
          <w:rFonts w:cs="Arial"/>
          <w:szCs w:val="16"/>
        </w:rPr>
      </w:pPr>
      <w:r w:rsidRPr="006122EE">
        <w:rPr>
          <w:rStyle w:val="FootnoteReference"/>
          <w:rFonts w:cs="Arial"/>
          <w:szCs w:val="16"/>
        </w:rPr>
        <w:footnoteRef/>
      </w:r>
      <w:r w:rsidRPr="006122EE">
        <w:rPr>
          <w:rFonts w:cs="Arial"/>
          <w:szCs w:val="16"/>
        </w:rPr>
        <w:t xml:space="preserve"> National Statistical Yearbook (2012), Statistical yearbook 2012</w:t>
      </w:r>
    </w:p>
  </w:footnote>
  <w:footnote w:id="64">
    <w:p w14:paraId="58D4BB96"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Christian Thiemann Institute for Transport &amp; Economics Technische Universität Dresden, How Much does Traffic Congestion Increase Fuel Consumption and Emissions? Applying a Fuel Consumption Model to the NGSIM Trajectory Data</w:t>
      </w:r>
    </w:p>
  </w:footnote>
  <w:footnote w:id="65">
    <w:p w14:paraId="742D5FCD"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Available at: </w:t>
      </w:r>
      <w:hyperlink r:id="rId5" w:anchor="system_map" w:history="1">
        <w:r w:rsidRPr="006122EE">
          <w:rPr>
            <w:rStyle w:val="Hyperlink"/>
            <w:rFonts w:cs="Arial"/>
            <w:szCs w:val="16"/>
          </w:rPr>
          <w:t>http://www.rrdc.com/op_malawi_cear.html#system_map</w:t>
        </w:r>
      </w:hyperlink>
      <w:r w:rsidRPr="006122EE">
        <w:rPr>
          <w:rFonts w:cs="Arial"/>
          <w:szCs w:val="16"/>
        </w:rPr>
        <w:t xml:space="preserve"> </w:t>
      </w:r>
    </w:p>
  </w:footnote>
  <w:footnote w:id="66">
    <w:p w14:paraId="0BC13469"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Railroad Development Corporation</w:t>
      </w:r>
    </w:p>
  </w:footnote>
  <w:footnote w:id="67">
    <w:p w14:paraId="0E045A38"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PWC (ongoing), Consultancy services to carry out Malawi energy policy review, Energy Status Report</w:t>
      </w:r>
    </w:p>
  </w:footnote>
  <w:footnote w:id="68">
    <w:p w14:paraId="5805C10D"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Ordinary bicycle, which is fitted with a cushion at the back for the passenger to sit on </w:t>
      </w:r>
    </w:p>
  </w:footnote>
  <w:footnote w:id="69">
    <w:p w14:paraId="6FCBFE17"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Kadaluka M. (2011), MCs Thesis: Thesis Title:</w:t>
      </w:r>
    </w:p>
    <w:p w14:paraId="7FDFA78C" w14:textId="77777777" w:rsidR="00B7022D" w:rsidRPr="006122EE" w:rsidRDefault="00B7022D" w:rsidP="005F27B0">
      <w:pPr>
        <w:pStyle w:val="FootnoteText"/>
        <w:rPr>
          <w:rFonts w:cs="Arial"/>
          <w:szCs w:val="16"/>
        </w:rPr>
      </w:pPr>
      <w:r w:rsidRPr="006122EE">
        <w:rPr>
          <w:rFonts w:cs="Arial"/>
          <w:szCs w:val="16"/>
        </w:rPr>
        <w:t>Formalizing Bicycle Taxi Operations as a Sustainable means of public Transport in Mzuzu City, Malawi. Views from Operators, Users, and local Authorities.</w:t>
      </w:r>
    </w:p>
  </w:footnote>
  <w:footnote w:id="70">
    <w:p w14:paraId="422B94FA"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w:t>
      </w:r>
    </w:p>
  </w:footnote>
  <w:footnote w:id="71">
    <w:p w14:paraId="1CFF230C"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Mutenyo et al (2015) Baseline survey of Uganda’s national average automotive fuel economy</w:t>
      </w:r>
    </w:p>
  </w:footnote>
  <w:footnote w:id="72">
    <w:p w14:paraId="02F0503D"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PWC (ongoing), Consultancy services to carry out Malawi energy policy review, Energy Status Report</w:t>
      </w:r>
    </w:p>
  </w:footnote>
  <w:footnote w:id="73">
    <w:p w14:paraId="5842F592"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Lilongwe City Council (2013), The Urban Structure Plan of Lilongwe City</w:t>
      </w:r>
    </w:p>
  </w:footnote>
  <w:footnote w:id="74">
    <w:p w14:paraId="1BD3D1D6" w14:textId="77777777" w:rsidR="00B7022D" w:rsidRPr="006122EE" w:rsidRDefault="00B7022D" w:rsidP="00113514">
      <w:pPr>
        <w:pStyle w:val="FootnoteText"/>
        <w:rPr>
          <w:rFonts w:cs="Arial"/>
          <w:szCs w:val="16"/>
        </w:rPr>
      </w:pPr>
      <w:r w:rsidRPr="006122EE">
        <w:rPr>
          <w:rStyle w:val="FootnoteReference"/>
          <w:rFonts w:cs="Arial"/>
          <w:szCs w:val="16"/>
        </w:rPr>
        <w:footnoteRef/>
      </w:r>
      <w:r w:rsidRPr="006122EE">
        <w:rPr>
          <w:rFonts w:cs="Arial"/>
          <w:szCs w:val="16"/>
        </w:rPr>
        <w:t xml:space="preserve"> Malawi Ministry of Transport and Public Works and National Transport Master Plan and Implementation Plans, available at: http://ntu.eu/files/manager/jobs/malawi_experts_70mm.pdf</w:t>
      </w:r>
    </w:p>
  </w:footnote>
  <w:footnote w:id="75">
    <w:p w14:paraId="2825C986"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Thomson Reuters Foundation (2013), Malawi tax on second-hand vehicles cuts emissions, government says. </w:t>
      </w:r>
      <w:hyperlink r:id="rId6" w:history="1">
        <w:r w:rsidRPr="006122EE">
          <w:rPr>
            <w:rStyle w:val="Hyperlink"/>
            <w:rFonts w:cs="Arial"/>
            <w:szCs w:val="16"/>
          </w:rPr>
          <w:t>http://news.trust.org//item/20131231164852-v6g3t/?source=shem</w:t>
        </w:r>
      </w:hyperlink>
      <w:r w:rsidRPr="006122EE">
        <w:rPr>
          <w:rFonts w:cs="Arial"/>
          <w:szCs w:val="16"/>
        </w:rPr>
        <w:t xml:space="preserve"> </w:t>
      </w:r>
    </w:p>
  </w:footnote>
  <w:footnote w:id="76">
    <w:p w14:paraId="4CB0D7CB" w14:textId="77777777" w:rsidR="00B7022D" w:rsidRPr="006A55FA" w:rsidRDefault="00B7022D">
      <w:pPr>
        <w:pStyle w:val="FootnoteText"/>
        <w:rPr>
          <w:lang w:val="en-US"/>
        </w:rPr>
      </w:pPr>
      <w:r>
        <w:rPr>
          <w:rStyle w:val="FootnoteReference"/>
        </w:rPr>
        <w:footnoteRef/>
      </w:r>
      <w:r>
        <w:t xml:space="preserve"> </w:t>
      </w:r>
      <w:r>
        <w:rPr>
          <w:lang w:val="en-US"/>
        </w:rPr>
        <w:t>The use of LPG stoves in urban areas will not only displace biomass cook stoves but some amount of electric cook stoves as well. Promotion of LPG cooking thus represents a DSM measure.</w:t>
      </w:r>
    </w:p>
  </w:footnote>
  <w:footnote w:id="77">
    <w:p w14:paraId="375376D7" w14:textId="77777777" w:rsidR="00B7022D" w:rsidRPr="006122EE" w:rsidRDefault="00B7022D" w:rsidP="00FC2919">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Accelerating Access to Electricity in Africa With Off-Grid Solar: Off-Grid Solar Country Briefing – Malawi,” Overseas Development Institute et al. London: Department for International Development, 2015,</w:t>
      </w:r>
    </w:p>
  </w:footnote>
  <w:footnote w:id="78">
    <w:p w14:paraId="1802E5C2" w14:textId="77777777" w:rsidR="00B7022D" w:rsidRPr="006122EE" w:rsidRDefault="00B7022D" w:rsidP="00B34AB2">
      <w:pPr>
        <w:pStyle w:val="FootnoteText"/>
        <w:jc w:val="lef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Mini-grid Policy Toolkit, EU Energy Initiative Partnership Dialogue Facility, Eschborn: 2014 , p. 27. http://www.ren21.net/Portals/0/documents/Resources/MGT/MinigridPolicyToolkit_Sep2014_EN.pdf</w:t>
      </w:r>
    </w:p>
  </w:footnote>
  <w:footnote w:id="79">
    <w:p w14:paraId="4234FA2D" w14:textId="77777777" w:rsidR="00B7022D" w:rsidRPr="00866D96" w:rsidRDefault="00B7022D" w:rsidP="00421393">
      <w:pPr>
        <w:spacing w:before="0" w:after="240" w:line="280" w:lineRule="exact"/>
        <w:ind w:left="720"/>
        <w:contextualSpacing/>
        <w:jc w:val="left"/>
        <w:rPr>
          <w:rFonts w:cs="Arial"/>
          <w:color w:val="000000"/>
          <w:sz w:val="16"/>
          <w:szCs w:val="16"/>
        </w:rPr>
      </w:pPr>
      <w:r w:rsidRPr="00866D96">
        <w:rPr>
          <w:rStyle w:val="FootnoteReference"/>
          <w:rFonts w:cs="Arial"/>
          <w:sz w:val="16"/>
          <w:szCs w:val="16"/>
        </w:rPr>
        <w:footnoteRef/>
      </w:r>
      <w:r w:rsidRPr="00866D96">
        <w:rPr>
          <w:rFonts w:cs="Arial"/>
          <w:sz w:val="16"/>
          <w:szCs w:val="16"/>
        </w:rPr>
        <w:t xml:space="preserve"> </w:t>
      </w:r>
      <w:r w:rsidRPr="00866D96">
        <w:rPr>
          <w:rFonts w:cs="Arial"/>
          <w:sz w:val="16"/>
          <w:szCs w:val="16"/>
          <w:lang w:val="en-US"/>
        </w:rPr>
        <w:t xml:space="preserve">Status of Energy Policy in Malawi, by Patrick Lapukenim Ministry of Energy, presentation at JICA International Centre, Tokyo, June 2013, </w:t>
      </w:r>
      <w:hyperlink r:id="rId7" w:history="1">
        <w:r w:rsidRPr="00866D96">
          <w:rPr>
            <w:rFonts w:cs="Arial"/>
            <w:color w:val="00A1DE" w:themeColor="hyperlink"/>
            <w:sz w:val="16"/>
            <w:szCs w:val="16"/>
            <w:u w:val="single"/>
          </w:rPr>
          <w:t>https://eneken.ieej.or.jp/data/5006.pdf</w:t>
        </w:r>
      </w:hyperlink>
      <w:r w:rsidRPr="00866D96">
        <w:rPr>
          <w:rFonts w:cs="Arial"/>
          <w:color w:val="000000"/>
          <w:sz w:val="16"/>
          <w:szCs w:val="16"/>
        </w:rPr>
        <w:t xml:space="preserve">  </w:t>
      </w:r>
    </w:p>
    <w:p w14:paraId="056E5AC1" w14:textId="77777777" w:rsidR="00B7022D" w:rsidRPr="006122EE" w:rsidRDefault="00B7022D" w:rsidP="00421393">
      <w:pPr>
        <w:pStyle w:val="FootnoteText"/>
        <w:rPr>
          <w:rFonts w:cs="Arial"/>
          <w:szCs w:val="16"/>
          <w:lang w:val="en-US"/>
        </w:rPr>
      </w:pPr>
    </w:p>
  </w:footnote>
  <w:footnote w:id="80">
    <w:p w14:paraId="759C5FBF" w14:textId="77777777" w:rsidR="00B7022D" w:rsidRPr="006122EE"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For off-grid solar home systems, and RE mini-grids, see the Energy Access section.</w:t>
      </w:r>
    </w:p>
  </w:footnote>
  <w:footnote w:id="81">
    <w:p w14:paraId="0B122717" w14:textId="77777777" w:rsidR="00B7022D" w:rsidRPr="006122EE" w:rsidRDefault="00B7022D" w:rsidP="00315EB2">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Cost estimates derived from “Updated Capital Cost Estimates for Utility Scale Electricity Generating Plants,” U.S. Energy Information Administration, April 2013; For small hydro, “Renewable Energy Technologies: Cost Analysis Series – Hydropower,” International Renewable Energy Agency, June 2012; For bagasse cogeneration, “Frequently Asked Questions on Biomass Power Generation,” Ministry of New and Renewable Energy, India.</w:t>
      </w:r>
    </w:p>
  </w:footnote>
  <w:footnote w:id="82">
    <w:p w14:paraId="527244D8" w14:textId="77777777" w:rsidR="00B7022D" w:rsidRPr="006122EE"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World Energy Council definition for National EE Agency</w:t>
      </w:r>
    </w:p>
  </w:footnote>
  <w:footnote w:id="83">
    <w:p w14:paraId="04C7E1BF" w14:textId="77777777" w:rsidR="00B7022D" w:rsidRPr="006122EE" w:rsidRDefault="00B7022D" w:rsidP="00315EB2">
      <w:pPr>
        <w:pStyle w:val="FootnoteText"/>
        <w:rPr>
          <w:rFonts w:cs="Arial"/>
          <w:szCs w:val="16"/>
          <w:lang w:val="en-US"/>
        </w:rPr>
      </w:pPr>
      <w:r w:rsidRPr="006122EE">
        <w:rPr>
          <w:rStyle w:val="FootnoteReference"/>
          <w:rFonts w:cs="Arial"/>
          <w:szCs w:val="16"/>
        </w:rPr>
        <w:footnoteRef/>
      </w:r>
      <w:r w:rsidRPr="006122EE">
        <w:rPr>
          <w:rFonts w:cs="Arial"/>
          <w:szCs w:val="16"/>
        </w:rPr>
        <w:t xml:space="preserve"> USD 30 million is the target initial capitalization of the Fund (blend of Malawi Government equity stake, International agencies grant contributions and International financing institutions loans). Administrative costs for setting up the Fund should be in the range of USD 100,000 – 150,000. </w:t>
      </w:r>
    </w:p>
  </w:footnote>
  <w:footnote w:id="84">
    <w:p w14:paraId="032C169C" w14:textId="77777777" w:rsidR="00B7022D" w:rsidRPr="006122EE" w:rsidRDefault="00B7022D" w:rsidP="00315EB2">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Based on the average rocket barn cost of USD 1 500</w:t>
      </w:r>
    </w:p>
  </w:footnote>
  <w:footnote w:id="85">
    <w:p w14:paraId="4D6C1751" w14:textId="77777777" w:rsidR="00B7022D" w:rsidRPr="006122EE" w:rsidRDefault="00B7022D" w:rsidP="00315EB2">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Assuming an average price of USD 2 per unit throughout the AA period</w:t>
      </w:r>
    </w:p>
  </w:footnote>
  <w:footnote w:id="86">
    <w:p w14:paraId="46C7648E" w14:textId="77777777" w:rsidR="00B7022D" w:rsidRPr="006122EE" w:rsidRDefault="00B7022D" w:rsidP="00315EB2">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Assuming USD 40 average price per pre-paid meter</w:t>
      </w:r>
    </w:p>
  </w:footnote>
  <w:footnote w:id="87">
    <w:p w14:paraId="6A697C2B" w14:textId="77777777" w:rsidR="00B7022D" w:rsidRPr="00866D96" w:rsidRDefault="00B7022D">
      <w:pPr>
        <w:pStyle w:val="FootnoteText"/>
        <w:rPr>
          <w:rFonts w:cs="Arial"/>
          <w:szCs w:val="16"/>
          <w:lang w:val="fr-FR"/>
        </w:rPr>
      </w:pPr>
      <w:r w:rsidRPr="006122EE">
        <w:rPr>
          <w:rStyle w:val="FootnoteReference"/>
          <w:rFonts w:cs="Arial"/>
          <w:szCs w:val="16"/>
        </w:rPr>
        <w:footnoteRef/>
      </w:r>
      <w:r w:rsidRPr="00866D96">
        <w:rPr>
          <w:rFonts w:cs="Arial"/>
          <w:szCs w:val="16"/>
          <w:lang w:val="fr-FR"/>
        </w:rPr>
        <w:t xml:space="preserve"> Source: http://www.nuglobalnrg.com/jatropha_facts_and_figures.html</w:t>
      </w:r>
    </w:p>
  </w:footnote>
  <w:footnote w:id="88">
    <w:p w14:paraId="6BCD5CA1" w14:textId="77777777" w:rsidR="00B7022D" w:rsidRPr="006122EE" w:rsidRDefault="00B7022D" w:rsidP="00866D96">
      <w:pPr>
        <w:pStyle w:val="FootnoteText"/>
        <w:jc w:val="left"/>
        <w:rPr>
          <w:rFonts w:cs="Arial"/>
          <w:szCs w:val="16"/>
        </w:rPr>
      </w:pPr>
      <w:r w:rsidRPr="006122EE">
        <w:rPr>
          <w:rStyle w:val="FootnoteReference"/>
          <w:rFonts w:cs="Arial"/>
          <w:szCs w:val="16"/>
        </w:rPr>
        <w:footnoteRef/>
      </w:r>
      <w:r w:rsidRPr="006122EE">
        <w:rPr>
          <w:rFonts w:cs="Arial"/>
          <w:szCs w:val="16"/>
        </w:rPr>
        <w:t xml:space="preserve"> Source: tables page 9 of the report FEASIBILITY STUDY ON GROWING JATROPHA, LIFE Integrated Water Resources Management and USAID, http://www.mwri.gov.eg/project/report/IWRMI/Report57FeasabiltyStudyonGrowingJATROPHA.pdf</w:t>
      </w:r>
    </w:p>
  </w:footnote>
  <w:footnote w:id="89">
    <w:p w14:paraId="4067729E" w14:textId="77777777" w:rsidR="00B7022D" w:rsidRPr="006122EE" w:rsidRDefault="00B7022D">
      <w:pPr>
        <w:pStyle w:val="FootnoteText"/>
        <w:rPr>
          <w:rFonts w:cs="Arial"/>
          <w:szCs w:val="16"/>
        </w:rPr>
      </w:pPr>
      <w:r w:rsidRPr="006122EE">
        <w:rPr>
          <w:rStyle w:val="FootnoteReference"/>
          <w:rFonts w:cs="Arial"/>
          <w:szCs w:val="16"/>
        </w:rPr>
        <w:footnoteRef/>
      </w:r>
      <w:r w:rsidRPr="006122EE">
        <w:rPr>
          <w:rFonts w:cs="Arial"/>
          <w:szCs w:val="16"/>
        </w:rPr>
        <w:t xml:space="preserve"> Source: Malawi ethanol producers (PressCane and EthCo)</w:t>
      </w:r>
    </w:p>
  </w:footnote>
  <w:footnote w:id="90">
    <w:p w14:paraId="5BA4E10D" w14:textId="77777777" w:rsidR="00B7022D" w:rsidRPr="006122EE" w:rsidRDefault="00B7022D" w:rsidP="004E31E8">
      <w:pPr>
        <w:pStyle w:val="FootnoteText"/>
        <w:rPr>
          <w:rFonts w:cs="Arial"/>
          <w:szCs w:val="16"/>
        </w:rPr>
      </w:pPr>
      <w:r w:rsidRPr="006122EE">
        <w:rPr>
          <w:rStyle w:val="FootnoteReference"/>
          <w:rFonts w:cs="Arial"/>
          <w:szCs w:val="16"/>
        </w:rPr>
        <w:footnoteRef/>
      </w:r>
      <w:r w:rsidRPr="006122EE">
        <w:rPr>
          <w:rFonts w:cs="Arial"/>
          <w:szCs w:val="16"/>
        </w:rPr>
        <w:t xml:space="preserve"> Personal communication with a member of the Transportation Working Group</w:t>
      </w:r>
    </w:p>
  </w:footnote>
  <w:footnote w:id="91">
    <w:p w14:paraId="5F5A9EC4" w14:textId="77777777" w:rsidR="00B7022D" w:rsidRPr="006122EE" w:rsidRDefault="00B7022D" w:rsidP="004E31E8">
      <w:pPr>
        <w:pStyle w:val="FootnoteText"/>
        <w:rPr>
          <w:rFonts w:cs="Arial"/>
          <w:szCs w:val="16"/>
        </w:rPr>
      </w:pPr>
      <w:r w:rsidRPr="006122EE">
        <w:rPr>
          <w:rStyle w:val="FootnoteReference"/>
          <w:rFonts w:cs="Arial"/>
          <w:szCs w:val="16"/>
        </w:rPr>
        <w:footnoteRef/>
      </w:r>
      <w:r w:rsidRPr="006122EE">
        <w:rPr>
          <w:rFonts w:cs="Arial"/>
          <w:szCs w:val="16"/>
        </w:rPr>
        <w:t xml:space="preserve"> The study refers specifically to taxis, but is assumed the same with private vehicles in terms of capacity and environmental impact</w:t>
      </w:r>
    </w:p>
  </w:footnote>
  <w:footnote w:id="92">
    <w:p w14:paraId="3289A663" w14:textId="77777777" w:rsidR="00B7022D" w:rsidRPr="006122EE" w:rsidRDefault="00B7022D" w:rsidP="005F27B0">
      <w:pPr>
        <w:pStyle w:val="FootnoteText"/>
        <w:rPr>
          <w:rFonts w:cs="Arial"/>
          <w:szCs w:val="16"/>
        </w:rPr>
      </w:pPr>
      <w:r w:rsidRPr="006122EE">
        <w:rPr>
          <w:rStyle w:val="FootnoteReference"/>
          <w:rFonts w:cs="Arial"/>
          <w:szCs w:val="16"/>
        </w:rPr>
        <w:footnoteRef/>
      </w:r>
      <w:r w:rsidRPr="006122EE">
        <w:rPr>
          <w:rFonts w:cs="Arial"/>
          <w:szCs w:val="16"/>
        </w:rPr>
        <w:t xml:space="preserve"> An example is provided by Thomson Reuters Foundation (2013): all second-hand vehicles with an engine capacity of up to 1,500 cc and below eight years of age attract a basic import duty of 25 percent on their cost, insurance and freight (CIF) cost, with a further 16.5 percent value added tax (VAT) levied on the sum of the CIF and import duty. Vehicles between 8 and 12 years old with the same engine capacity attract an additional excise duty of 35 percent, levied on the sum of the CIF, VAT and import duty.</w:t>
      </w:r>
    </w:p>
    <w:p w14:paraId="65C0EDFE" w14:textId="77777777" w:rsidR="00B7022D" w:rsidRPr="006122EE" w:rsidRDefault="00B7022D" w:rsidP="005F27B0">
      <w:pPr>
        <w:pStyle w:val="FootnoteText"/>
        <w:rPr>
          <w:rFonts w:cs="Arial"/>
          <w:szCs w:val="16"/>
        </w:rPr>
      </w:pPr>
      <w:r w:rsidRPr="006122EE">
        <w:rPr>
          <w:rFonts w:cs="Arial"/>
          <w:szCs w:val="16"/>
        </w:rPr>
        <w:t>For vehicles over 12 years old, the excise is 50 percent.</w:t>
      </w:r>
    </w:p>
  </w:footnote>
  <w:footnote w:id="93">
    <w:p w14:paraId="357714CC" w14:textId="77777777" w:rsidR="00B7022D" w:rsidRPr="006122EE" w:rsidRDefault="00B7022D" w:rsidP="006A0690">
      <w:pPr>
        <w:pStyle w:val="FootnoteText"/>
        <w:jc w:val="left"/>
        <w:rPr>
          <w:rFonts w:cs="Arial"/>
          <w:szCs w:val="16"/>
        </w:rPr>
      </w:pPr>
      <w:r w:rsidRPr="006122EE">
        <w:rPr>
          <w:rStyle w:val="FootnoteReference"/>
          <w:rFonts w:cs="Arial"/>
          <w:szCs w:val="16"/>
        </w:rPr>
        <w:footnoteRef/>
      </w:r>
      <w:r w:rsidRPr="006122EE">
        <w:rPr>
          <w:rFonts w:cs="Arial"/>
          <w:szCs w:val="16"/>
        </w:rPr>
        <w:t xml:space="preserve"> Based on estimates provided by AfDB (2015) Rail Infrastructure in Africa – Financing Policy Options, available at: </w:t>
      </w:r>
      <w:hyperlink r:id="rId8" w:history="1">
        <w:r w:rsidRPr="006122EE">
          <w:rPr>
            <w:rStyle w:val="Hyperlink"/>
            <w:rFonts w:cs="Arial"/>
            <w:szCs w:val="16"/>
          </w:rPr>
          <w:t>https://www.afdb.org/fileadmin/uploads/afdb/Documents/Events/ATFforum/Rail_Infrastructure_in_Africa_-_Financing_Policy_Options_-_AfDB.pdf</w:t>
        </w:r>
      </w:hyperlink>
      <w:r w:rsidRPr="006122EE">
        <w:rPr>
          <w:rFonts w:cs="Arial"/>
          <w:szCs w:val="16"/>
        </w:rPr>
        <w:t xml:space="preserve"> </w:t>
      </w:r>
    </w:p>
  </w:footnote>
  <w:footnote w:id="94">
    <w:p w14:paraId="3465A2B0" w14:textId="77777777" w:rsidR="00B7022D" w:rsidRPr="006122EE" w:rsidRDefault="00B7022D" w:rsidP="00720443">
      <w:pPr>
        <w:pStyle w:val="FootnoteText"/>
        <w:rPr>
          <w:rFonts w:cs="Arial"/>
          <w:szCs w:val="16"/>
          <w:lang w:val="en-US"/>
        </w:rPr>
      </w:pPr>
      <w:r w:rsidRPr="006122EE">
        <w:rPr>
          <w:rStyle w:val="FootnoteReference"/>
          <w:rFonts w:cs="Arial"/>
          <w:szCs w:val="16"/>
        </w:rPr>
        <w:footnoteRef/>
      </w:r>
      <w:r w:rsidRPr="006122EE">
        <w:rPr>
          <w:rFonts w:cs="Arial"/>
          <w:szCs w:val="16"/>
        </w:rPr>
        <w:t>The Multi-Tier Framework, developed by the World Bank in its role as the SE4All Knowledge Hub, was launched in July 2015 at the Vienna Energy Forum.</w:t>
      </w:r>
    </w:p>
  </w:footnote>
  <w:footnote w:id="95">
    <w:p w14:paraId="3A1F05D7" w14:textId="77777777" w:rsidR="00B7022D" w:rsidRPr="006122EE" w:rsidRDefault="00B7022D" w:rsidP="00DB1210">
      <w:pPr>
        <w:pStyle w:val="FootnoteText"/>
        <w:rPr>
          <w:rFonts w:cs="Arial"/>
          <w:szCs w:val="16"/>
        </w:rPr>
      </w:pPr>
      <w:r w:rsidRPr="006122EE">
        <w:rPr>
          <w:rStyle w:val="FootnoteReference"/>
          <w:rFonts w:cs="Arial"/>
          <w:szCs w:val="16"/>
        </w:rPr>
        <w:footnoteRef/>
      </w:r>
      <w:r w:rsidRPr="006122EE">
        <w:rPr>
          <w:rFonts w:cs="Arial"/>
          <w:szCs w:val="16"/>
        </w:rPr>
        <w:t xml:space="preserve"> </w:t>
      </w:r>
      <w:hyperlink r:id="rId9" w:history="1">
        <w:r w:rsidRPr="006122EE">
          <w:rPr>
            <w:rStyle w:val="Hyperlink"/>
            <w:rFonts w:cs="Arial"/>
            <w:szCs w:val="16"/>
          </w:rPr>
          <w:t>http://www.se4all.org/our-vision/our-objectives/</w:t>
        </w:r>
      </w:hyperlink>
    </w:p>
  </w:footnote>
  <w:footnote w:id="96">
    <w:p w14:paraId="532FE305" w14:textId="77777777" w:rsidR="00B7022D" w:rsidRPr="006122EE" w:rsidRDefault="00B7022D" w:rsidP="00AB3EEF">
      <w:pPr>
        <w:pStyle w:val="FootnoteText"/>
        <w:rPr>
          <w:rFonts w:cs="Arial"/>
          <w:szCs w:val="16"/>
        </w:rPr>
      </w:pPr>
      <w:r w:rsidRPr="006122EE">
        <w:rPr>
          <w:rStyle w:val="FootnoteReference"/>
          <w:rFonts w:cs="Arial"/>
          <w:szCs w:val="16"/>
        </w:rPr>
        <w:footnoteRef/>
      </w:r>
      <w:r w:rsidRPr="006122EE">
        <w:rPr>
          <w:rFonts w:cs="Arial"/>
          <w:szCs w:val="16"/>
        </w:rPr>
        <w:t xml:space="preserve"> Sustainable Energy for All (2014). SE4All Country Action Reference Document.</w:t>
      </w:r>
    </w:p>
  </w:footnote>
  <w:footnote w:id="97">
    <w:p w14:paraId="6F250F74" w14:textId="77777777" w:rsidR="00B7022D" w:rsidRPr="006122EE" w:rsidRDefault="00B7022D" w:rsidP="00DB1210">
      <w:pPr>
        <w:pStyle w:val="FootnoteText"/>
        <w:rPr>
          <w:rFonts w:cs="Arial"/>
          <w:szCs w:val="16"/>
        </w:rPr>
      </w:pPr>
      <w:r w:rsidRPr="006122EE">
        <w:rPr>
          <w:rStyle w:val="FootnoteReference"/>
          <w:rFonts w:cs="Arial"/>
          <w:szCs w:val="16"/>
        </w:rPr>
        <w:footnoteRef/>
      </w:r>
      <w:r w:rsidRPr="006122EE">
        <w:rPr>
          <w:rFonts w:cs="Arial"/>
          <w:szCs w:val="16"/>
        </w:rPr>
        <w:t xml:space="preserve"> Presentation delivered during the Energy Access Committee Meeting on October 1, 2014 in Brussels.</w:t>
      </w:r>
    </w:p>
  </w:footnote>
  <w:footnote w:id="98">
    <w:p w14:paraId="7BCED0C5" w14:textId="77777777" w:rsidR="00B7022D" w:rsidRPr="006122EE" w:rsidRDefault="00B7022D" w:rsidP="00DB1210">
      <w:pPr>
        <w:pStyle w:val="FootnoteText"/>
        <w:rPr>
          <w:rFonts w:cs="Arial"/>
          <w:szCs w:val="16"/>
        </w:rPr>
      </w:pPr>
      <w:r w:rsidRPr="006122EE">
        <w:rPr>
          <w:rStyle w:val="FootnoteReference"/>
          <w:rFonts w:cs="Arial"/>
          <w:szCs w:val="16"/>
        </w:rPr>
        <w:footnoteRef/>
      </w:r>
      <w:r w:rsidRPr="006122EE">
        <w:rPr>
          <w:rFonts w:cs="Arial"/>
          <w:szCs w:val="16"/>
        </w:rPr>
        <w:t xml:space="preserve"> The Sustainable Development Goal (SDG) 7 was adopted end of September in New York. Implementation will be key for Africa.</w:t>
      </w:r>
    </w:p>
  </w:footnote>
  <w:footnote w:id="99">
    <w:p w14:paraId="482C0AAE" w14:textId="77777777" w:rsidR="00B7022D" w:rsidRPr="006122EE" w:rsidRDefault="00B7022D" w:rsidP="0082252C">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Cost estimates derived from “Updated Capital Cost Estimates for Utility Scale Electricity Generating Plants,” U.S. Energy Information Administration, April 2013; For small hydro, “Renewable Energy Technologies: Cost Analysis Series – Hydropower,” International Renewable Energy Agency, June 2012; For bagasse cogeneration, “Frequently Asked Questions on Biomass Power Generation,” Ministry of New and Renewable Energy, India.</w:t>
      </w:r>
    </w:p>
  </w:footnote>
  <w:footnote w:id="100">
    <w:p w14:paraId="5CA28B74" w14:textId="77777777" w:rsidR="00B7022D" w:rsidRPr="006122EE" w:rsidRDefault="00B7022D" w:rsidP="003265BD">
      <w:pPr>
        <w:pStyle w:val="FootnoteText"/>
        <w:rPr>
          <w:rFonts w:cs="Arial"/>
          <w:szCs w:val="16"/>
          <w:lang w:val="en-US"/>
        </w:rPr>
      </w:pPr>
      <w:r w:rsidRPr="006122EE">
        <w:rPr>
          <w:rStyle w:val="FootnoteReference"/>
          <w:rFonts w:cs="Arial"/>
          <w:szCs w:val="16"/>
        </w:rPr>
        <w:footnoteRef/>
      </w:r>
      <w:r w:rsidRPr="006122EE">
        <w:rPr>
          <w:rFonts w:cs="Arial"/>
          <w:szCs w:val="16"/>
        </w:rPr>
        <w:t xml:space="preserve"> USD 30 million is the target initial capitalization of the Fund (blend of Malawi Government equity stake, International agencies grant contributions and International financing institutions loans). Administrative costs for setting up the Fund should be in the range of USD 100,000 – 150,000. </w:t>
      </w:r>
    </w:p>
  </w:footnote>
  <w:footnote w:id="101">
    <w:p w14:paraId="62CCBD9A" w14:textId="77777777" w:rsidR="00B7022D" w:rsidRPr="006122EE" w:rsidRDefault="00B7022D" w:rsidP="003265B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Based on the average rocket barn cost of USD 1 500</w:t>
      </w:r>
    </w:p>
  </w:footnote>
  <w:footnote w:id="102">
    <w:p w14:paraId="63929C54" w14:textId="77777777" w:rsidR="00B7022D" w:rsidRPr="006122EE" w:rsidRDefault="00B7022D" w:rsidP="003265B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Assuming an average price of USD 2 per unit throughout the AA period</w:t>
      </w:r>
    </w:p>
  </w:footnote>
  <w:footnote w:id="103">
    <w:p w14:paraId="0A842520" w14:textId="77777777" w:rsidR="00B7022D" w:rsidRPr="006122EE" w:rsidRDefault="00B7022D">
      <w:pPr>
        <w:pStyle w:val="FootnoteText"/>
        <w:rPr>
          <w:rFonts w:cs="Arial"/>
          <w:szCs w:val="16"/>
          <w:lang w:val="en-US"/>
        </w:rPr>
      </w:pPr>
      <w:r w:rsidRPr="006122EE">
        <w:rPr>
          <w:rStyle w:val="FootnoteReference"/>
          <w:rFonts w:cs="Arial"/>
          <w:szCs w:val="16"/>
        </w:rPr>
        <w:footnoteRef/>
      </w:r>
      <w:r w:rsidRPr="006122EE">
        <w:rPr>
          <w:rFonts w:cs="Arial"/>
          <w:szCs w:val="16"/>
        </w:rPr>
        <w:t xml:space="preserve"> </w:t>
      </w:r>
      <w:r w:rsidRPr="006122EE">
        <w:rPr>
          <w:rFonts w:cs="Arial"/>
          <w:szCs w:val="16"/>
          <w:lang w:val="en-US"/>
        </w:rPr>
        <w:t>Assuming USD 40 average price per pre-paid meter</w:t>
      </w:r>
    </w:p>
  </w:footnote>
  <w:footnote w:id="104">
    <w:p w14:paraId="0A90F19A" w14:textId="77777777" w:rsidR="00B7022D" w:rsidRPr="006122EE" w:rsidRDefault="00B7022D" w:rsidP="00866D96">
      <w:pPr>
        <w:pStyle w:val="FootnoteText"/>
        <w:jc w:val="left"/>
        <w:rPr>
          <w:rFonts w:cs="Arial"/>
          <w:szCs w:val="16"/>
        </w:rPr>
      </w:pPr>
      <w:r w:rsidRPr="006122EE">
        <w:rPr>
          <w:rStyle w:val="FootnoteReference"/>
          <w:rFonts w:cs="Arial"/>
          <w:szCs w:val="16"/>
        </w:rPr>
        <w:footnoteRef/>
      </w:r>
      <w:r w:rsidRPr="006122EE">
        <w:rPr>
          <w:rFonts w:cs="Arial"/>
          <w:szCs w:val="16"/>
        </w:rPr>
        <w:t xml:space="preserve"> Based on estimates provided by AfDB (2015) Rail Infrastructure in Africa – Financing Policy Options, available at: </w:t>
      </w:r>
      <w:hyperlink r:id="rId10" w:history="1">
        <w:r w:rsidRPr="006122EE">
          <w:rPr>
            <w:rStyle w:val="Hyperlink"/>
            <w:rFonts w:cs="Arial"/>
            <w:szCs w:val="16"/>
          </w:rPr>
          <w:t>https://www.afdb.org/fileadmin/uploads/afdb/Documents/Events/ATFforum/Rail_Infrastructure_in_Africa_-_Financing_Policy_Options_-_AfDB.pdf</w:t>
        </w:r>
      </w:hyperlink>
      <w:r w:rsidRPr="006122EE">
        <w:rPr>
          <w:rFonts w:cs="Arial"/>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1pt;height:6.2pt" o:bullet="t">
        <v:imagedata r:id="rId1" o:title="Bullet_Point_lv1_v2"/>
      </v:shape>
    </w:pict>
  </w:numPicBullet>
  <w:numPicBullet w:numPicBulletId="1">
    <w:pict>
      <v:shape id="_x0000_i1035" type="#_x0000_t75" style="width:50pt;height:50pt" o:bullet="t">
        <v:imagedata r:id="rId2" o:title="quoteG"/>
      </v:shape>
    </w:pict>
  </w:numPicBullet>
  <w:numPicBullet w:numPicBulletId="2">
    <w:pict>
      <v:shape id="_x0000_i1036" type="#_x0000_t75" style="width:8.85pt;height:10.65pt" o:bullet="t">
        <v:imagedata r:id="rId3" o:title="Heading_Bullet_lv1"/>
      </v:shape>
    </w:pict>
  </w:numPicBullet>
  <w:numPicBullet w:numPicBulletId="3">
    <w:pict>
      <v:shape id="_x0000_i1037" type="#_x0000_t75" style="width:8.85pt;height:10.65pt" o:bullet="t">
        <v:imagedata r:id="rId4" o:title="Heading_Bullet_lv2"/>
      </v:shape>
    </w:pict>
  </w:numPicBullet>
  <w:abstractNum w:abstractNumId="0" w15:restartNumberingAfterBreak="0">
    <w:nsid w:val="FFFFFF7C"/>
    <w:multiLevelType w:val="singleLevel"/>
    <w:tmpl w:val="1DE08A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A6FB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C0F544"/>
    <w:lvl w:ilvl="0">
      <w:start w:val="1"/>
      <w:numFmt w:val="decimal"/>
      <w:pStyle w:val="ListNumber3"/>
      <w:lvlText w:val="%1."/>
      <w:lvlJc w:val="left"/>
      <w:pPr>
        <w:tabs>
          <w:tab w:val="num" w:pos="926"/>
        </w:tabs>
        <w:ind w:left="926" w:hanging="360"/>
      </w:pPr>
    </w:lvl>
  </w:abstractNum>
  <w:abstractNum w:abstractNumId="3" w15:restartNumberingAfterBreak="0">
    <w:nsid w:val="FFFFFF83"/>
    <w:multiLevelType w:val="singleLevel"/>
    <w:tmpl w:val="87E25F6E"/>
    <w:lvl w:ilvl="0">
      <w:start w:val="1"/>
      <w:numFmt w:val="bullet"/>
      <w:pStyle w:val="Bulletlevel2"/>
      <w:lvlText w:val=""/>
      <w:lvlJc w:val="left"/>
      <w:pPr>
        <w:tabs>
          <w:tab w:val="num" w:pos="567"/>
        </w:tabs>
        <w:ind w:left="567" w:hanging="283"/>
      </w:pPr>
      <w:rPr>
        <w:rFonts w:ascii="Symbol" w:hAnsi="Symbol" w:hint="default"/>
      </w:rPr>
    </w:lvl>
  </w:abstractNum>
  <w:abstractNum w:abstractNumId="4" w15:restartNumberingAfterBreak="0">
    <w:nsid w:val="FFFFFF88"/>
    <w:multiLevelType w:val="singleLevel"/>
    <w:tmpl w:val="F26EF440"/>
    <w:lvl w:ilvl="0">
      <w:start w:val="1"/>
      <w:numFmt w:val="decimal"/>
      <w:pStyle w:val="ListNumber"/>
      <w:lvlText w:val="%1."/>
      <w:lvlJc w:val="left"/>
      <w:pPr>
        <w:tabs>
          <w:tab w:val="num" w:pos="360"/>
        </w:tabs>
        <w:ind w:left="360" w:hanging="360"/>
      </w:pPr>
    </w:lvl>
  </w:abstractNum>
  <w:abstractNum w:abstractNumId="5" w15:restartNumberingAfterBreak="0">
    <w:nsid w:val="00000006"/>
    <w:multiLevelType w:val="singleLevel"/>
    <w:tmpl w:val="00000006"/>
    <w:name w:val="WW8Num6"/>
    <w:lvl w:ilvl="0">
      <w:numFmt w:val="bullet"/>
      <w:lvlText w:val="-"/>
      <w:lvlJc w:val="left"/>
      <w:pPr>
        <w:tabs>
          <w:tab w:val="num" w:pos="0"/>
        </w:tabs>
        <w:ind w:left="1080" w:hanging="360"/>
      </w:pPr>
      <w:rPr>
        <w:rFonts w:ascii="Times New Roman" w:hAnsi="Times New Roman" w:cs="Symbol"/>
      </w:rPr>
    </w:lvl>
  </w:abstractNum>
  <w:abstractNum w:abstractNumId="6" w15:restartNumberingAfterBreak="0">
    <w:nsid w:val="006308B1"/>
    <w:multiLevelType w:val="hybridMultilevel"/>
    <w:tmpl w:val="1B4CA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2CB5476"/>
    <w:multiLevelType w:val="hybridMultilevel"/>
    <w:tmpl w:val="00F8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E17F8B"/>
    <w:multiLevelType w:val="hybridMultilevel"/>
    <w:tmpl w:val="A94097C4"/>
    <w:lvl w:ilvl="0" w:tplc="AB5802D8">
      <w:start w:val="1"/>
      <w:numFmt w:val="bullet"/>
      <w:lvlText w:val=""/>
      <w:lvlJc w:val="left"/>
      <w:pPr>
        <w:ind w:left="822" w:hanging="180"/>
      </w:pPr>
      <w:rPr>
        <w:rFonts w:ascii="Symbol" w:eastAsia="Symbol" w:hAnsi="Symbol" w:hint="default"/>
        <w:sz w:val="22"/>
        <w:szCs w:val="22"/>
      </w:rPr>
    </w:lvl>
    <w:lvl w:ilvl="1" w:tplc="79AC4590">
      <w:start w:val="1"/>
      <w:numFmt w:val="bullet"/>
      <w:lvlText w:val="o"/>
      <w:lvlJc w:val="left"/>
      <w:pPr>
        <w:ind w:left="1542" w:hanging="360"/>
      </w:pPr>
      <w:rPr>
        <w:rFonts w:ascii="Courier New" w:eastAsia="Courier New" w:hAnsi="Courier New" w:hint="default"/>
        <w:sz w:val="22"/>
        <w:szCs w:val="22"/>
      </w:rPr>
    </w:lvl>
    <w:lvl w:ilvl="2" w:tplc="F1167E0E">
      <w:start w:val="1"/>
      <w:numFmt w:val="bullet"/>
      <w:lvlText w:val="•"/>
      <w:lvlJc w:val="left"/>
      <w:pPr>
        <w:ind w:left="2099" w:hanging="360"/>
      </w:pPr>
      <w:rPr>
        <w:rFonts w:hint="default"/>
      </w:rPr>
    </w:lvl>
    <w:lvl w:ilvl="3" w:tplc="4B521BA6">
      <w:start w:val="1"/>
      <w:numFmt w:val="bullet"/>
      <w:lvlText w:val="•"/>
      <w:lvlJc w:val="left"/>
      <w:pPr>
        <w:ind w:left="2657" w:hanging="360"/>
      </w:pPr>
      <w:rPr>
        <w:rFonts w:hint="default"/>
      </w:rPr>
    </w:lvl>
    <w:lvl w:ilvl="4" w:tplc="3A26271A">
      <w:start w:val="1"/>
      <w:numFmt w:val="bullet"/>
      <w:lvlText w:val="•"/>
      <w:lvlJc w:val="left"/>
      <w:pPr>
        <w:ind w:left="3215" w:hanging="360"/>
      </w:pPr>
      <w:rPr>
        <w:rFonts w:hint="default"/>
      </w:rPr>
    </w:lvl>
    <w:lvl w:ilvl="5" w:tplc="6AFA9188">
      <w:start w:val="1"/>
      <w:numFmt w:val="bullet"/>
      <w:lvlText w:val="•"/>
      <w:lvlJc w:val="left"/>
      <w:pPr>
        <w:ind w:left="3772" w:hanging="360"/>
      </w:pPr>
      <w:rPr>
        <w:rFonts w:hint="default"/>
      </w:rPr>
    </w:lvl>
    <w:lvl w:ilvl="6" w:tplc="70E0D596">
      <w:start w:val="1"/>
      <w:numFmt w:val="bullet"/>
      <w:lvlText w:val="•"/>
      <w:lvlJc w:val="left"/>
      <w:pPr>
        <w:ind w:left="4330" w:hanging="360"/>
      </w:pPr>
      <w:rPr>
        <w:rFonts w:hint="default"/>
      </w:rPr>
    </w:lvl>
    <w:lvl w:ilvl="7" w:tplc="9D16D898">
      <w:start w:val="1"/>
      <w:numFmt w:val="bullet"/>
      <w:lvlText w:val="•"/>
      <w:lvlJc w:val="left"/>
      <w:pPr>
        <w:ind w:left="4888" w:hanging="360"/>
      </w:pPr>
      <w:rPr>
        <w:rFonts w:hint="default"/>
      </w:rPr>
    </w:lvl>
    <w:lvl w:ilvl="8" w:tplc="D32A7EE8">
      <w:start w:val="1"/>
      <w:numFmt w:val="bullet"/>
      <w:lvlText w:val="•"/>
      <w:lvlJc w:val="left"/>
      <w:pPr>
        <w:ind w:left="5445" w:hanging="360"/>
      </w:pPr>
      <w:rPr>
        <w:rFonts w:hint="default"/>
      </w:rPr>
    </w:lvl>
  </w:abstractNum>
  <w:abstractNum w:abstractNumId="9" w15:restartNumberingAfterBreak="0">
    <w:nsid w:val="079336B4"/>
    <w:multiLevelType w:val="hybridMultilevel"/>
    <w:tmpl w:val="94C49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D6CAE"/>
    <w:multiLevelType w:val="hybridMultilevel"/>
    <w:tmpl w:val="96EC58D2"/>
    <w:lvl w:ilvl="0" w:tplc="A7480128">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0B4D3826"/>
    <w:multiLevelType w:val="hybridMultilevel"/>
    <w:tmpl w:val="9F24D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C12F77"/>
    <w:multiLevelType w:val="hybridMultilevel"/>
    <w:tmpl w:val="59684B22"/>
    <w:lvl w:ilvl="0" w:tplc="BA2EF3B0">
      <w:start w:val="1"/>
      <w:numFmt w:val="bullet"/>
      <w:lvlText w:val=""/>
      <w:lvlJc w:val="left"/>
      <w:pPr>
        <w:ind w:left="1002" w:hanging="360"/>
      </w:pPr>
      <w:rPr>
        <w:rFonts w:ascii="Symbol" w:eastAsia="Symbol" w:hAnsi="Symbol" w:hint="default"/>
        <w:sz w:val="24"/>
        <w:szCs w:val="24"/>
      </w:rPr>
    </w:lvl>
    <w:lvl w:ilvl="1" w:tplc="68AE370E">
      <w:start w:val="1"/>
      <w:numFmt w:val="bullet"/>
      <w:lvlText w:val="•"/>
      <w:lvlJc w:val="left"/>
      <w:pPr>
        <w:ind w:left="1558" w:hanging="360"/>
      </w:pPr>
      <w:rPr>
        <w:rFonts w:hint="default"/>
      </w:rPr>
    </w:lvl>
    <w:lvl w:ilvl="2" w:tplc="A620B07A">
      <w:start w:val="1"/>
      <w:numFmt w:val="bullet"/>
      <w:lvlText w:val="•"/>
      <w:lvlJc w:val="left"/>
      <w:pPr>
        <w:ind w:left="2113" w:hanging="360"/>
      </w:pPr>
      <w:rPr>
        <w:rFonts w:hint="default"/>
      </w:rPr>
    </w:lvl>
    <w:lvl w:ilvl="3" w:tplc="E536C8B6">
      <w:start w:val="1"/>
      <w:numFmt w:val="bullet"/>
      <w:lvlText w:val="•"/>
      <w:lvlJc w:val="left"/>
      <w:pPr>
        <w:ind w:left="2669" w:hanging="360"/>
      </w:pPr>
      <w:rPr>
        <w:rFonts w:hint="default"/>
      </w:rPr>
    </w:lvl>
    <w:lvl w:ilvl="4" w:tplc="9C3C53DC">
      <w:start w:val="1"/>
      <w:numFmt w:val="bullet"/>
      <w:lvlText w:val="•"/>
      <w:lvlJc w:val="left"/>
      <w:pPr>
        <w:ind w:left="3225" w:hanging="360"/>
      </w:pPr>
      <w:rPr>
        <w:rFonts w:hint="default"/>
      </w:rPr>
    </w:lvl>
    <w:lvl w:ilvl="5" w:tplc="B600A916">
      <w:start w:val="1"/>
      <w:numFmt w:val="bullet"/>
      <w:lvlText w:val="•"/>
      <w:lvlJc w:val="left"/>
      <w:pPr>
        <w:ind w:left="3781" w:hanging="360"/>
      </w:pPr>
      <w:rPr>
        <w:rFonts w:hint="default"/>
      </w:rPr>
    </w:lvl>
    <w:lvl w:ilvl="6" w:tplc="1A96454E">
      <w:start w:val="1"/>
      <w:numFmt w:val="bullet"/>
      <w:lvlText w:val="•"/>
      <w:lvlJc w:val="left"/>
      <w:pPr>
        <w:ind w:left="4337" w:hanging="360"/>
      </w:pPr>
      <w:rPr>
        <w:rFonts w:hint="default"/>
      </w:rPr>
    </w:lvl>
    <w:lvl w:ilvl="7" w:tplc="0E3693EA">
      <w:start w:val="1"/>
      <w:numFmt w:val="bullet"/>
      <w:lvlText w:val="•"/>
      <w:lvlJc w:val="left"/>
      <w:pPr>
        <w:ind w:left="4893" w:hanging="360"/>
      </w:pPr>
      <w:rPr>
        <w:rFonts w:hint="default"/>
      </w:rPr>
    </w:lvl>
    <w:lvl w:ilvl="8" w:tplc="215C0E2E">
      <w:start w:val="1"/>
      <w:numFmt w:val="bullet"/>
      <w:lvlText w:val="•"/>
      <w:lvlJc w:val="left"/>
      <w:pPr>
        <w:ind w:left="5449" w:hanging="360"/>
      </w:pPr>
      <w:rPr>
        <w:rFonts w:hint="default"/>
      </w:rPr>
    </w:lvl>
  </w:abstractNum>
  <w:abstractNum w:abstractNumId="13" w15:restartNumberingAfterBreak="0">
    <w:nsid w:val="0C123110"/>
    <w:multiLevelType w:val="hybridMultilevel"/>
    <w:tmpl w:val="3E98A272"/>
    <w:lvl w:ilvl="0" w:tplc="A26A420C">
      <w:start w:val="3"/>
      <w:numFmt w:val="bullet"/>
      <w:lvlText w:val="-"/>
      <w:lvlJc w:val="left"/>
      <w:pPr>
        <w:tabs>
          <w:tab w:val="num" w:pos="1003"/>
        </w:tabs>
        <w:ind w:left="1003" w:hanging="360"/>
      </w:pPr>
      <w:rPr>
        <w:rFonts w:ascii="Arial" w:eastAsia="Times New Roman" w:hAnsi="Arial" w:cs="Arial" w:hint="default"/>
      </w:rPr>
    </w:lvl>
    <w:lvl w:ilvl="1" w:tplc="E6947E78">
      <w:start w:val="1"/>
      <w:numFmt w:val="bullet"/>
      <w:pStyle w:val="DBulletlevel1"/>
      <w:lvlText w:val=""/>
      <w:lvlJc w:val="left"/>
      <w:pPr>
        <w:tabs>
          <w:tab w:val="num" w:pos="1723"/>
        </w:tabs>
        <w:ind w:left="1723" w:hanging="360"/>
      </w:pPr>
      <w:rPr>
        <w:rFonts w:ascii="Symbol" w:hAnsi="Symbol" w:hint="default"/>
        <w:color w:val="auto"/>
        <w:sz w:val="22"/>
      </w:rPr>
    </w:lvl>
    <w:lvl w:ilvl="2" w:tplc="5D68F92E">
      <w:numFmt w:val="bullet"/>
      <w:lvlText w:val="-"/>
      <w:lvlJc w:val="left"/>
      <w:pPr>
        <w:tabs>
          <w:tab w:val="num" w:pos="2443"/>
        </w:tabs>
        <w:ind w:left="2443" w:hanging="360"/>
      </w:pPr>
      <w:rPr>
        <w:rFonts w:ascii="Calibri" w:eastAsia="Calibri" w:hAnsi="Calibri" w:cs="Times New Roman" w:hint="default"/>
        <w:color w:val="008000"/>
        <w:sz w:val="22"/>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14" w15:restartNumberingAfterBreak="0">
    <w:nsid w:val="0C2C181F"/>
    <w:multiLevelType w:val="hybridMultilevel"/>
    <w:tmpl w:val="44DC2934"/>
    <w:lvl w:ilvl="0" w:tplc="A26A420C">
      <w:start w:val="3"/>
      <w:numFmt w:val="bullet"/>
      <w:lvlText w:val="-"/>
      <w:lvlJc w:val="left"/>
      <w:pPr>
        <w:tabs>
          <w:tab w:val="num" w:pos="1003"/>
        </w:tabs>
        <w:ind w:left="1003"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F373B8"/>
    <w:multiLevelType w:val="hybridMultilevel"/>
    <w:tmpl w:val="665C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F0C95"/>
    <w:multiLevelType w:val="hybridMultilevel"/>
    <w:tmpl w:val="74161374"/>
    <w:lvl w:ilvl="0" w:tplc="3DAAFA5A">
      <w:start w:val="1"/>
      <w:numFmt w:val="bullet"/>
      <w:pStyle w:val="BIOrapportpucetriangniv2"/>
      <w:lvlText w:val=""/>
      <w:lvlJc w:val="left"/>
      <w:pPr>
        <w:tabs>
          <w:tab w:val="num" w:pos="3934"/>
        </w:tabs>
        <w:ind w:left="3915" w:hanging="341"/>
      </w:pPr>
      <w:rPr>
        <w:rFonts w:ascii="Symbol" w:hAnsi="Symbol" w:hint="default"/>
        <w:color w:val="339966"/>
        <w:sz w:val="20"/>
        <w:szCs w:val="20"/>
      </w:rPr>
    </w:lvl>
    <w:lvl w:ilvl="1" w:tplc="04070003">
      <w:start w:val="1"/>
      <w:numFmt w:val="bullet"/>
      <w:lvlText w:val="o"/>
      <w:lvlJc w:val="left"/>
      <w:pPr>
        <w:tabs>
          <w:tab w:val="num" w:pos="2687"/>
        </w:tabs>
        <w:ind w:left="2687" w:hanging="360"/>
      </w:pPr>
      <w:rPr>
        <w:rFonts w:ascii="Courier New" w:hAnsi="Courier New" w:cs="Courier New" w:hint="default"/>
      </w:rPr>
    </w:lvl>
    <w:lvl w:ilvl="2" w:tplc="04070005" w:tentative="1">
      <w:start w:val="1"/>
      <w:numFmt w:val="bullet"/>
      <w:lvlText w:val=""/>
      <w:lvlJc w:val="left"/>
      <w:pPr>
        <w:tabs>
          <w:tab w:val="num" w:pos="3407"/>
        </w:tabs>
        <w:ind w:left="3407" w:hanging="360"/>
      </w:pPr>
      <w:rPr>
        <w:rFonts w:ascii="Wingdings" w:hAnsi="Wingdings" w:hint="default"/>
      </w:rPr>
    </w:lvl>
    <w:lvl w:ilvl="3" w:tplc="04070001" w:tentative="1">
      <w:start w:val="1"/>
      <w:numFmt w:val="bullet"/>
      <w:lvlText w:val=""/>
      <w:lvlJc w:val="left"/>
      <w:pPr>
        <w:tabs>
          <w:tab w:val="num" w:pos="4127"/>
        </w:tabs>
        <w:ind w:left="4127" w:hanging="360"/>
      </w:pPr>
      <w:rPr>
        <w:rFonts w:ascii="Symbol" w:hAnsi="Symbol" w:hint="default"/>
      </w:rPr>
    </w:lvl>
    <w:lvl w:ilvl="4" w:tplc="04070003" w:tentative="1">
      <w:start w:val="1"/>
      <w:numFmt w:val="bullet"/>
      <w:lvlText w:val="o"/>
      <w:lvlJc w:val="left"/>
      <w:pPr>
        <w:tabs>
          <w:tab w:val="num" w:pos="4847"/>
        </w:tabs>
        <w:ind w:left="4847" w:hanging="360"/>
      </w:pPr>
      <w:rPr>
        <w:rFonts w:ascii="Courier New" w:hAnsi="Courier New" w:cs="Courier New" w:hint="default"/>
      </w:rPr>
    </w:lvl>
    <w:lvl w:ilvl="5" w:tplc="04070005" w:tentative="1">
      <w:start w:val="1"/>
      <w:numFmt w:val="bullet"/>
      <w:lvlText w:val=""/>
      <w:lvlJc w:val="left"/>
      <w:pPr>
        <w:tabs>
          <w:tab w:val="num" w:pos="5567"/>
        </w:tabs>
        <w:ind w:left="5567" w:hanging="360"/>
      </w:pPr>
      <w:rPr>
        <w:rFonts w:ascii="Wingdings" w:hAnsi="Wingdings" w:hint="default"/>
      </w:rPr>
    </w:lvl>
    <w:lvl w:ilvl="6" w:tplc="04070001" w:tentative="1">
      <w:start w:val="1"/>
      <w:numFmt w:val="bullet"/>
      <w:lvlText w:val=""/>
      <w:lvlJc w:val="left"/>
      <w:pPr>
        <w:tabs>
          <w:tab w:val="num" w:pos="6287"/>
        </w:tabs>
        <w:ind w:left="6287" w:hanging="360"/>
      </w:pPr>
      <w:rPr>
        <w:rFonts w:ascii="Symbol" w:hAnsi="Symbol" w:hint="default"/>
      </w:rPr>
    </w:lvl>
    <w:lvl w:ilvl="7" w:tplc="04070003" w:tentative="1">
      <w:start w:val="1"/>
      <w:numFmt w:val="bullet"/>
      <w:lvlText w:val="o"/>
      <w:lvlJc w:val="left"/>
      <w:pPr>
        <w:tabs>
          <w:tab w:val="num" w:pos="7007"/>
        </w:tabs>
        <w:ind w:left="7007" w:hanging="360"/>
      </w:pPr>
      <w:rPr>
        <w:rFonts w:ascii="Courier New" w:hAnsi="Courier New" w:cs="Courier New" w:hint="default"/>
      </w:rPr>
    </w:lvl>
    <w:lvl w:ilvl="8" w:tplc="04070005" w:tentative="1">
      <w:start w:val="1"/>
      <w:numFmt w:val="bullet"/>
      <w:lvlText w:val=""/>
      <w:lvlJc w:val="left"/>
      <w:pPr>
        <w:tabs>
          <w:tab w:val="num" w:pos="7727"/>
        </w:tabs>
        <w:ind w:left="7727" w:hanging="360"/>
      </w:pPr>
      <w:rPr>
        <w:rFonts w:ascii="Wingdings" w:hAnsi="Wingdings" w:hint="default"/>
      </w:rPr>
    </w:lvl>
  </w:abstractNum>
  <w:abstractNum w:abstractNumId="17" w15:restartNumberingAfterBreak="0">
    <w:nsid w:val="0F4B6D6E"/>
    <w:multiLevelType w:val="hybridMultilevel"/>
    <w:tmpl w:val="E6AA87A6"/>
    <w:lvl w:ilvl="0" w:tplc="8CCCEAE6">
      <w:start w:val="1"/>
      <w:numFmt w:val="bullet"/>
      <w:lvlText w:val=""/>
      <w:lvlJc w:val="left"/>
      <w:pPr>
        <w:ind w:left="642" w:hanging="180"/>
      </w:pPr>
      <w:rPr>
        <w:rFonts w:ascii="Symbol" w:eastAsia="Symbol" w:hAnsi="Symbol" w:hint="default"/>
        <w:sz w:val="22"/>
        <w:szCs w:val="22"/>
      </w:rPr>
    </w:lvl>
    <w:lvl w:ilvl="1" w:tplc="35380F6E">
      <w:start w:val="1"/>
      <w:numFmt w:val="bullet"/>
      <w:lvlText w:val="•"/>
      <w:lvlJc w:val="left"/>
      <w:pPr>
        <w:ind w:left="1234" w:hanging="180"/>
      </w:pPr>
      <w:rPr>
        <w:rFonts w:hint="default"/>
      </w:rPr>
    </w:lvl>
    <w:lvl w:ilvl="2" w:tplc="64906456">
      <w:start w:val="1"/>
      <w:numFmt w:val="bullet"/>
      <w:lvlText w:val="•"/>
      <w:lvlJc w:val="left"/>
      <w:pPr>
        <w:ind w:left="1825" w:hanging="180"/>
      </w:pPr>
      <w:rPr>
        <w:rFonts w:hint="default"/>
      </w:rPr>
    </w:lvl>
    <w:lvl w:ilvl="3" w:tplc="CF2667F8">
      <w:start w:val="1"/>
      <w:numFmt w:val="bullet"/>
      <w:lvlText w:val="•"/>
      <w:lvlJc w:val="left"/>
      <w:pPr>
        <w:ind w:left="2417" w:hanging="180"/>
      </w:pPr>
      <w:rPr>
        <w:rFonts w:hint="default"/>
      </w:rPr>
    </w:lvl>
    <w:lvl w:ilvl="4" w:tplc="195C455E">
      <w:start w:val="1"/>
      <w:numFmt w:val="bullet"/>
      <w:lvlText w:val="•"/>
      <w:lvlJc w:val="left"/>
      <w:pPr>
        <w:ind w:left="3009" w:hanging="180"/>
      </w:pPr>
      <w:rPr>
        <w:rFonts w:hint="default"/>
      </w:rPr>
    </w:lvl>
    <w:lvl w:ilvl="5" w:tplc="87E4DD88">
      <w:start w:val="1"/>
      <w:numFmt w:val="bullet"/>
      <w:lvlText w:val="•"/>
      <w:lvlJc w:val="left"/>
      <w:pPr>
        <w:ind w:left="3601" w:hanging="180"/>
      </w:pPr>
      <w:rPr>
        <w:rFonts w:hint="default"/>
      </w:rPr>
    </w:lvl>
    <w:lvl w:ilvl="6" w:tplc="2960B97C">
      <w:start w:val="1"/>
      <w:numFmt w:val="bullet"/>
      <w:lvlText w:val="•"/>
      <w:lvlJc w:val="left"/>
      <w:pPr>
        <w:ind w:left="4193" w:hanging="180"/>
      </w:pPr>
      <w:rPr>
        <w:rFonts w:hint="default"/>
      </w:rPr>
    </w:lvl>
    <w:lvl w:ilvl="7" w:tplc="500A0B7E">
      <w:start w:val="1"/>
      <w:numFmt w:val="bullet"/>
      <w:lvlText w:val="•"/>
      <w:lvlJc w:val="left"/>
      <w:pPr>
        <w:ind w:left="4785" w:hanging="180"/>
      </w:pPr>
      <w:rPr>
        <w:rFonts w:hint="default"/>
      </w:rPr>
    </w:lvl>
    <w:lvl w:ilvl="8" w:tplc="4802EBAC">
      <w:start w:val="1"/>
      <w:numFmt w:val="bullet"/>
      <w:lvlText w:val="•"/>
      <w:lvlJc w:val="left"/>
      <w:pPr>
        <w:ind w:left="5377" w:hanging="180"/>
      </w:pPr>
      <w:rPr>
        <w:rFonts w:hint="default"/>
      </w:rPr>
    </w:lvl>
  </w:abstractNum>
  <w:abstractNum w:abstractNumId="18" w15:restartNumberingAfterBreak="0">
    <w:nsid w:val="11552C55"/>
    <w:multiLevelType w:val="hybridMultilevel"/>
    <w:tmpl w:val="ED20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C3955"/>
    <w:multiLevelType w:val="multilevel"/>
    <w:tmpl w:val="67F6AADA"/>
    <w:lvl w:ilvl="0">
      <w:start w:val="2"/>
      <w:numFmt w:val="decimal"/>
      <w:lvlText w:val="%1"/>
      <w:lvlJc w:val="left"/>
      <w:pPr>
        <w:ind w:left="538" w:hanging="365"/>
      </w:pPr>
      <w:rPr>
        <w:rFonts w:hint="default"/>
      </w:rPr>
    </w:lvl>
    <w:lvl w:ilvl="1">
      <w:start w:val="3"/>
      <w:numFmt w:val="decimal"/>
      <w:lvlText w:val="%1.%2"/>
      <w:lvlJc w:val="left"/>
      <w:pPr>
        <w:ind w:left="538" w:hanging="365"/>
      </w:pPr>
      <w:rPr>
        <w:rFonts w:ascii="Calibri" w:eastAsia="Calibri" w:hAnsi="Calibri" w:hint="default"/>
        <w:b/>
        <w:bCs/>
        <w:w w:val="99"/>
        <w:sz w:val="24"/>
        <w:szCs w:val="24"/>
      </w:rPr>
    </w:lvl>
    <w:lvl w:ilvl="2">
      <w:start w:val="1"/>
      <w:numFmt w:val="bullet"/>
      <w:lvlText w:val="•"/>
      <w:lvlJc w:val="left"/>
      <w:pPr>
        <w:ind w:left="2427" w:hanging="365"/>
      </w:pPr>
      <w:rPr>
        <w:rFonts w:hint="default"/>
      </w:rPr>
    </w:lvl>
    <w:lvl w:ilvl="3">
      <w:start w:val="1"/>
      <w:numFmt w:val="bullet"/>
      <w:lvlText w:val="•"/>
      <w:lvlJc w:val="left"/>
      <w:pPr>
        <w:ind w:left="3372" w:hanging="365"/>
      </w:pPr>
      <w:rPr>
        <w:rFonts w:hint="default"/>
      </w:rPr>
    </w:lvl>
    <w:lvl w:ilvl="4">
      <w:start w:val="1"/>
      <w:numFmt w:val="bullet"/>
      <w:lvlText w:val="•"/>
      <w:lvlJc w:val="left"/>
      <w:pPr>
        <w:ind w:left="4317" w:hanging="365"/>
      </w:pPr>
      <w:rPr>
        <w:rFonts w:hint="default"/>
      </w:rPr>
    </w:lvl>
    <w:lvl w:ilvl="5">
      <w:start w:val="1"/>
      <w:numFmt w:val="bullet"/>
      <w:lvlText w:val="•"/>
      <w:lvlJc w:val="left"/>
      <w:pPr>
        <w:ind w:left="5262" w:hanging="365"/>
      </w:pPr>
      <w:rPr>
        <w:rFonts w:hint="default"/>
      </w:rPr>
    </w:lvl>
    <w:lvl w:ilvl="6">
      <w:start w:val="1"/>
      <w:numFmt w:val="bullet"/>
      <w:lvlText w:val="•"/>
      <w:lvlJc w:val="left"/>
      <w:pPr>
        <w:ind w:left="6207" w:hanging="365"/>
      </w:pPr>
      <w:rPr>
        <w:rFonts w:hint="default"/>
      </w:rPr>
    </w:lvl>
    <w:lvl w:ilvl="7">
      <w:start w:val="1"/>
      <w:numFmt w:val="bullet"/>
      <w:lvlText w:val="•"/>
      <w:lvlJc w:val="left"/>
      <w:pPr>
        <w:ind w:left="7151" w:hanging="365"/>
      </w:pPr>
      <w:rPr>
        <w:rFonts w:hint="default"/>
      </w:rPr>
    </w:lvl>
    <w:lvl w:ilvl="8">
      <w:start w:val="1"/>
      <w:numFmt w:val="bullet"/>
      <w:lvlText w:val="•"/>
      <w:lvlJc w:val="left"/>
      <w:pPr>
        <w:ind w:left="8096" w:hanging="365"/>
      </w:pPr>
      <w:rPr>
        <w:rFonts w:hint="default"/>
      </w:rPr>
    </w:lvl>
  </w:abstractNum>
  <w:abstractNum w:abstractNumId="20" w15:restartNumberingAfterBreak="0">
    <w:nsid w:val="194C29C0"/>
    <w:multiLevelType w:val="hybridMultilevel"/>
    <w:tmpl w:val="B32E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ED3952"/>
    <w:multiLevelType w:val="hybridMultilevel"/>
    <w:tmpl w:val="DFD0A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C76A3D"/>
    <w:multiLevelType w:val="hybridMultilevel"/>
    <w:tmpl w:val="A13CFD24"/>
    <w:styleLink w:val="Style2"/>
    <w:lvl w:ilvl="0" w:tplc="E00A707E">
      <w:start w:val="1"/>
      <w:numFmt w:val="bullet"/>
      <w:lvlText w:val=""/>
      <w:lvlJc w:val="left"/>
      <w:pPr>
        <w:ind w:left="360" w:hanging="360"/>
      </w:pPr>
      <w:rPr>
        <w:rFonts w:ascii="Wingdings 2" w:hAnsi="Wingdings 2" w:hint="default"/>
        <w:color w:val="9BBB59"/>
      </w:rPr>
    </w:lvl>
    <w:lvl w:ilvl="1" w:tplc="040C0003">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23" w15:restartNumberingAfterBreak="0">
    <w:nsid w:val="1CA92E30"/>
    <w:multiLevelType w:val="hybridMultilevel"/>
    <w:tmpl w:val="33A6C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1F771C"/>
    <w:multiLevelType w:val="multilevel"/>
    <w:tmpl w:val="31E69C1E"/>
    <w:lvl w:ilvl="0">
      <w:start w:val="1"/>
      <w:numFmt w:val="decimal"/>
      <w:pStyle w:val="APageheading"/>
      <w:lvlText w:val="%1."/>
      <w:lvlJc w:val="left"/>
      <w:pPr>
        <w:ind w:left="3337" w:hanging="360"/>
      </w:pPr>
      <w:rPr>
        <w:rFonts w:hint="default"/>
      </w:rPr>
    </w:lvl>
    <w:lvl w:ilvl="1">
      <w:start w:val="1"/>
      <w:numFmt w:val="decimal"/>
      <w:pStyle w:val="BTitle20"/>
      <w:isLgl/>
      <w:lvlText w:val="%1.%2"/>
      <w:lvlJc w:val="left"/>
      <w:pPr>
        <w:ind w:left="3403" w:hanging="360"/>
      </w:pPr>
      <w:rPr>
        <w:b/>
        <w:bCs w:val="0"/>
        <w:i w:val="0"/>
        <w:iCs w:val="0"/>
        <w:caps w:val="0"/>
        <w:smallCaps w:val="0"/>
        <w:strike w:val="0"/>
        <w:dstrike w:val="0"/>
        <w:noProof w:val="0"/>
        <w:vanish w:val="0"/>
        <w:color w:val="00A1DE"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Subheading"/>
      <w:isLgl/>
      <w:lvlText w:val="%1.%2.%3"/>
      <w:lvlJc w:val="left"/>
      <w:pPr>
        <w:ind w:left="4047" w:hanging="720"/>
      </w:pPr>
      <w:rPr>
        <w:rFonts w:hint="default"/>
      </w:rPr>
    </w:lvl>
    <w:lvl w:ilvl="3">
      <w:start w:val="1"/>
      <w:numFmt w:val="decimal"/>
      <w:pStyle w:val="Title4"/>
      <w:isLgl/>
      <w:lvlText w:val="%1.%2.%3.%4"/>
      <w:lvlJc w:val="left"/>
      <w:pPr>
        <w:ind w:left="4057"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777" w:hanging="1800"/>
      </w:pPr>
      <w:rPr>
        <w:rFonts w:hint="default"/>
      </w:rPr>
    </w:lvl>
    <w:lvl w:ilvl="8">
      <w:start w:val="1"/>
      <w:numFmt w:val="decimal"/>
      <w:isLgl/>
      <w:lvlText w:val="%1.%2.%3.%4.%5.%6.%7.%8.%9"/>
      <w:lvlJc w:val="left"/>
      <w:pPr>
        <w:ind w:left="4777" w:hanging="1800"/>
      </w:pPr>
      <w:rPr>
        <w:rFonts w:hint="default"/>
      </w:rPr>
    </w:lvl>
  </w:abstractNum>
  <w:abstractNum w:abstractNumId="25" w15:restartNumberingAfterBreak="0">
    <w:nsid w:val="1E973B03"/>
    <w:multiLevelType w:val="hybridMultilevel"/>
    <w:tmpl w:val="25A20568"/>
    <w:lvl w:ilvl="0" w:tplc="98D48690">
      <w:start w:val="1"/>
      <w:numFmt w:val="bullet"/>
      <w:lvlText w:val=""/>
      <w:lvlJc w:val="left"/>
      <w:pPr>
        <w:ind w:left="360" w:hanging="360"/>
      </w:pPr>
      <w:rPr>
        <w:rFonts w:ascii="Wingdings" w:hAnsi="Wingdings" w:hint="default"/>
        <w:color w:val="008000"/>
        <w:sz w:val="2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E7262988">
      <w:start w:val="12"/>
      <w:numFmt w:val="bullet"/>
      <w:pStyle w:val="ListBullet4"/>
      <w:lvlText w:val=""/>
      <w:lvlJc w:val="left"/>
      <w:pPr>
        <w:ind w:left="6084" w:hanging="360"/>
      </w:pPr>
      <w:rPr>
        <w:rFonts w:ascii="Wingdings 3" w:eastAsia="Times New Roman" w:hAnsi="Wingdings 3" w:hint="default"/>
        <w:color w:val="92D050"/>
        <w:position w:val="-6"/>
        <w:sz w:val="36"/>
        <w:szCs w:val="36"/>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6" w15:restartNumberingAfterBreak="0">
    <w:nsid w:val="1F0A6DDD"/>
    <w:multiLevelType w:val="hybridMultilevel"/>
    <w:tmpl w:val="03C0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6100DD"/>
    <w:multiLevelType w:val="hybridMultilevel"/>
    <w:tmpl w:val="9A40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E5157B"/>
    <w:multiLevelType w:val="hybridMultilevel"/>
    <w:tmpl w:val="139A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2B20BD"/>
    <w:multiLevelType w:val="multilevel"/>
    <w:tmpl w:val="DC7076A4"/>
    <w:lvl w:ilvl="0">
      <w:start w:val="1"/>
      <w:numFmt w:val="decimal"/>
      <w:lvlText w:val="%1"/>
      <w:lvlJc w:val="left"/>
      <w:pPr>
        <w:ind w:left="573" w:hanging="310"/>
      </w:pPr>
      <w:rPr>
        <w:rFonts w:hint="default"/>
      </w:rPr>
    </w:lvl>
    <w:lvl w:ilvl="1">
      <w:start w:val="1"/>
      <w:numFmt w:val="decimal"/>
      <w:lvlText w:val="%1.%2"/>
      <w:lvlJc w:val="left"/>
      <w:pPr>
        <w:ind w:left="573" w:hanging="310"/>
      </w:pPr>
      <w:rPr>
        <w:rFonts w:hint="default"/>
        <w:highlight w:val="yellow"/>
      </w:rPr>
    </w:lvl>
    <w:lvl w:ilvl="2">
      <w:start w:val="1"/>
      <w:numFmt w:val="bullet"/>
      <w:lvlText w:val=""/>
      <w:lvlJc w:val="left"/>
      <w:pPr>
        <w:ind w:left="833" w:hanging="360"/>
      </w:pPr>
      <w:rPr>
        <w:rFonts w:ascii="Symbol" w:eastAsia="Symbol" w:hAnsi="Symbol" w:hint="default"/>
        <w:w w:val="99"/>
        <w:sz w:val="20"/>
        <w:szCs w:val="20"/>
      </w:rPr>
    </w:lvl>
    <w:lvl w:ilvl="3">
      <w:start w:val="1"/>
      <w:numFmt w:val="bullet"/>
      <w:lvlText w:val="•"/>
      <w:lvlJc w:val="left"/>
      <w:pPr>
        <w:ind w:left="2840" w:hanging="360"/>
      </w:pPr>
      <w:rPr>
        <w:rFonts w:hint="default"/>
      </w:rPr>
    </w:lvl>
    <w:lvl w:ilvl="4">
      <w:start w:val="1"/>
      <w:numFmt w:val="bullet"/>
      <w:lvlText w:val="•"/>
      <w:lvlJc w:val="left"/>
      <w:pPr>
        <w:ind w:left="3844" w:hanging="360"/>
      </w:pPr>
      <w:rPr>
        <w:rFonts w:hint="default"/>
      </w:rPr>
    </w:lvl>
    <w:lvl w:ilvl="5">
      <w:start w:val="1"/>
      <w:numFmt w:val="bullet"/>
      <w:lvlText w:val="•"/>
      <w:lvlJc w:val="left"/>
      <w:pPr>
        <w:ind w:left="4848" w:hanging="360"/>
      </w:pPr>
      <w:rPr>
        <w:rFonts w:hint="default"/>
      </w:rPr>
    </w:lvl>
    <w:lvl w:ilvl="6">
      <w:start w:val="1"/>
      <w:numFmt w:val="bullet"/>
      <w:lvlText w:val="•"/>
      <w:lvlJc w:val="left"/>
      <w:pPr>
        <w:ind w:left="5851" w:hanging="360"/>
      </w:pPr>
      <w:rPr>
        <w:rFonts w:hint="default"/>
      </w:rPr>
    </w:lvl>
    <w:lvl w:ilvl="7">
      <w:start w:val="1"/>
      <w:numFmt w:val="bullet"/>
      <w:lvlText w:val="•"/>
      <w:lvlJc w:val="left"/>
      <w:pPr>
        <w:ind w:left="6855" w:hanging="360"/>
      </w:pPr>
      <w:rPr>
        <w:rFonts w:hint="default"/>
      </w:rPr>
    </w:lvl>
    <w:lvl w:ilvl="8">
      <w:start w:val="1"/>
      <w:numFmt w:val="bullet"/>
      <w:lvlText w:val="•"/>
      <w:lvlJc w:val="left"/>
      <w:pPr>
        <w:ind w:left="7859" w:hanging="360"/>
      </w:pPr>
      <w:rPr>
        <w:rFonts w:hint="default"/>
      </w:rPr>
    </w:lvl>
  </w:abstractNum>
  <w:abstractNum w:abstractNumId="30" w15:restartNumberingAfterBreak="0">
    <w:nsid w:val="27146D60"/>
    <w:multiLevelType w:val="hybridMultilevel"/>
    <w:tmpl w:val="8AE8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9F0399"/>
    <w:multiLevelType w:val="hybridMultilevel"/>
    <w:tmpl w:val="457A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054EB6"/>
    <w:multiLevelType w:val="hybridMultilevel"/>
    <w:tmpl w:val="B3D6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177951"/>
    <w:multiLevelType w:val="hybridMultilevel"/>
    <w:tmpl w:val="CF72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1C3E05"/>
    <w:multiLevelType w:val="hybridMultilevel"/>
    <w:tmpl w:val="F836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F344E0"/>
    <w:multiLevelType w:val="multilevel"/>
    <w:tmpl w:val="B0CE47D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lowerLetter"/>
      <w:pStyle w:val="Heading4"/>
      <w:lvlText w:val="%1.%2.%3.%4"/>
      <w:lvlJc w:val="left"/>
      <w:pPr>
        <w:ind w:left="2608" w:hanging="850"/>
      </w:pPr>
      <w:rPr>
        <w:rFonts w:hint="default"/>
      </w:rPr>
    </w:lvl>
    <w:lvl w:ilvl="4">
      <w:start w:val="1"/>
      <w:numFmt w:val="decimal"/>
      <w:pStyle w:val="Heading5"/>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F311BDD"/>
    <w:multiLevelType w:val="hybridMultilevel"/>
    <w:tmpl w:val="45A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EE5CBF"/>
    <w:multiLevelType w:val="hybridMultilevel"/>
    <w:tmpl w:val="8B8AB442"/>
    <w:lvl w:ilvl="0" w:tplc="040C0001">
      <w:start w:val="1"/>
      <w:numFmt w:val="bullet"/>
      <w:lvlText w:val=""/>
      <w:lvlJc w:val="left"/>
      <w:pPr>
        <w:ind w:left="720" w:hanging="360"/>
      </w:pPr>
      <w:rPr>
        <w:rFonts w:ascii="Symbol" w:hAnsi="Symbol" w:hint="default"/>
        <w:color w:val="00A1DE"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FC7DBC"/>
    <w:multiLevelType w:val="multilevel"/>
    <w:tmpl w:val="26A615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1F41D73"/>
    <w:multiLevelType w:val="hybridMultilevel"/>
    <w:tmpl w:val="05B43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C579F6"/>
    <w:multiLevelType w:val="hybridMultilevel"/>
    <w:tmpl w:val="3A6A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F76685"/>
    <w:multiLevelType w:val="hybridMultilevel"/>
    <w:tmpl w:val="76BEF5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15:restartNumberingAfterBreak="0">
    <w:nsid w:val="36F91D6E"/>
    <w:multiLevelType w:val="hybridMultilevel"/>
    <w:tmpl w:val="578269BE"/>
    <w:lvl w:ilvl="0" w:tplc="02DC267A">
      <w:start w:val="1"/>
      <w:numFmt w:val="lowerRoman"/>
      <w:lvlText w:val="%1)"/>
      <w:lvlJc w:val="left"/>
      <w:pPr>
        <w:ind w:left="1113" w:hanging="360"/>
      </w:pPr>
      <w:rPr>
        <w:rFonts w:ascii="Calibri" w:eastAsia="Calibri" w:hAnsi="Calibri" w:hint="default"/>
        <w:sz w:val="24"/>
        <w:szCs w:val="24"/>
      </w:rPr>
    </w:lvl>
    <w:lvl w:ilvl="1" w:tplc="9D44E7AC">
      <w:start w:val="1"/>
      <w:numFmt w:val="bullet"/>
      <w:lvlText w:val="•"/>
      <w:lvlJc w:val="left"/>
      <w:pPr>
        <w:ind w:left="1998" w:hanging="360"/>
      </w:pPr>
      <w:rPr>
        <w:rFonts w:hint="default"/>
      </w:rPr>
    </w:lvl>
    <w:lvl w:ilvl="2" w:tplc="7668EE40">
      <w:start w:val="1"/>
      <w:numFmt w:val="bullet"/>
      <w:lvlText w:val="•"/>
      <w:lvlJc w:val="left"/>
      <w:pPr>
        <w:ind w:left="2883" w:hanging="360"/>
      </w:pPr>
      <w:rPr>
        <w:rFonts w:hint="default"/>
      </w:rPr>
    </w:lvl>
    <w:lvl w:ilvl="3" w:tplc="92540892">
      <w:start w:val="1"/>
      <w:numFmt w:val="bullet"/>
      <w:lvlText w:val="•"/>
      <w:lvlJc w:val="left"/>
      <w:pPr>
        <w:ind w:left="3769" w:hanging="360"/>
      </w:pPr>
      <w:rPr>
        <w:rFonts w:hint="default"/>
      </w:rPr>
    </w:lvl>
    <w:lvl w:ilvl="4" w:tplc="4E02F1BA">
      <w:start w:val="1"/>
      <w:numFmt w:val="bullet"/>
      <w:lvlText w:val="•"/>
      <w:lvlJc w:val="left"/>
      <w:pPr>
        <w:ind w:left="4654" w:hanging="360"/>
      </w:pPr>
      <w:rPr>
        <w:rFonts w:hint="default"/>
      </w:rPr>
    </w:lvl>
    <w:lvl w:ilvl="5" w:tplc="02F27CE4">
      <w:start w:val="1"/>
      <w:numFmt w:val="bullet"/>
      <w:lvlText w:val="•"/>
      <w:lvlJc w:val="left"/>
      <w:pPr>
        <w:ind w:left="5539" w:hanging="360"/>
      </w:pPr>
      <w:rPr>
        <w:rFonts w:hint="default"/>
      </w:rPr>
    </w:lvl>
    <w:lvl w:ilvl="6" w:tplc="D8F49302">
      <w:start w:val="1"/>
      <w:numFmt w:val="bullet"/>
      <w:lvlText w:val="•"/>
      <w:lvlJc w:val="left"/>
      <w:pPr>
        <w:ind w:left="6425" w:hanging="360"/>
      </w:pPr>
      <w:rPr>
        <w:rFonts w:hint="default"/>
      </w:rPr>
    </w:lvl>
    <w:lvl w:ilvl="7" w:tplc="3A5C5210">
      <w:start w:val="1"/>
      <w:numFmt w:val="bullet"/>
      <w:lvlText w:val="•"/>
      <w:lvlJc w:val="left"/>
      <w:pPr>
        <w:ind w:left="7310" w:hanging="360"/>
      </w:pPr>
      <w:rPr>
        <w:rFonts w:hint="default"/>
      </w:rPr>
    </w:lvl>
    <w:lvl w:ilvl="8" w:tplc="BA642F14">
      <w:start w:val="1"/>
      <w:numFmt w:val="bullet"/>
      <w:lvlText w:val="•"/>
      <w:lvlJc w:val="left"/>
      <w:pPr>
        <w:ind w:left="8195" w:hanging="360"/>
      </w:pPr>
      <w:rPr>
        <w:rFonts w:hint="default"/>
      </w:rPr>
    </w:lvl>
  </w:abstractNum>
  <w:abstractNum w:abstractNumId="43" w15:restartNumberingAfterBreak="0">
    <w:nsid w:val="37876207"/>
    <w:multiLevelType w:val="hybridMultilevel"/>
    <w:tmpl w:val="B6E0479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15:restartNumberingAfterBreak="0">
    <w:nsid w:val="38B406C1"/>
    <w:multiLevelType w:val="hybridMultilevel"/>
    <w:tmpl w:val="60B45178"/>
    <w:lvl w:ilvl="0" w:tplc="DA9E7432">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8F37C4D"/>
    <w:multiLevelType w:val="hybridMultilevel"/>
    <w:tmpl w:val="E504739A"/>
    <w:lvl w:ilvl="0" w:tplc="55C24C6A">
      <w:start w:val="1"/>
      <w:numFmt w:val="bullet"/>
      <w:pStyle w:val="bulets"/>
      <w:lvlText w:val=""/>
      <w:lvlJc w:val="left"/>
      <w:pPr>
        <w:ind w:left="727" w:hanging="360"/>
      </w:pPr>
      <w:rPr>
        <w:rFonts w:ascii="Symbol" w:hAnsi="Symbol" w:hint="default"/>
        <w:color w:val="92D400" w:themeColor="accent2"/>
        <w:sz w:val="22"/>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46" w15:restartNumberingAfterBreak="0">
    <w:nsid w:val="39095046"/>
    <w:multiLevelType w:val="hybridMultilevel"/>
    <w:tmpl w:val="B86E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A165A5"/>
    <w:multiLevelType w:val="hybridMultilevel"/>
    <w:tmpl w:val="75081A8A"/>
    <w:lvl w:ilvl="0" w:tplc="9C46CB42">
      <w:start w:val="1"/>
      <w:numFmt w:val="bullet"/>
      <w:lvlText w:val=""/>
      <w:lvlJc w:val="left"/>
      <w:pPr>
        <w:ind w:left="1533" w:hanging="360"/>
      </w:pPr>
      <w:rPr>
        <w:rFonts w:ascii="Symbol" w:eastAsia="Symbol" w:hAnsi="Symbol" w:hint="default"/>
        <w:sz w:val="22"/>
        <w:szCs w:val="22"/>
      </w:rPr>
    </w:lvl>
    <w:lvl w:ilvl="1" w:tplc="4D682482">
      <w:start w:val="1"/>
      <w:numFmt w:val="bullet"/>
      <w:lvlText w:val="•"/>
      <w:lvlJc w:val="left"/>
      <w:pPr>
        <w:ind w:left="2442" w:hanging="360"/>
      </w:pPr>
      <w:rPr>
        <w:rFonts w:hint="default"/>
      </w:rPr>
    </w:lvl>
    <w:lvl w:ilvl="2" w:tplc="134EEE1E">
      <w:start w:val="1"/>
      <w:numFmt w:val="bullet"/>
      <w:lvlText w:val="•"/>
      <w:lvlJc w:val="left"/>
      <w:pPr>
        <w:ind w:left="3351" w:hanging="360"/>
      </w:pPr>
      <w:rPr>
        <w:rFonts w:hint="default"/>
      </w:rPr>
    </w:lvl>
    <w:lvl w:ilvl="3" w:tplc="7EE0F7EC">
      <w:start w:val="1"/>
      <w:numFmt w:val="bullet"/>
      <w:lvlText w:val="•"/>
      <w:lvlJc w:val="left"/>
      <w:pPr>
        <w:ind w:left="4261" w:hanging="360"/>
      </w:pPr>
      <w:rPr>
        <w:rFonts w:hint="default"/>
      </w:rPr>
    </w:lvl>
    <w:lvl w:ilvl="4" w:tplc="A002F742">
      <w:start w:val="1"/>
      <w:numFmt w:val="bullet"/>
      <w:lvlText w:val="•"/>
      <w:lvlJc w:val="left"/>
      <w:pPr>
        <w:ind w:left="5170" w:hanging="360"/>
      </w:pPr>
      <w:rPr>
        <w:rFonts w:hint="default"/>
      </w:rPr>
    </w:lvl>
    <w:lvl w:ilvl="5" w:tplc="34CC02C2">
      <w:start w:val="1"/>
      <w:numFmt w:val="bullet"/>
      <w:lvlText w:val="•"/>
      <w:lvlJc w:val="left"/>
      <w:pPr>
        <w:ind w:left="6079" w:hanging="360"/>
      </w:pPr>
      <w:rPr>
        <w:rFonts w:hint="default"/>
      </w:rPr>
    </w:lvl>
    <w:lvl w:ilvl="6" w:tplc="4762D634">
      <w:start w:val="1"/>
      <w:numFmt w:val="bullet"/>
      <w:lvlText w:val="•"/>
      <w:lvlJc w:val="left"/>
      <w:pPr>
        <w:ind w:left="6989" w:hanging="360"/>
      </w:pPr>
      <w:rPr>
        <w:rFonts w:hint="default"/>
      </w:rPr>
    </w:lvl>
    <w:lvl w:ilvl="7" w:tplc="362A6830">
      <w:start w:val="1"/>
      <w:numFmt w:val="bullet"/>
      <w:lvlText w:val="•"/>
      <w:lvlJc w:val="left"/>
      <w:pPr>
        <w:ind w:left="7898" w:hanging="360"/>
      </w:pPr>
      <w:rPr>
        <w:rFonts w:hint="default"/>
      </w:rPr>
    </w:lvl>
    <w:lvl w:ilvl="8" w:tplc="958A327E">
      <w:start w:val="1"/>
      <w:numFmt w:val="bullet"/>
      <w:lvlText w:val="•"/>
      <w:lvlJc w:val="left"/>
      <w:pPr>
        <w:ind w:left="8807" w:hanging="360"/>
      </w:pPr>
      <w:rPr>
        <w:rFonts w:hint="default"/>
      </w:rPr>
    </w:lvl>
  </w:abstractNum>
  <w:abstractNum w:abstractNumId="48" w15:restartNumberingAfterBreak="0">
    <w:nsid w:val="3D0B1E35"/>
    <w:multiLevelType w:val="hybridMultilevel"/>
    <w:tmpl w:val="5662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330C09"/>
    <w:multiLevelType w:val="hybridMultilevel"/>
    <w:tmpl w:val="ABFA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D35385"/>
    <w:multiLevelType w:val="multilevel"/>
    <w:tmpl w:val="6C6C0B3E"/>
    <w:lvl w:ilvl="0">
      <w:start w:val="1"/>
      <w:numFmt w:val="decimal"/>
      <w:pStyle w:val="Heading1-Annex"/>
      <w:lvlText w:val="Annexe %1."/>
      <w:lvlJc w:val="left"/>
      <w:pPr>
        <w:ind w:left="360" w:hanging="360"/>
      </w:pPr>
      <w:rPr>
        <w:rFonts w:hint="default"/>
      </w:rPr>
    </w:lvl>
    <w:lvl w:ilvl="1">
      <w:start w:val="1"/>
      <w:numFmt w:val="decimal"/>
      <w:pStyle w:val="Heading2-Annex"/>
      <w:lvlText w:val="%1.%2."/>
      <w:lvlJc w:val="left"/>
      <w:pPr>
        <w:ind w:left="1070" w:hanging="360"/>
      </w:pPr>
      <w:rPr>
        <w:rFonts w:hint="default"/>
      </w:rPr>
    </w:lvl>
    <w:lvl w:ilvl="2">
      <w:start w:val="1"/>
      <w:numFmt w:val="decimal"/>
      <w:pStyle w:val="Heading3-Annex"/>
      <w:lvlText w:val="%1.%2.%3."/>
      <w:lvlJc w:val="right"/>
      <w:pPr>
        <w:ind w:left="1800" w:hanging="180"/>
      </w:pPr>
      <w:rPr>
        <w:rFonts w:hint="default"/>
      </w:rPr>
    </w:lvl>
    <w:lvl w:ilvl="3">
      <w:start w:val="1"/>
      <w:numFmt w:val="decimal"/>
      <w:lvlText w:val="%1.%2.%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15:restartNumberingAfterBreak="0">
    <w:nsid w:val="40084333"/>
    <w:multiLevelType w:val="hybridMultilevel"/>
    <w:tmpl w:val="89CE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847390"/>
    <w:multiLevelType w:val="hybridMultilevel"/>
    <w:tmpl w:val="35C2A084"/>
    <w:lvl w:ilvl="0" w:tplc="82463742">
      <w:start w:val="1"/>
      <w:numFmt w:val="bullet"/>
      <w:pStyle w:val="ListBullet5"/>
      <w:lvlText w:val=""/>
      <w:lvlJc w:val="left"/>
      <w:pPr>
        <w:ind w:left="720" w:hanging="360"/>
      </w:pPr>
      <w:rPr>
        <w:rFonts w:ascii="Wingdings" w:hAnsi="Wingdings" w:hint="default"/>
        <w:color w:val="92D400"/>
        <w:position w:val="-6"/>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A5C6C9E"/>
    <w:multiLevelType w:val="hybridMultilevel"/>
    <w:tmpl w:val="D02E1732"/>
    <w:lvl w:ilvl="0" w:tplc="E07EC1BA">
      <w:start w:val="1"/>
      <w:numFmt w:val="bullet"/>
      <w:pStyle w:val="bulletspoints"/>
      <w:lvlText w:val=""/>
      <w:lvlPicBulletId w:val="1"/>
      <w:lvlJc w:val="left"/>
      <w:pPr>
        <w:ind w:left="360" w:hanging="360"/>
      </w:pPr>
      <w:rPr>
        <w:b w:val="0"/>
        <w:bCs w:val="0"/>
        <w:i w:val="0"/>
        <w:iCs w:val="0"/>
        <w:caps w:val="0"/>
        <w:smallCaps w:val="0"/>
        <w:strike w:val="0"/>
        <w:dstrike w:val="0"/>
        <w:noProof w:val="0"/>
        <w:vanish w:val="0"/>
        <w:spacing w:val="0"/>
        <w:kern w:val="0"/>
        <w:position w:val="0"/>
        <w:sz w:val="72"/>
        <w:szCs w:val="72"/>
        <w:u w:val="none"/>
        <w:vertAlign w:val="baseline"/>
        <w:em w:val="none"/>
      </w:rPr>
    </w:lvl>
    <w:lvl w:ilvl="1" w:tplc="499AEFD8" w:tentative="1">
      <w:start w:val="1"/>
      <w:numFmt w:val="bullet"/>
      <w:lvlText w:val="o"/>
      <w:lvlJc w:val="left"/>
      <w:pPr>
        <w:ind w:left="2957" w:hanging="360"/>
      </w:pPr>
      <w:rPr>
        <w:rFonts w:ascii="Courier New" w:hAnsi="Courier New" w:cs="Courier New" w:hint="default"/>
      </w:rPr>
    </w:lvl>
    <w:lvl w:ilvl="2" w:tplc="040C0005" w:tentative="1">
      <w:start w:val="1"/>
      <w:numFmt w:val="bullet"/>
      <w:lvlText w:val=""/>
      <w:lvlJc w:val="left"/>
      <w:pPr>
        <w:ind w:left="3677" w:hanging="360"/>
      </w:pPr>
      <w:rPr>
        <w:rFonts w:ascii="Wingdings" w:hAnsi="Wingdings" w:hint="default"/>
      </w:rPr>
    </w:lvl>
    <w:lvl w:ilvl="3" w:tplc="040C0001" w:tentative="1">
      <w:start w:val="1"/>
      <w:numFmt w:val="bullet"/>
      <w:lvlText w:val=""/>
      <w:lvlJc w:val="left"/>
      <w:pPr>
        <w:ind w:left="4397" w:hanging="360"/>
      </w:pPr>
      <w:rPr>
        <w:rFonts w:ascii="Symbol" w:hAnsi="Symbol" w:hint="default"/>
      </w:rPr>
    </w:lvl>
    <w:lvl w:ilvl="4" w:tplc="040C0003" w:tentative="1">
      <w:start w:val="1"/>
      <w:numFmt w:val="bullet"/>
      <w:lvlText w:val="o"/>
      <w:lvlJc w:val="left"/>
      <w:pPr>
        <w:ind w:left="5117" w:hanging="360"/>
      </w:pPr>
      <w:rPr>
        <w:rFonts w:ascii="Courier New" w:hAnsi="Courier New" w:cs="Courier New" w:hint="default"/>
      </w:rPr>
    </w:lvl>
    <w:lvl w:ilvl="5" w:tplc="040C0005" w:tentative="1">
      <w:start w:val="1"/>
      <w:numFmt w:val="bullet"/>
      <w:lvlText w:val=""/>
      <w:lvlJc w:val="left"/>
      <w:pPr>
        <w:ind w:left="5837" w:hanging="360"/>
      </w:pPr>
      <w:rPr>
        <w:rFonts w:ascii="Wingdings" w:hAnsi="Wingdings" w:hint="default"/>
      </w:rPr>
    </w:lvl>
    <w:lvl w:ilvl="6" w:tplc="040C0001" w:tentative="1">
      <w:start w:val="1"/>
      <w:numFmt w:val="bullet"/>
      <w:lvlText w:val=""/>
      <w:lvlJc w:val="left"/>
      <w:pPr>
        <w:ind w:left="6557" w:hanging="360"/>
      </w:pPr>
      <w:rPr>
        <w:rFonts w:ascii="Symbol" w:hAnsi="Symbol" w:hint="default"/>
      </w:rPr>
    </w:lvl>
    <w:lvl w:ilvl="7" w:tplc="040C0003" w:tentative="1">
      <w:start w:val="1"/>
      <w:numFmt w:val="bullet"/>
      <w:lvlText w:val="o"/>
      <w:lvlJc w:val="left"/>
      <w:pPr>
        <w:ind w:left="7277" w:hanging="360"/>
      </w:pPr>
      <w:rPr>
        <w:rFonts w:ascii="Courier New" w:hAnsi="Courier New" w:cs="Courier New" w:hint="default"/>
      </w:rPr>
    </w:lvl>
    <w:lvl w:ilvl="8" w:tplc="040C0005" w:tentative="1">
      <w:start w:val="1"/>
      <w:numFmt w:val="bullet"/>
      <w:lvlText w:val=""/>
      <w:lvlJc w:val="left"/>
      <w:pPr>
        <w:ind w:left="7997" w:hanging="360"/>
      </w:pPr>
      <w:rPr>
        <w:rFonts w:ascii="Wingdings" w:hAnsi="Wingdings" w:hint="default"/>
      </w:rPr>
    </w:lvl>
  </w:abstractNum>
  <w:abstractNum w:abstractNumId="54" w15:restartNumberingAfterBreak="0">
    <w:nsid w:val="4E694B43"/>
    <w:multiLevelType w:val="hybridMultilevel"/>
    <w:tmpl w:val="1CC2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E53333"/>
    <w:multiLevelType w:val="hybridMultilevel"/>
    <w:tmpl w:val="8DD6CA3C"/>
    <w:lvl w:ilvl="0" w:tplc="0407000F">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6" w15:restartNumberingAfterBreak="0">
    <w:nsid w:val="530E0E15"/>
    <w:multiLevelType w:val="hybridMultilevel"/>
    <w:tmpl w:val="D56E9B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3C323F6"/>
    <w:multiLevelType w:val="hybridMultilevel"/>
    <w:tmpl w:val="8C3A17B6"/>
    <w:lvl w:ilvl="0" w:tplc="F81260CC">
      <w:start w:val="17"/>
      <w:numFmt w:val="decimal"/>
      <w:lvlText w:val="%1."/>
      <w:lvlJc w:val="left"/>
      <w:pPr>
        <w:ind w:left="753" w:hanging="540"/>
      </w:pPr>
      <w:rPr>
        <w:rFonts w:ascii="Calibri" w:eastAsia="Calibri" w:hAnsi="Calibri" w:hint="default"/>
        <w:b/>
        <w:bCs/>
        <w:w w:val="99"/>
        <w:sz w:val="24"/>
        <w:szCs w:val="24"/>
      </w:rPr>
    </w:lvl>
    <w:lvl w:ilvl="1" w:tplc="FF9EE43A">
      <w:start w:val="1"/>
      <w:numFmt w:val="bullet"/>
      <w:lvlText w:val=""/>
      <w:lvlJc w:val="left"/>
      <w:pPr>
        <w:ind w:left="933" w:hanging="360"/>
      </w:pPr>
      <w:rPr>
        <w:rFonts w:ascii="Symbol" w:eastAsia="Symbol" w:hAnsi="Symbol" w:hint="default"/>
        <w:sz w:val="22"/>
        <w:szCs w:val="22"/>
      </w:rPr>
    </w:lvl>
    <w:lvl w:ilvl="2" w:tplc="0D2A6A8C">
      <w:start w:val="1"/>
      <w:numFmt w:val="bullet"/>
      <w:lvlText w:val="•"/>
      <w:lvlJc w:val="left"/>
      <w:pPr>
        <w:ind w:left="1948" w:hanging="360"/>
      </w:pPr>
      <w:rPr>
        <w:rFonts w:hint="default"/>
      </w:rPr>
    </w:lvl>
    <w:lvl w:ilvl="3" w:tplc="E94A6156">
      <w:start w:val="1"/>
      <w:numFmt w:val="bullet"/>
      <w:lvlText w:val="•"/>
      <w:lvlJc w:val="left"/>
      <w:pPr>
        <w:ind w:left="2962" w:hanging="360"/>
      </w:pPr>
      <w:rPr>
        <w:rFonts w:hint="default"/>
      </w:rPr>
    </w:lvl>
    <w:lvl w:ilvl="4" w:tplc="AF7217DC">
      <w:start w:val="1"/>
      <w:numFmt w:val="bullet"/>
      <w:lvlText w:val="•"/>
      <w:lvlJc w:val="left"/>
      <w:pPr>
        <w:ind w:left="3977" w:hanging="360"/>
      </w:pPr>
      <w:rPr>
        <w:rFonts w:hint="default"/>
      </w:rPr>
    </w:lvl>
    <w:lvl w:ilvl="5" w:tplc="B6C2E568">
      <w:start w:val="1"/>
      <w:numFmt w:val="bullet"/>
      <w:lvlText w:val="•"/>
      <w:lvlJc w:val="left"/>
      <w:pPr>
        <w:ind w:left="4992" w:hanging="360"/>
      </w:pPr>
      <w:rPr>
        <w:rFonts w:hint="default"/>
      </w:rPr>
    </w:lvl>
    <w:lvl w:ilvl="6" w:tplc="85ACB55A">
      <w:start w:val="1"/>
      <w:numFmt w:val="bullet"/>
      <w:lvlText w:val="•"/>
      <w:lvlJc w:val="left"/>
      <w:pPr>
        <w:ind w:left="6007" w:hanging="360"/>
      </w:pPr>
      <w:rPr>
        <w:rFonts w:hint="default"/>
      </w:rPr>
    </w:lvl>
    <w:lvl w:ilvl="7" w:tplc="ECC2757E">
      <w:start w:val="1"/>
      <w:numFmt w:val="bullet"/>
      <w:lvlText w:val="•"/>
      <w:lvlJc w:val="left"/>
      <w:pPr>
        <w:ind w:left="7022" w:hanging="360"/>
      </w:pPr>
      <w:rPr>
        <w:rFonts w:hint="default"/>
      </w:rPr>
    </w:lvl>
    <w:lvl w:ilvl="8" w:tplc="0162655E">
      <w:start w:val="1"/>
      <w:numFmt w:val="bullet"/>
      <w:lvlText w:val="•"/>
      <w:lvlJc w:val="left"/>
      <w:pPr>
        <w:ind w:left="8036" w:hanging="360"/>
      </w:pPr>
      <w:rPr>
        <w:rFonts w:hint="default"/>
      </w:rPr>
    </w:lvl>
  </w:abstractNum>
  <w:abstractNum w:abstractNumId="58" w15:restartNumberingAfterBreak="0">
    <w:nsid w:val="556C5FBF"/>
    <w:multiLevelType w:val="multilevel"/>
    <w:tmpl w:val="1736DB5C"/>
    <w:lvl w:ilvl="0">
      <w:start w:val="1"/>
      <w:numFmt w:val="decimal"/>
      <w:lvlText w:val="%1."/>
      <w:lvlJc w:val="left"/>
      <w:pPr>
        <w:ind w:left="360" w:hanging="360"/>
      </w:pPr>
      <w:rPr>
        <w:rFonts w:eastAsia="Arial" w:hint="default"/>
        <w:color w:val="00000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15:restartNumberingAfterBreak="0">
    <w:nsid w:val="56B51BFF"/>
    <w:multiLevelType w:val="multilevel"/>
    <w:tmpl w:val="1736DB5C"/>
    <w:lvl w:ilvl="0">
      <w:start w:val="1"/>
      <w:numFmt w:val="decimal"/>
      <w:lvlText w:val="%1."/>
      <w:lvlJc w:val="left"/>
      <w:pPr>
        <w:ind w:left="360" w:hanging="360"/>
      </w:pPr>
      <w:rPr>
        <w:rFonts w:eastAsia="Arial" w:hint="default"/>
        <w:color w:val="00000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5D584DBB"/>
    <w:multiLevelType w:val="hybridMultilevel"/>
    <w:tmpl w:val="A4D4E6C2"/>
    <w:lvl w:ilvl="0" w:tplc="6486E07C">
      <w:start w:val="1"/>
      <w:numFmt w:val="bullet"/>
      <w:pStyle w:val="Headingbulletlvl"/>
      <w:lvlText w:val=""/>
      <w:lvlPicBulletId w:val="2"/>
      <w:lvlJc w:val="left"/>
      <w:pPr>
        <w:ind w:left="720" w:hanging="360"/>
      </w:pPr>
      <w:rPr>
        <w:rFonts w:ascii="Symbol" w:hAnsi="Symbol" w:hint="default"/>
        <w:color w:val="auto"/>
      </w:rPr>
    </w:lvl>
    <w:lvl w:ilvl="1" w:tplc="040C0003">
      <w:start w:val="1"/>
      <w:numFmt w:val="bullet"/>
      <w:pStyle w:val="HeadingBullet2"/>
      <w:lvlText w:val=""/>
      <w:lvlPicBulletId w:val="3"/>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D7C3742"/>
    <w:multiLevelType w:val="hybridMultilevel"/>
    <w:tmpl w:val="3BF0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8861C2"/>
    <w:multiLevelType w:val="multilevel"/>
    <w:tmpl w:val="42B6A12C"/>
    <w:lvl w:ilvl="0">
      <w:start w:val="1"/>
      <w:numFmt w:val="decimal"/>
      <w:lvlText w:val="%1"/>
      <w:lvlJc w:val="left"/>
      <w:pPr>
        <w:ind w:left="630" w:hanging="630"/>
      </w:pPr>
      <w:rPr>
        <w:rFonts w:hint="default"/>
      </w:rPr>
    </w:lvl>
    <w:lvl w:ilvl="1">
      <w:start w:val="1"/>
      <w:numFmt w:val="decimal"/>
      <w:lvlText w:val="%1.%2"/>
      <w:lvlJc w:val="left"/>
      <w:pPr>
        <w:ind w:left="1443" w:hanging="63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3" w15:restartNumberingAfterBreak="0">
    <w:nsid w:val="5E553D54"/>
    <w:multiLevelType w:val="hybridMultilevel"/>
    <w:tmpl w:val="A3F81284"/>
    <w:lvl w:ilvl="0" w:tplc="9ABCA948">
      <w:start w:val="1"/>
      <w:numFmt w:val="bullet"/>
      <w:pStyle w:val="Puce2"/>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1D906E3"/>
    <w:multiLevelType w:val="hybridMultilevel"/>
    <w:tmpl w:val="E7A0AB90"/>
    <w:lvl w:ilvl="0" w:tplc="74488746">
      <w:start w:val="1"/>
      <w:numFmt w:val="bullet"/>
      <w:pStyle w:val="Tableau-Puceverte"/>
      <w:lvlText w:val=""/>
      <w:lvlJc w:val="left"/>
      <w:pPr>
        <w:ind w:left="720" w:hanging="360"/>
      </w:pPr>
      <w:rPr>
        <w:rFonts w:ascii="Symbol" w:hAnsi="Symbol" w:hint="default"/>
        <w:b w:val="0"/>
        <w:i w:val="0"/>
        <w:color w:val="92D400"/>
        <w:sz w:val="18"/>
      </w:rPr>
    </w:lvl>
    <w:lvl w:ilvl="1" w:tplc="C206D49E">
      <w:start w:val="1"/>
      <w:numFmt w:val="bullet"/>
      <w:pStyle w:val="Tableau-Tiret"/>
      <w:lvlText w:val="−"/>
      <w:lvlJc w:val="left"/>
      <w:pPr>
        <w:ind w:left="1440" w:hanging="360"/>
      </w:pPr>
      <w:rPr>
        <w:rFonts w:ascii="Arial" w:hAnsi="Arial"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0339FF"/>
    <w:multiLevelType w:val="hybridMultilevel"/>
    <w:tmpl w:val="AE02278E"/>
    <w:lvl w:ilvl="0" w:tplc="C05E5640">
      <w:start w:val="1"/>
      <w:numFmt w:val="bullet"/>
      <w:pStyle w:val="Pointsousnormal"/>
      <w:lvlText w:val=""/>
      <w:lvlJc w:val="left"/>
      <w:pPr>
        <w:tabs>
          <w:tab w:val="num" w:pos="397"/>
        </w:tabs>
        <w:ind w:left="397" w:hanging="397"/>
      </w:pPr>
      <w:rPr>
        <w:rFonts w:ascii="Symbol" w:hAnsi="Symbol" w:hint="default"/>
        <w:color w:val="339966"/>
        <w:sz w:val="18"/>
      </w:rPr>
    </w:lvl>
    <w:lvl w:ilvl="1" w:tplc="4560047E">
      <w:start w:val="1"/>
      <w:numFmt w:val="bullet"/>
      <w:lvlText w:val="o"/>
      <w:lvlJc w:val="left"/>
      <w:pPr>
        <w:tabs>
          <w:tab w:val="num" w:pos="1440"/>
        </w:tabs>
        <w:ind w:left="1440" w:hanging="360"/>
      </w:pPr>
      <w:rPr>
        <w:rFonts w:ascii="Courier New" w:hAnsi="Courier New" w:hint="default"/>
      </w:rPr>
    </w:lvl>
    <w:lvl w:ilvl="2" w:tplc="C436DED4">
      <w:start w:val="1"/>
      <w:numFmt w:val="bullet"/>
      <w:lvlText w:val=""/>
      <w:lvlJc w:val="left"/>
      <w:pPr>
        <w:tabs>
          <w:tab w:val="num" w:pos="2160"/>
        </w:tabs>
        <w:ind w:left="2160" w:hanging="360"/>
      </w:pPr>
      <w:rPr>
        <w:rFonts w:ascii="Wingdings" w:hAnsi="Wingdings" w:hint="default"/>
      </w:rPr>
    </w:lvl>
    <w:lvl w:ilvl="3" w:tplc="0054D806" w:tentative="1">
      <w:start w:val="1"/>
      <w:numFmt w:val="bullet"/>
      <w:lvlText w:val=""/>
      <w:lvlJc w:val="left"/>
      <w:pPr>
        <w:tabs>
          <w:tab w:val="num" w:pos="2880"/>
        </w:tabs>
        <w:ind w:left="2880" w:hanging="360"/>
      </w:pPr>
      <w:rPr>
        <w:rFonts w:ascii="Symbol" w:hAnsi="Symbol" w:hint="default"/>
      </w:rPr>
    </w:lvl>
    <w:lvl w:ilvl="4" w:tplc="D9726202" w:tentative="1">
      <w:start w:val="1"/>
      <w:numFmt w:val="bullet"/>
      <w:lvlText w:val="o"/>
      <w:lvlJc w:val="left"/>
      <w:pPr>
        <w:tabs>
          <w:tab w:val="num" w:pos="3600"/>
        </w:tabs>
        <w:ind w:left="3600" w:hanging="360"/>
      </w:pPr>
      <w:rPr>
        <w:rFonts w:ascii="Courier New" w:hAnsi="Courier New" w:hint="default"/>
      </w:rPr>
    </w:lvl>
    <w:lvl w:ilvl="5" w:tplc="832EEE90" w:tentative="1">
      <w:start w:val="1"/>
      <w:numFmt w:val="bullet"/>
      <w:lvlText w:val=""/>
      <w:lvlJc w:val="left"/>
      <w:pPr>
        <w:tabs>
          <w:tab w:val="num" w:pos="4320"/>
        </w:tabs>
        <w:ind w:left="4320" w:hanging="360"/>
      </w:pPr>
      <w:rPr>
        <w:rFonts w:ascii="Wingdings" w:hAnsi="Wingdings" w:hint="default"/>
      </w:rPr>
    </w:lvl>
    <w:lvl w:ilvl="6" w:tplc="8BB6579C" w:tentative="1">
      <w:start w:val="1"/>
      <w:numFmt w:val="bullet"/>
      <w:lvlText w:val=""/>
      <w:lvlJc w:val="left"/>
      <w:pPr>
        <w:tabs>
          <w:tab w:val="num" w:pos="5040"/>
        </w:tabs>
        <w:ind w:left="5040" w:hanging="360"/>
      </w:pPr>
      <w:rPr>
        <w:rFonts w:ascii="Symbol" w:hAnsi="Symbol" w:hint="default"/>
      </w:rPr>
    </w:lvl>
    <w:lvl w:ilvl="7" w:tplc="895E72CE" w:tentative="1">
      <w:start w:val="1"/>
      <w:numFmt w:val="bullet"/>
      <w:lvlText w:val="o"/>
      <w:lvlJc w:val="left"/>
      <w:pPr>
        <w:tabs>
          <w:tab w:val="num" w:pos="5760"/>
        </w:tabs>
        <w:ind w:left="5760" w:hanging="360"/>
      </w:pPr>
      <w:rPr>
        <w:rFonts w:ascii="Courier New" w:hAnsi="Courier New" w:hint="default"/>
      </w:rPr>
    </w:lvl>
    <w:lvl w:ilvl="8" w:tplc="ECECCD4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3615A66"/>
    <w:multiLevelType w:val="hybridMultilevel"/>
    <w:tmpl w:val="6838B11A"/>
    <w:lvl w:ilvl="0" w:tplc="55AC1AF4">
      <w:start w:val="1"/>
      <w:numFmt w:val="bullet"/>
      <w:pStyle w:val="bulletspointslvl1"/>
      <w:lvlText w:val=""/>
      <w:lvlPicBulletId w:val="0"/>
      <w:lvlJc w:val="left"/>
      <w:pPr>
        <w:ind w:left="2062" w:hanging="360"/>
      </w:pPr>
      <w:rPr>
        <w:rFonts w:ascii="Symbol" w:hAnsi="Symbol" w:cs="Symbol" w:hint="default"/>
        <w:color w:val="auto"/>
        <w:sz w:val="22"/>
        <w:szCs w:val="22"/>
        <w:lang w:val="fr-FR"/>
      </w:rPr>
    </w:lvl>
    <w:lvl w:ilvl="1" w:tplc="9F74B5E6">
      <w:start w:val="1"/>
      <w:numFmt w:val="bullet"/>
      <w:pStyle w:val="CV-Tiret2"/>
      <w:lvlText w:val="-"/>
      <w:lvlJc w:val="left"/>
      <w:pPr>
        <w:ind w:left="2782" w:hanging="360"/>
      </w:pPr>
      <w:rPr>
        <w:rFonts w:ascii="Calibri" w:hAnsi="Calibri" w:hint="default"/>
        <w:color w:val="57B531"/>
        <w:sz w:val="18"/>
      </w:rPr>
    </w:lvl>
    <w:lvl w:ilvl="2" w:tplc="B5A06B10">
      <w:start w:val="1"/>
      <w:numFmt w:val="bullet"/>
      <w:lvlText w:val=""/>
      <w:lvlJc w:val="left"/>
      <w:pPr>
        <w:ind w:left="3502" w:hanging="360"/>
      </w:pPr>
      <w:rPr>
        <w:rFonts w:ascii="Wingdings" w:hAnsi="Wingdings" w:hint="default"/>
      </w:rPr>
    </w:lvl>
    <w:lvl w:ilvl="3" w:tplc="DBF85196">
      <w:start w:val="1"/>
      <w:numFmt w:val="bullet"/>
      <w:lvlText w:val=""/>
      <w:lvlJc w:val="left"/>
      <w:pPr>
        <w:ind w:left="4222" w:hanging="360"/>
      </w:pPr>
      <w:rPr>
        <w:rFonts w:ascii="Symbol" w:hAnsi="Symbol" w:hint="default"/>
        <w:color w:val="auto"/>
      </w:rPr>
    </w:lvl>
    <w:lvl w:ilvl="4" w:tplc="55F4DA64" w:tentative="1">
      <w:start w:val="1"/>
      <w:numFmt w:val="bullet"/>
      <w:lvlText w:val="o"/>
      <w:lvlJc w:val="left"/>
      <w:pPr>
        <w:ind w:left="4942" w:hanging="360"/>
      </w:pPr>
      <w:rPr>
        <w:rFonts w:ascii="Courier New" w:hAnsi="Courier New" w:cs="Courier New" w:hint="default"/>
      </w:rPr>
    </w:lvl>
    <w:lvl w:ilvl="5" w:tplc="BC20CB56" w:tentative="1">
      <w:start w:val="1"/>
      <w:numFmt w:val="bullet"/>
      <w:lvlText w:val=""/>
      <w:lvlJc w:val="left"/>
      <w:pPr>
        <w:ind w:left="5662" w:hanging="360"/>
      </w:pPr>
      <w:rPr>
        <w:rFonts w:ascii="Wingdings" w:hAnsi="Wingdings" w:hint="default"/>
      </w:rPr>
    </w:lvl>
    <w:lvl w:ilvl="6" w:tplc="37788678" w:tentative="1">
      <w:start w:val="1"/>
      <w:numFmt w:val="bullet"/>
      <w:lvlText w:val=""/>
      <w:lvlJc w:val="left"/>
      <w:pPr>
        <w:ind w:left="6382" w:hanging="360"/>
      </w:pPr>
      <w:rPr>
        <w:rFonts w:ascii="Symbol" w:hAnsi="Symbol" w:hint="default"/>
      </w:rPr>
    </w:lvl>
    <w:lvl w:ilvl="7" w:tplc="192E756E" w:tentative="1">
      <w:start w:val="1"/>
      <w:numFmt w:val="bullet"/>
      <w:lvlText w:val="o"/>
      <w:lvlJc w:val="left"/>
      <w:pPr>
        <w:ind w:left="7102" w:hanging="360"/>
      </w:pPr>
      <w:rPr>
        <w:rFonts w:ascii="Courier New" w:hAnsi="Courier New" w:cs="Courier New" w:hint="default"/>
      </w:rPr>
    </w:lvl>
    <w:lvl w:ilvl="8" w:tplc="704C7AE4" w:tentative="1">
      <w:start w:val="1"/>
      <w:numFmt w:val="bullet"/>
      <w:lvlText w:val=""/>
      <w:lvlJc w:val="left"/>
      <w:pPr>
        <w:ind w:left="7822" w:hanging="360"/>
      </w:pPr>
      <w:rPr>
        <w:rFonts w:ascii="Wingdings" w:hAnsi="Wingdings" w:hint="default"/>
      </w:rPr>
    </w:lvl>
  </w:abstractNum>
  <w:abstractNum w:abstractNumId="67" w15:restartNumberingAfterBreak="0">
    <w:nsid w:val="656528BE"/>
    <w:multiLevelType w:val="hybridMultilevel"/>
    <w:tmpl w:val="945E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8E4A16"/>
    <w:multiLevelType w:val="hybridMultilevel"/>
    <w:tmpl w:val="05FE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2858E5"/>
    <w:multiLevelType w:val="hybridMultilevel"/>
    <w:tmpl w:val="498E622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0" w15:restartNumberingAfterBreak="0">
    <w:nsid w:val="66E059A5"/>
    <w:multiLevelType w:val="hybridMultilevel"/>
    <w:tmpl w:val="5874DE92"/>
    <w:lvl w:ilvl="0" w:tplc="A26A420C">
      <w:start w:val="3"/>
      <w:numFmt w:val="bullet"/>
      <w:lvlText w:val="-"/>
      <w:lvlJc w:val="left"/>
      <w:pPr>
        <w:tabs>
          <w:tab w:val="num" w:pos="1003"/>
        </w:tabs>
        <w:ind w:left="1003" w:hanging="360"/>
      </w:pPr>
      <w:rPr>
        <w:rFonts w:ascii="Arial" w:eastAsia="Times New Roman" w:hAnsi="Arial" w:cs="Arial" w:hint="default"/>
      </w:rPr>
    </w:lvl>
    <w:lvl w:ilvl="1" w:tplc="2F86811E">
      <w:numFmt w:val="bullet"/>
      <w:pStyle w:val="DBulletlevel2"/>
      <w:lvlText w:val="-"/>
      <w:lvlJc w:val="left"/>
      <w:pPr>
        <w:tabs>
          <w:tab w:val="num" w:pos="1723"/>
        </w:tabs>
        <w:ind w:left="1723" w:hanging="360"/>
      </w:pPr>
      <w:rPr>
        <w:rFonts w:ascii="Calibri" w:hAnsi="Calibri" w:cs="Times New Roman" w:hint="default"/>
        <w:color w:val="00A1DE" w:themeColor="accent3"/>
        <w:sz w:val="22"/>
      </w:rPr>
    </w:lvl>
    <w:lvl w:ilvl="2" w:tplc="5D68F92E">
      <w:numFmt w:val="bullet"/>
      <w:lvlText w:val="-"/>
      <w:lvlJc w:val="left"/>
      <w:pPr>
        <w:tabs>
          <w:tab w:val="num" w:pos="2443"/>
        </w:tabs>
        <w:ind w:left="2443" w:hanging="360"/>
      </w:pPr>
      <w:rPr>
        <w:rFonts w:ascii="Calibri" w:eastAsia="Calibri" w:hAnsi="Calibri" w:cs="Times New Roman" w:hint="default"/>
        <w:color w:val="008000"/>
        <w:sz w:val="22"/>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71" w15:restartNumberingAfterBreak="0">
    <w:nsid w:val="6882173C"/>
    <w:multiLevelType w:val="multilevel"/>
    <w:tmpl w:val="55BCA106"/>
    <w:lvl w:ilvl="0">
      <w:start w:val="1"/>
      <w:numFmt w:val="decimal"/>
      <w:lvlText w:val="%1.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8A71408"/>
    <w:multiLevelType w:val="hybridMultilevel"/>
    <w:tmpl w:val="70AACC78"/>
    <w:lvl w:ilvl="0" w:tplc="78D4F66C">
      <w:start w:val="1"/>
      <w:numFmt w:val="bullet"/>
      <w:lvlText w:val=""/>
      <w:lvlJc w:val="left"/>
      <w:pPr>
        <w:ind w:left="720" w:hanging="360"/>
      </w:pPr>
      <w:rPr>
        <w:rFonts w:ascii="Symbol" w:hAnsi="Symbol" w:hint="default"/>
        <w:color w:val="92D400"/>
      </w:rPr>
    </w:lvl>
    <w:lvl w:ilvl="1" w:tplc="4C4C85D8">
      <w:start w:val="1"/>
      <w:numFmt w:val="bullet"/>
      <w:pStyle w:val="ListBullet2"/>
      <w:lvlText w:val="-"/>
      <w:lvlJc w:val="left"/>
      <w:pPr>
        <w:ind w:left="1440" w:hanging="360"/>
      </w:pPr>
      <w:rPr>
        <w:rFonts w:ascii="Arial" w:hAnsi="Arial" w:cs="Arial" w:hint="default"/>
        <w:b w:val="0"/>
        <w:bCs w:val="0"/>
        <w:i w:val="0"/>
        <w:iCs w:val="0"/>
        <w:color w:val="002776"/>
        <w:sz w:val="22"/>
        <w:szCs w:val="22"/>
        <w:u w:val="none"/>
      </w:rPr>
    </w:lvl>
    <w:lvl w:ilvl="2" w:tplc="D0F60336">
      <w:start w:val="1"/>
      <w:numFmt w:val="bullet"/>
      <w:pStyle w:val="ListBullet3"/>
      <w:lvlText w:val=""/>
      <w:lvlJc w:val="left"/>
      <w:pPr>
        <w:ind w:left="2160" w:hanging="360"/>
      </w:pPr>
      <w:rPr>
        <w:rFonts w:ascii="Wingdings" w:hAnsi="Wingdings" w:hint="default"/>
        <w:color w:val="002776"/>
      </w:rPr>
    </w:lvl>
    <w:lvl w:ilvl="3" w:tplc="D62C0112">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8E15F0A"/>
    <w:multiLevelType w:val="hybridMultilevel"/>
    <w:tmpl w:val="0FE6365C"/>
    <w:lvl w:ilvl="0" w:tplc="C86E99F0">
      <w:start w:val="1"/>
      <w:numFmt w:val="decimal"/>
      <w:pStyle w:val="DListe"/>
      <w:lvlText w:val="%1."/>
      <w:lvlJc w:val="left"/>
      <w:pPr>
        <w:ind w:left="720" w:hanging="360"/>
      </w:pPr>
      <w:rPr>
        <w:rFonts w:hint="default"/>
        <w:color w:val="00A1DE"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872752"/>
    <w:multiLevelType w:val="hybridMultilevel"/>
    <w:tmpl w:val="1D8CD914"/>
    <w:lvl w:ilvl="0" w:tplc="553EA7C0">
      <w:start w:val="1"/>
      <w:numFmt w:val="bullet"/>
      <w:pStyle w:val="ListBullet"/>
      <w:lvlText w:val=""/>
      <w:lvlJc w:val="left"/>
      <w:pPr>
        <w:ind w:left="720" w:hanging="360"/>
      </w:pPr>
      <w:rPr>
        <w:rFonts w:ascii="Symbol" w:hAnsi="Symbol" w:hint="default"/>
        <w:color w:val="92D4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9C565AB"/>
    <w:multiLevelType w:val="multilevel"/>
    <w:tmpl w:val="23B8D64C"/>
    <w:styleLink w:val="ImportedStyle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80"/>
        </w:tabs>
        <w:ind w:left="10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800"/>
        </w:tabs>
        <w:ind w:left="18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520"/>
        </w:tabs>
        <w:ind w:left="25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40"/>
        </w:tabs>
        <w:ind w:left="32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60"/>
        </w:tabs>
        <w:ind w:left="39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80"/>
        </w:tabs>
        <w:ind w:left="46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400"/>
        </w:tabs>
        <w:ind w:left="54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120"/>
        </w:tabs>
        <w:ind w:left="61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76" w15:restartNumberingAfterBreak="0">
    <w:nsid w:val="6A32476F"/>
    <w:multiLevelType w:val="hybridMultilevel"/>
    <w:tmpl w:val="7E76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986DFD"/>
    <w:multiLevelType w:val="multilevel"/>
    <w:tmpl w:val="2244EBFA"/>
    <w:lvl w:ilvl="0">
      <w:start w:val="1"/>
      <w:numFmt w:val="decimal"/>
      <w:pStyle w:val="Heading2"/>
      <w:lvlText w:val="%1."/>
      <w:lvlJc w:val="left"/>
      <w:pPr>
        <w:ind w:left="1800" w:hanging="360"/>
      </w:pPr>
      <w:rPr>
        <w:rFonts w:ascii="Arial" w:hAnsi="Arial" w:hint="default"/>
        <w:b/>
        <w:i w:val="0"/>
        <w:color w:val="00A1DE" w:themeColor="accent3"/>
        <w:sz w:val="24"/>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8" w15:restartNumberingAfterBreak="0">
    <w:nsid w:val="6E6569FD"/>
    <w:multiLevelType w:val="multilevel"/>
    <w:tmpl w:val="9F341C0E"/>
    <w:styleLink w:val="BulletBig"/>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9" w15:restartNumberingAfterBreak="0">
    <w:nsid w:val="6EFA2FF4"/>
    <w:multiLevelType w:val="hybridMultilevel"/>
    <w:tmpl w:val="E4C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B51E3F"/>
    <w:multiLevelType w:val="hybridMultilevel"/>
    <w:tmpl w:val="3A1E16D6"/>
    <w:lvl w:ilvl="0" w:tplc="96BE77AE">
      <w:start w:val="1"/>
      <w:numFmt w:val="bullet"/>
      <w:lvlText w:val=""/>
      <w:lvlJc w:val="left"/>
      <w:pPr>
        <w:ind w:left="822" w:hanging="180"/>
      </w:pPr>
      <w:rPr>
        <w:rFonts w:ascii="Symbol" w:eastAsia="Symbol" w:hAnsi="Symbol" w:hint="default"/>
        <w:sz w:val="22"/>
        <w:szCs w:val="22"/>
      </w:rPr>
    </w:lvl>
    <w:lvl w:ilvl="1" w:tplc="AAFC2A78">
      <w:start w:val="1"/>
      <w:numFmt w:val="bullet"/>
      <w:lvlText w:val="•"/>
      <w:lvlJc w:val="left"/>
      <w:pPr>
        <w:ind w:left="1396" w:hanging="180"/>
      </w:pPr>
      <w:rPr>
        <w:rFonts w:hint="default"/>
      </w:rPr>
    </w:lvl>
    <w:lvl w:ilvl="2" w:tplc="95AEC8A6">
      <w:start w:val="1"/>
      <w:numFmt w:val="bullet"/>
      <w:lvlText w:val="•"/>
      <w:lvlJc w:val="left"/>
      <w:pPr>
        <w:ind w:left="1969" w:hanging="180"/>
      </w:pPr>
      <w:rPr>
        <w:rFonts w:hint="default"/>
      </w:rPr>
    </w:lvl>
    <w:lvl w:ilvl="3" w:tplc="177A06BC">
      <w:start w:val="1"/>
      <w:numFmt w:val="bullet"/>
      <w:lvlText w:val="•"/>
      <w:lvlJc w:val="left"/>
      <w:pPr>
        <w:ind w:left="2543" w:hanging="180"/>
      </w:pPr>
      <w:rPr>
        <w:rFonts w:hint="default"/>
      </w:rPr>
    </w:lvl>
    <w:lvl w:ilvl="4" w:tplc="DEB67E86">
      <w:start w:val="1"/>
      <w:numFmt w:val="bullet"/>
      <w:lvlText w:val="•"/>
      <w:lvlJc w:val="left"/>
      <w:pPr>
        <w:ind w:left="3117" w:hanging="180"/>
      </w:pPr>
      <w:rPr>
        <w:rFonts w:hint="default"/>
      </w:rPr>
    </w:lvl>
    <w:lvl w:ilvl="5" w:tplc="7CE4D9F2">
      <w:start w:val="1"/>
      <w:numFmt w:val="bullet"/>
      <w:lvlText w:val="•"/>
      <w:lvlJc w:val="left"/>
      <w:pPr>
        <w:ind w:left="3691" w:hanging="180"/>
      </w:pPr>
      <w:rPr>
        <w:rFonts w:hint="default"/>
      </w:rPr>
    </w:lvl>
    <w:lvl w:ilvl="6" w:tplc="DBF4CB02">
      <w:start w:val="1"/>
      <w:numFmt w:val="bullet"/>
      <w:lvlText w:val="•"/>
      <w:lvlJc w:val="left"/>
      <w:pPr>
        <w:ind w:left="4265" w:hanging="180"/>
      </w:pPr>
      <w:rPr>
        <w:rFonts w:hint="default"/>
      </w:rPr>
    </w:lvl>
    <w:lvl w:ilvl="7" w:tplc="C994E51C">
      <w:start w:val="1"/>
      <w:numFmt w:val="bullet"/>
      <w:lvlText w:val="•"/>
      <w:lvlJc w:val="left"/>
      <w:pPr>
        <w:ind w:left="4839" w:hanging="180"/>
      </w:pPr>
      <w:rPr>
        <w:rFonts w:hint="default"/>
      </w:rPr>
    </w:lvl>
    <w:lvl w:ilvl="8" w:tplc="19A40C74">
      <w:start w:val="1"/>
      <w:numFmt w:val="bullet"/>
      <w:lvlText w:val="•"/>
      <w:lvlJc w:val="left"/>
      <w:pPr>
        <w:ind w:left="5413" w:hanging="180"/>
      </w:pPr>
      <w:rPr>
        <w:rFonts w:hint="default"/>
      </w:rPr>
    </w:lvl>
  </w:abstractNum>
  <w:abstractNum w:abstractNumId="81" w15:restartNumberingAfterBreak="0">
    <w:nsid w:val="72002DCE"/>
    <w:multiLevelType w:val="hybridMultilevel"/>
    <w:tmpl w:val="1736DB5C"/>
    <w:lvl w:ilvl="0" w:tplc="F500BABA">
      <w:start w:val="1"/>
      <w:numFmt w:val="decimal"/>
      <w:lvlText w:val="%1."/>
      <w:lvlJc w:val="left"/>
      <w:pPr>
        <w:ind w:left="360" w:hanging="360"/>
      </w:pPr>
      <w:rPr>
        <w:rFonts w:eastAsia="Aria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2932FAC"/>
    <w:multiLevelType w:val="hybridMultilevel"/>
    <w:tmpl w:val="4C12A2DC"/>
    <w:lvl w:ilvl="0" w:tplc="358EED9E">
      <w:numFmt w:val="bullet"/>
      <w:lvlText w:val="-"/>
      <w:lvlJc w:val="left"/>
      <w:pPr>
        <w:ind w:left="420" w:hanging="360"/>
      </w:pPr>
      <w:rPr>
        <w:rFonts w:ascii="Arial" w:eastAsia="Times"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3" w15:restartNumberingAfterBreak="0">
    <w:nsid w:val="72BC78D5"/>
    <w:multiLevelType w:val="hybridMultilevel"/>
    <w:tmpl w:val="91ECB2C6"/>
    <w:lvl w:ilvl="0" w:tplc="F86C0444">
      <w:start w:val="10"/>
      <w:numFmt w:val="decimal"/>
      <w:lvlText w:val="%1."/>
      <w:lvlJc w:val="left"/>
      <w:pPr>
        <w:ind w:left="173" w:hanging="540"/>
      </w:pPr>
      <w:rPr>
        <w:rFonts w:ascii="Calibri" w:eastAsia="Calibri" w:hAnsi="Calibri" w:hint="default"/>
        <w:b/>
        <w:bCs/>
        <w:w w:val="99"/>
        <w:sz w:val="24"/>
        <w:szCs w:val="24"/>
      </w:rPr>
    </w:lvl>
    <w:lvl w:ilvl="1" w:tplc="ED7A1FD2">
      <w:start w:val="1"/>
      <w:numFmt w:val="bullet"/>
      <w:lvlText w:val=""/>
      <w:lvlJc w:val="left"/>
      <w:pPr>
        <w:ind w:left="893" w:hanging="360"/>
      </w:pPr>
      <w:rPr>
        <w:rFonts w:ascii="Symbol" w:eastAsia="Symbol" w:hAnsi="Symbol" w:hint="default"/>
        <w:sz w:val="22"/>
        <w:szCs w:val="22"/>
      </w:rPr>
    </w:lvl>
    <w:lvl w:ilvl="2" w:tplc="FE1892A0">
      <w:start w:val="1"/>
      <w:numFmt w:val="bullet"/>
      <w:lvlText w:val="•"/>
      <w:lvlJc w:val="left"/>
      <w:pPr>
        <w:ind w:left="1903" w:hanging="360"/>
      </w:pPr>
      <w:rPr>
        <w:rFonts w:hint="default"/>
      </w:rPr>
    </w:lvl>
    <w:lvl w:ilvl="3" w:tplc="9F0E736E">
      <w:start w:val="1"/>
      <w:numFmt w:val="bullet"/>
      <w:lvlText w:val="•"/>
      <w:lvlJc w:val="left"/>
      <w:pPr>
        <w:ind w:left="2913" w:hanging="360"/>
      </w:pPr>
      <w:rPr>
        <w:rFonts w:hint="default"/>
      </w:rPr>
    </w:lvl>
    <w:lvl w:ilvl="4" w:tplc="D766F286">
      <w:start w:val="1"/>
      <w:numFmt w:val="bullet"/>
      <w:lvlText w:val="•"/>
      <w:lvlJc w:val="left"/>
      <w:pPr>
        <w:ind w:left="3924" w:hanging="360"/>
      </w:pPr>
      <w:rPr>
        <w:rFonts w:hint="default"/>
      </w:rPr>
    </w:lvl>
    <w:lvl w:ilvl="5" w:tplc="A66E5BFC">
      <w:start w:val="1"/>
      <w:numFmt w:val="bullet"/>
      <w:lvlText w:val="•"/>
      <w:lvlJc w:val="left"/>
      <w:pPr>
        <w:ind w:left="4934" w:hanging="360"/>
      </w:pPr>
      <w:rPr>
        <w:rFonts w:hint="default"/>
      </w:rPr>
    </w:lvl>
    <w:lvl w:ilvl="6" w:tplc="2E5A786E">
      <w:start w:val="1"/>
      <w:numFmt w:val="bullet"/>
      <w:lvlText w:val="•"/>
      <w:lvlJc w:val="left"/>
      <w:pPr>
        <w:ind w:left="5945" w:hanging="360"/>
      </w:pPr>
      <w:rPr>
        <w:rFonts w:hint="default"/>
      </w:rPr>
    </w:lvl>
    <w:lvl w:ilvl="7" w:tplc="8246312C">
      <w:start w:val="1"/>
      <w:numFmt w:val="bullet"/>
      <w:lvlText w:val="•"/>
      <w:lvlJc w:val="left"/>
      <w:pPr>
        <w:ind w:left="6955" w:hanging="360"/>
      </w:pPr>
      <w:rPr>
        <w:rFonts w:hint="default"/>
      </w:rPr>
    </w:lvl>
    <w:lvl w:ilvl="8" w:tplc="BC10443E">
      <w:start w:val="1"/>
      <w:numFmt w:val="bullet"/>
      <w:lvlText w:val="•"/>
      <w:lvlJc w:val="left"/>
      <w:pPr>
        <w:ind w:left="7965" w:hanging="360"/>
      </w:pPr>
      <w:rPr>
        <w:rFonts w:hint="default"/>
      </w:rPr>
    </w:lvl>
  </w:abstractNum>
  <w:abstractNum w:abstractNumId="84" w15:restartNumberingAfterBreak="0">
    <w:nsid w:val="74466F0F"/>
    <w:multiLevelType w:val="hybridMultilevel"/>
    <w:tmpl w:val="327C3074"/>
    <w:lvl w:ilvl="0" w:tplc="A26A420C">
      <w:start w:val="3"/>
      <w:numFmt w:val="bullet"/>
      <w:lvlText w:val="-"/>
      <w:lvlJc w:val="left"/>
      <w:pPr>
        <w:tabs>
          <w:tab w:val="num" w:pos="1003"/>
        </w:tabs>
        <w:ind w:left="1003" w:hanging="360"/>
      </w:pPr>
      <w:rPr>
        <w:rFonts w:ascii="Arial" w:eastAsia="Times New Roman" w:hAnsi="Arial" w:cs="Arial" w:hint="default"/>
      </w:rPr>
    </w:lvl>
    <w:lvl w:ilvl="1" w:tplc="634486D4">
      <w:numFmt w:val="bullet"/>
      <w:pStyle w:val="DPuces2"/>
      <w:lvlText w:val="-"/>
      <w:lvlJc w:val="left"/>
      <w:pPr>
        <w:tabs>
          <w:tab w:val="num" w:pos="1723"/>
        </w:tabs>
        <w:ind w:left="1723" w:hanging="360"/>
      </w:pPr>
      <w:rPr>
        <w:rFonts w:ascii="Calibri" w:eastAsia="Calibri" w:hAnsi="Calibri" w:cs="Times New Roman" w:hint="default"/>
        <w:color w:val="008000"/>
        <w:sz w:val="22"/>
      </w:rPr>
    </w:lvl>
    <w:lvl w:ilvl="2" w:tplc="0B6455AC">
      <w:start w:val="1"/>
      <w:numFmt w:val="bullet"/>
      <w:lvlText w:val=""/>
      <w:lvlJc w:val="left"/>
      <w:pPr>
        <w:tabs>
          <w:tab w:val="num" w:pos="2443"/>
        </w:tabs>
        <w:ind w:left="2443" w:hanging="360"/>
      </w:pPr>
      <w:rPr>
        <w:rFonts w:ascii="Symbol" w:hAnsi="Symbol" w:hint="default"/>
        <w:color w:val="008000"/>
        <w:sz w:val="22"/>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85" w15:restartNumberingAfterBreak="0">
    <w:nsid w:val="764921A0"/>
    <w:multiLevelType w:val="hybridMultilevel"/>
    <w:tmpl w:val="D33EB2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A240360"/>
    <w:multiLevelType w:val="multilevel"/>
    <w:tmpl w:val="4C18AFEC"/>
    <w:lvl w:ilvl="0">
      <w:start w:val="3"/>
      <w:numFmt w:val="decimal"/>
      <w:lvlText w:val="%1"/>
      <w:lvlJc w:val="left"/>
      <w:pPr>
        <w:ind w:left="360" w:hanging="360"/>
      </w:pPr>
      <w:rPr>
        <w:rFonts w:hint="default"/>
        <w:b/>
      </w:rPr>
    </w:lvl>
    <w:lvl w:ilvl="1">
      <w:start w:val="3"/>
      <w:numFmt w:val="decimal"/>
      <w:lvlText w:val="%1.%2"/>
      <w:lvlJc w:val="left"/>
      <w:pPr>
        <w:ind w:left="898" w:hanging="360"/>
      </w:pPr>
      <w:rPr>
        <w:rFonts w:hint="default"/>
        <w:b/>
      </w:rPr>
    </w:lvl>
    <w:lvl w:ilvl="2">
      <w:start w:val="1"/>
      <w:numFmt w:val="decimal"/>
      <w:lvlText w:val="%1.%2.%3"/>
      <w:lvlJc w:val="left"/>
      <w:pPr>
        <w:ind w:left="1796" w:hanging="720"/>
      </w:pPr>
      <w:rPr>
        <w:rFonts w:hint="default"/>
        <w:b/>
      </w:rPr>
    </w:lvl>
    <w:lvl w:ilvl="3">
      <w:start w:val="1"/>
      <w:numFmt w:val="decimal"/>
      <w:lvlText w:val="%1.%2.%3.%4"/>
      <w:lvlJc w:val="left"/>
      <w:pPr>
        <w:ind w:left="2334" w:hanging="720"/>
      </w:pPr>
      <w:rPr>
        <w:rFonts w:hint="default"/>
        <w:b/>
      </w:rPr>
    </w:lvl>
    <w:lvl w:ilvl="4">
      <w:start w:val="1"/>
      <w:numFmt w:val="decimal"/>
      <w:lvlText w:val="%1.%2.%3.%4.%5"/>
      <w:lvlJc w:val="left"/>
      <w:pPr>
        <w:ind w:left="3232" w:hanging="1080"/>
      </w:pPr>
      <w:rPr>
        <w:rFonts w:hint="default"/>
        <w:b/>
      </w:rPr>
    </w:lvl>
    <w:lvl w:ilvl="5">
      <w:start w:val="1"/>
      <w:numFmt w:val="decimal"/>
      <w:lvlText w:val="%1.%2.%3.%4.%5.%6"/>
      <w:lvlJc w:val="left"/>
      <w:pPr>
        <w:ind w:left="3770" w:hanging="1080"/>
      </w:pPr>
      <w:rPr>
        <w:rFonts w:hint="default"/>
        <w:b/>
      </w:rPr>
    </w:lvl>
    <w:lvl w:ilvl="6">
      <w:start w:val="1"/>
      <w:numFmt w:val="decimal"/>
      <w:lvlText w:val="%1.%2.%3.%4.%5.%6.%7"/>
      <w:lvlJc w:val="left"/>
      <w:pPr>
        <w:ind w:left="4668" w:hanging="1440"/>
      </w:pPr>
      <w:rPr>
        <w:rFonts w:hint="default"/>
        <w:b/>
      </w:rPr>
    </w:lvl>
    <w:lvl w:ilvl="7">
      <w:start w:val="1"/>
      <w:numFmt w:val="decimal"/>
      <w:lvlText w:val="%1.%2.%3.%4.%5.%6.%7.%8"/>
      <w:lvlJc w:val="left"/>
      <w:pPr>
        <w:ind w:left="5206" w:hanging="1440"/>
      </w:pPr>
      <w:rPr>
        <w:rFonts w:hint="default"/>
        <w:b/>
      </w:rPr>
    </w:lvl>
    <w:lvl w:ilvl="8">
      <w:start w:val="1"/>
      <w:numFmt w:val="decimal"/>
      <w:lvlText w:val="%1.%2.%3.%4.%5.%6.%7.%8.%9"/>
      <w:lvlJc w:val="left"/>
      <w:pPr>
        <w:ind w:left="6104" w:hanging="1800"/>
      </w:pPr>
      <w:rPr>
        <w:rFonts w:hint="default"/>
        <w:b/>
      </w:rPr>
    </w:lvl>
  </w:abstractNum>
  <w:abstractNum w:abstractNumId="87" w15:restartNumberingAfterBreak="0">
    <w:nsid w:val="7BB47E31"/>
    <w:multiLevelType w:val="multilevel"/>
    <w:tmpl w:val="E30AA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7D480F6B"/>
    <w:multiLevelType w:val="hybridMultilevel"/>
    <w:tmpl w:val="5BC6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2B6581"/>
    <w:multiLevelType w:val="hybridMultilevel"/>
    <w:tmpl w:val="6E82D216"/>
    <w:lvl w:ilvl="0" w:tplc="040C000F">
      <w:start w:val="1"/>
      <w:numFmt w:val="decimal"/>
      <w:lvlText w:val="%1."/>
      <w:lvlJc w:val="left"/>
      <w:pPr>
        <w:ind w:left="720" w:hanging="360"/>
      </w:pPr>
    </w:lvl>
    <w:lvl w:ilvl="1" w:tplc="F8AEDCAA">
      <w:start w:val="1"/>
      <w:numFmt w:val="lowerLetter"/>
      <w:lvlText w:val="%2."/>
      <w:lvlJc w:val="left"/>
      <w:pPr>
        <w:ind w:left="1440" w:hanging="360"/>
      </w:pPr>
      <w:rPr>
        <w:b w:val="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F49743C"/>
    <w:multiLevelType w:val="multilevel"/>
    <w:tmpl w:val="EB8AD51E"/>
    <w:styleLink w:val="ImportedStyle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80"/>
        </w:tabs>
        <w:ind w:left="10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800"/>
        </w:tabs>
        <w:ind w:left="18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520"/>
        </w:tabs>
        <w:ind w:left="25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40"/>
        </w:tabs>
        <w:ind w:left="32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60"/>
        </w:tabs>
        <w:ind w:left="39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80"/>
        </w:tabs>
        <w:ind w:left="46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400"/>
        </w:tabs>
        <w:ind w:left="54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120"/>
        </w:tabs>
        <w:ind w:left="61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num w:numId="1">
    <w:abstractNumId w:val="64"/>
  </w:num>
  <w:num w:numId="2">
    <w:abstractNumId w:val="74"/>
  </w:num>
  <w:num w:numId="3">
    <w:abstractNumId w:val="72"/>
  </w:num>
  <w:num w:numId="4">
    <w:abstractNumId w:val="52"/>
  </w:num>
  <w:num w:numId="5">
    <w:abstractNumId w:val="35"/>
  </w:num>
  <w:num w:numId="6">
    <w:abstractNumId w:val="2"/>
  </w:num>
  <w:num w:numId="7">
    <w:abstractNumId w:val="25"/>
  </w:num>
  <w:num w:numId="8">
    <w:abstractNumId w:val="66"/>
  </w:num>
  <w:num w:numId="9">
    <w:abstractNumId w:val="0"/>
  </w:num>
  <w:num w:numId="10">
    <w:abstractNumId w:val="53"/>
  </w:num>
  <w:num w:numId="11">
    <w:abstractNumId w:val="50"/>
  </w:num>
  <w:num w:numId="12">
    <w:abstractNumId w:val="3"/>
  </w:num>
  <w:num w:numId="13">
    <w:abstractNumId w:val="1"/>
  </w:num>
  <w:num w:numId="14">
    <w:abstractNumId w:val="24"/>
  </w:num>
  <w:num w:numId="15">
    <w:abstractNumId w:val="22"/>
  </w:num>
  <w:num w:numId="16">
    <w:abstractNumId w:val="16"/>
  </w:num>
  <w:num w:numId="17">
    <w:abstractNumId w:val="65"/>
  </w:num>
  <w:num w:numId="18">
    <w:abstractNumId w:val="4"/>
  </w:num>
  <w:num w:numId="19">
    <w:abstractNumId w:val="60"/>
  </w:num>
  <w:num w:numId="20">
    <w:abstractNumId w:val="63"/>
  </w:num>
  <w:num w:numId="21">
    <w:abstractNumId w:val="77"/>
  </w:num>
  <w:num w:numId="22">
    <w:abstractNumId w:val="45"/>
  </w:num>
  <w:num w:numId="23">
    <w:abstractNumId w:val="78"/>
  </w:num>
  <w:num w:numId="24">
    <w:abstractNumId w:val="75"/>
  </w:num>
  <w:num w:numId="25">
    <w:abstractNumId w:val="9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73"/>
  </w:num>
  <w:num w:numId="29">
    <w:abstractNumId w:val="13"/>
  </w:num>
  <w:num w:numId="30">
    <w:abstractNumId w:val="70"/>
  </w:num>
  <w:num w:numId="31">
    <w:abstractNumId w:val="37"/>
  </w:num>
  <w:num w:numId="32">
    <w:abstractNumId w:val="71"/>
  </w:num>
  <w:num w:numId="33">
    <w:abstractNumId w:val="81"/>
  </w:num>
  <w:num w:numId="34">
    <w:abstractNumId w:val="58"/>
  </w:num>
  <w:num w:numId="35">
    <w:abstractNumId w:val="59"/>
  </w:num>
  <w:num w:numId="36">
    <w:abstractNumId w:val="85"/>
  </w:num>
  <w:num w:numId="37">
    <w:abstractNumId w:val="23"/>
  </w:num>
  <w:num w:numId="38">
    <w:abstractNumId w:val="87"/>
  </w:num>
  <w:num w:numId="39">
    <w:abstractNumId w:val="89"/>
  </w:num>
  <w:num w:numId="40">
    <w:abstractNumId w:val="44"/>
  </w:num>
  <w:num w:numId="41">
    <w:abstractNumId w:val="56"/>
  </w:num>
  <w:num w:numId="42">
    <w:abstractNumId w:val="26"/>
  </w:num>
  <w:num w:numId="43">
    <w:abstractNumId w:val="15"/>
  </w:num>
  <w:num w:numId="44">
    <w:abstractNumId w:val="88"/>
  </w:num>
  <w:num w:numId="45">
    <w:abstractNumId w:val="20"/>
  </w:num>
  <w:num w:numId="46">
    <w:abstractNumId w:val="61"/>
  </w:num>
  <w:num w:numId="47">
    <w:abstractNumId w:val="41"/>
  </w:num>
  <w:num w:numId="48">
    <w:abstractNumId w:val="43"/>
  </w:num>
  <w:num w:numId="49">
    <w:abstractNumId w:val="69"/>
  </w:num>
  <w:num w:numId="50">
    <w:abstractNumId w:val="7"/>
  </w:num>
  <w:num w:numId="51">
    <w:abstractNumId w:val="54"/>
  </w:num>
  <w:num w:numId="52">
    <w:abstractNumId w:val="79"/>
  </w:num>
  <w:num w:numId="53">
    <w:abstractNumId w:val="30"/>
  </w:num>
  <w:num w:numId="54">
    <w:abstractNumId w:val="18"/>
  </w:num>
  <w:num w:numId="55">
    <w:abstractNumId w:val="40"/>
  </w:num>
  <w:num w:numId="56">
    <w:abstractNumId w:val="48"/>
  </w:num>
  <w:num w:numId="57">
    <w:abstractNumId w:val="28"/>
  </w:num>
  <w:num w:numId="58">
    <w:abstractNumId w:val="68"/>
  </w:num>
  <w:num w:numId="59">
    <w:abstractNumId w:val="36"/>
  </w:num>
  <w:num w:numId="60">
    <w:abstractNumId w:val="49"/>
  </w:num>
  <w:num w:numId="61">
    <w:abstractNumId w:val="51"/>
  </w:num>
  <w:num w:numId="62">
    <w:abstractNumId w:val="33"/>
  </w:num>
  <w:num w:numId="63">
    <w:abstractNumId w:val="21"/>
  </w:num>
  <w:num w:numId="64">
    <w:abstractNumId w:val="34"/>
  </w:num>
  <w:num w:numId="65">
    <w:abstractNumId w:val="14"/>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5"/>
  </w:num>
  <w:num w:numId="70">
    <w:abstractNumId w:val="82"/>
  </w:num>
  <w:num w:numId="71">
    <w:abstractNumId w:val="11"/>
  </w:num>
  <w:num w:numId="72">
    <w:abstractNumId w:val="76"/>
  </w:num>
  <w:num w:numId="73">
    <w:abstractNumId w:val="27"/>
  </w:num>
  <w:num w:numId="74">
    <w:abstractNumId w:val="6"/>
  </w:num>
  <w:num w:numId="75">
    <w:abstractNumId w:val="47"/>
  </w:num>
  <w:num w:numId="76">
    <w:abstractNumId w:val="62"/>
  </w:num>
  <w:num w:numId="77">
    <w:abstractNumId w:val="83"/>
  </w:num>
  <w:num w:numId="78">
    <w:abstractNumId w:val="19"/>
  </w:num>
  <w:num w:numId="79">
    <w:abstractNumId w:val="86"/>
  </w:num>
  <w:num w:numId="80">
    <w:abstractNumId w:val="38"/>
  </w:num>
  <w:num w:numId="81">
    <w:abstractNumId w:val="57"/>
  </w:num>
  <w:num w:numId="82">
    <w:abstractNumId w:val="42"/>
  </w:num>
  <w:num w:numId="83">
    <w:abstractNumId w:val="67"/>
  </w:num>
  <w:num w:numId="84">
    <w:abstractNumId w:val="29"/>
  </w:num>
  <w:num w:numId="85">
    <w:abstractNumId w:val="17"/>
  </w:num>
  <w:num w:numId="86">
    <w:abstractNumId w:val="80"/>
  </w:num>
  <w:num w:numId="87">
    <w:abstractNumId w:val="8"/>
  </w:num>
  <w:num w:numId="88">
    <w:abstractNumId w:val="12"/>
  </w:num>
  <w:num w:numId="89">
    <w:abstractNumId w:val="9"/>
  </w:num>
  <w:num w:numId="90">
    <w:abstractNumId w:val="13"/>
  </w:num>
  <w:num w:numId="91">
    <w:abstractNumId w:val="13"/>
  </w:num>
  <w:num w:numId="92">
    <w:abstractNumId w:val="13"/>
    <w:lvlOverride w:ilvl="0">
      <w:startOverride w:val="1"/>
    </w:lvlOverride>
  </w:num>
  <w:num w:numId="93">
    <w:abstractNumId w:val="13"/>
  </w:num>
  <w:num w:numId="94">
    <w:abstractNumId w:val="13"/>
  </w:num>
  <w:num w:numId="95">
    <w:abstractNumId w:val="13"/>
  </w:num>
  <w:num w:numId="96">
    <w:abstractNumId w:val="13"/>
  </w:num>
  <w:num w:numId="97">
    <w:abstractNumId w:val="13"/>
  </w:num>
  <w:num w:numId="98">
    <w:abstractNumId w:val="13"/>
  </w:num>
  <w:num w:numId="99">
    <w:abstractNumId w:val="13"/>
  </w:num>
  <w:num w:numId="100">
    <w:abstractNumId w:val="13"/>
  </w:num>
  <w:num w:numId="101">
    <w:abstractNumId w:val="13"/>
  </w:num>
  <w:num w:numId="102">
    <w:abstractNumId w:val="13"/>
  </w:num>
  <w:num w:numId="103">
    <w:abstractNumId w:val="13"/>
  </w:num>
  <w:num w:numId="104">
    <w:abstractNumId w:val="13"/>
  </w:num>
  <w:num w:numId="105">
    <w:abstractNumId w:val="13"/>
  </w:num>
  <w:num w:numId="106">
    <w:abstractNumId w:val="13"/>
  </w:num>
  <w:num w:numId="107">
    <w:abstractNumId w:val="13"/>
  </w:num>
  <w:num w:numId="108">
    <w:abstractNumId w:val="13"/>
  </w:num>
  <w:num w:numId="109">
    <w:abstractNumId w:val="13"/>
  </w:num>
  <w:num w:numId="110">
    <w:abstractNumId w:val="13"/>
  </w:num>
  <w:num w:numId="111">
    <w:abstractNumId w:val="13"/>
  </w:num>
  <w:num w:numId="112">
    <w:abstractNumId w:val="13"/>
  </w:num>
  <w:num w:numId="113">
    <w:abstractNumId w:val="13"/>
  </w:num>
  <w:num w:numId="114">
    <w:abstractNumId w:val="13"/>
  </w:num>
  <w:num w:numId="115">
    <w:abstractNumId w:val="13"/>
  </w:num>
  <w:num w:numId="116">
    <w:abstractNumId w:val="13"/>
  </w:num>
  <w:num w:numId="117">
    <w:abstractNumId w:val="13"/>
  </w:num>
  <w:num w:numId="118">
    <w:abstractNumId w:val="13"/>
  </w:num>
  <w:num w:numId="119">
    <w:abstractNumId w:val="13"/>
  </w:num>
  <w:num w:numId="120">
    <w:abstractNumId w:val="13"/>
  </w:num>
  <w:num w:numId="121">
    <w:abstractNumId w:val="13"/>
  </w:num>
  <w:num w:numId="122">
    <w:abstractNumId w:val="13"/>
  </w:num>
  <w:num w:numId="123">
    <w:abstractNumId w:val="13"/>
  </w:num>
  <w:num w:numId="124">
    <w:abstractNumId w:val="13"/>
  </w:num>
  <w:num w:numId="125">
    <w:abstractNumId w:val="13"/>
  </w:num>
  <w:num w:numId="126">
    <w:abstractNumId w:val="13"/>
  </w:num>
  <w:num w:numId="127">
    <w:abstractNumId w:val="13"/>
  </w:num>
  <w:num w:numId="128">
    <w:abstractNumId w:val="13"/>
  </w:num>
  <w:num w:numId="129">
    <w:abstractNumId w:val="13"/>
  </w:num>
  <w:num w:numId="130">
    <w:abstractNumId w:val="13"/>
  </w:num>
  <w:num w:numId="131">
    <w:abstractNumId w:val="13"/>
  </w:num>
  <w:num w:numId="132">
    <w:abstractNumId w:val="39"/>
  </w:num>
  <w:num w:numId="133">
    <w:abstractNumId w:val="10"/>
  </w:num>
  <w:num w:numId="134">
    <w:abstractNumId w:val="13"/>
  </w:num>
  <w:num w:numId="135">
    <w:abstractNumId w:val="13"/>
  </w:num>
  <w:num w:numId="136">
    <w:abstractNumId w:val="13"/>
  </w:num>
  <w:num w:numId="137">
    <w:abstractNumId w:val="13"/>
  </w:num>
  <w:num w:numId="138">
    <w:abstractNumId w:val="13"/>
  </w:num>
  <w:num w:numId="139">
    <w:abstractNumId w:val="13"/>
  </w:num>
  <w:num w:numId="140">
    <w:abstractNumId w:val="13"/>
  </w:num>
  <w:num w:numId="141">
    <w:abstractNumId w:val="13"/>
  </w:num>
  <w:num w:numId="142">
    <w:abstractNumId w:val="13"/>
  </w:num>
  <w:num w:numId="143">
    <w:abstractNumId w:val="13"/>
  </w:num>
  <w:num w:numId="144">
    <w:abstractNumId w:val="13"/>
  </w:num>
  <w:num w:numId="145">
    <w:abstractNumId w:val="13"/>
  </w:num>
  <w:num w:numId="146">
    <w:abstractNumId w:val="13"/>
  </w:num>
  <w:num w:numId="147">
    <w:abstractNumId w:val="13"/>
  </w:num>
  <w:num w:numId="148">
    <w:abstractNumId w:val="13"/>
  </w:num>
  <w:num w:numId="149">
    <w:abstractNumId w:val="13"/>
  </w:num>
  <w:num w:numId="150">
    <w:abstractNumId w:val="13"/>
  </w:num>
  <w:num w:numId="151">
    <w:abstractNumId w:val="13"/>
  </w:num>
  <w:num w:numId="152">
    <w:abstractNumId w:val="13"/>
  </w:num>
  <w:num w:numId="153">
    <w:abstractNumId w:val="13"/>
  </w:num>
  <w:num w:numId="1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4"/>
  </w:num>
  <w:num w:numId="159">
    <w:abstractNumId w:val="31"/>
  </w:num>
  <w:num w:numId="160">
    <w:abstractNumId w:val="13"/>
  </w:num>
  <w:num w:numId="161">
    <w:abstractNumId w:val="32"/>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stin Patikani Theu">
    <w15:presenceInfo w15:providerId="None" w15:userId="Austin Patikani The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 w:dllVersion="2" w:checkStyle="1"/>
  <w:activeWritingStyle w:appName="MSWord" w:lang="en-GB" w:vendorID="6" w:dllVersion="2" w:checkStyle="1"/>
  <w:activeWritingStyle w:appName="MSWord" w:lang="fr-FR" w:vendorID="65" w:dllVersion="514" w:checkStyle="1"/>
  <w:attachedTemplate r:id="rId1"/>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stylePaneSortMethod w:val="0000"/>
  <w:trackRevisions/>
  <w:defaultTabStop w:val="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o:colormru v:ext="edit" colors="#80d0ee,#b8e3f3,#9dc496,#e4ee81,#76ad6d,#d9e74f,#8093ba,#c8e980"/>
    </o:shapedefaults>
  </w:hdrShapeDefaults>
  <w:footnotePr>
    <w:numRestart w:val="eachPage"/>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D5C"/>
    <w:rsid w:val="000002A3"/>
    <w:rsid w:val="00000807"/>
    <w:rsid w:val="000009BD"/>
    <w:rsid w:val="00000BB4"/>
    <w:rsid w:val="00000D47"/>
    <w:rsid w:val="00001AD5"/>
    <w:rsid w:val="00001C3C"/>
    <w:rsid w:val="00001C68"/>
    <w:rsid w:val="00001DBB"/>
    <w:rsid w:val="000039C9"/>
    <w:rsid w:val="0000401E"/>
    <w:rsid w:val="00004287"/>
    <w:rsid w:val="0000431E"/>
    <w:rsid w:val="0000496E"/>
    <w:rsid w:val="00004A0B"/>
    <w:rsid w:val="00004C86"/>
    <w:rsid w:val="00005342"/>
    <w:rsid w:val="00005385"/>
    <w:rsid w:val="00005754"/>
    <w:rsid w:val="00005C3E"/>
    <w:rsid w:val="0000603A"/>
    <w:rsid w:val="000069F5"/>
    <w:rsid w:val="00006EE0"/>
    <w:rsid w:val="00006F95"/>
    <w:rsid w:val="00007091"/>
    <w:rsid w:val="00007763"/>
    <w:rsid w:val="00007980"/>
    <w:rsid w:val="0001006B"/>
    <w:rsid w:val="00010133"/>
    <w:rsid w:val="000101E1"/>
    <w:rsid w:val="00010350"/>
    <w:rsid w:val="00010D29"/>
    <w:rsid w:val="00011028"/>
    <w:rsid w:val="00011254"/>
    <w:rsid w:val="0001150D"/>
    <w:rsid w:val="00011A14"/>
    <w:rsid w:val="00011C09"/>
    <w:rsid w:val="00011FD6"/>
    <w:rsid w:val="0001210B"/>
    <w:rsid w:val="00012F29"/>
    <w:rsid w:val="00013AF7"/>
    <w:rsid w:val="0001451B"/>
    <w:rsid w:val="00014647"/>
    <w:rsid w:val="00014774"/>
    <w:rsid w:val="00014892"/>
    <w:rsid w:val="00014C08"/>
    <w:rsid w:val="00014D96"/>
    <w:rsid w:val="00015D1A"/>
    <w:rsid w:val="00015D74"/>
    <w:rsid w:val="00015E6F"/>
    <w:rsid w:val="00016046"/>
    <w:rsid w:val="0001610D"/>
    <w:rsid w:val="0001676B"/>
    <w:rsid w:val="00016D48"/>
    <w:rsid w:val="0001700C"/>
    <w:rsid w:val="00017365"/>
    <w:rsid w:val="0001762B"/>
    <w:rsid w:val="00017853"/>
    <w:rsid w:val="00017DE2"/>
    <w:rsid w:val="0002054A"/>
    <w:rsid w:val="0002092C"/>
    <w:rsid w:val="000209F2"/>
    <w:rsid w:val="00020A79"/>
    <w:rsid w:val="00020ADE"/>
    <w:rsid w:val="00021452"/>
    <w:rsid w:val="00021523"/>
    <w:rsid w:val="0002176F"/>
    <w:rsid w:val="000219ED"/>
    <w:rsid w:val="0002273C"/>
    <w:rsid w:val="00022983"/>
    <w:rsid w:val="00022CA2"/>
    <w:rsid w:val="00022D22"/>
    <w:rsid w:val="0002303A"/>
    <w:rsid w:val="000233CC"/>
    <w:rsid w:val="000249E7"/>
    <w:rsid w:val="00024F70"/>
    <w:rsid w:val="00025151"/>
    <w:rsid w:val="000253D4"/>
    <w:rsid w:val="00026056"/>
    <w:rsid w:val="0002613B"/>
    <w:rsid w:val="0002697E"/>
    <w:rsid w:val="00026AFE"/>
    <w:rsid w:val="00027508"/>
    <w:rsid w:val="00027A17"/>
    <w:rsid w:val="00027A2E"/>
    <w:rsid w:val="00027A86"/>
    <w:rsid w:val="00027E10"/>
    <w:rsid w:val="000300D8"/>
    <w:rsid w:val="00030241"/>
    <w:rsid w:val="00030A28"/>
    <w:rsid w:val="00031040"/>
    <w:rsid w:val="0003112E"/>
    <w:rsid w:val="00031197"/>
    <w:rsid w:val="00031607"/>
    <w:rsid w:val="00031620"/>
    <w:rsid w:val="0003163E"/>
    <w:rsid w:val="00031D12"/>
    <w:rsid w:val="000321F6"/>
    <w:rsid w:val="00032344"/>
    <w:rsid w:val="00032476"/>
    <w:rsid w:val="000328B6"/>
    <w:rsid w:val="00032D29"/>
    <w:rsid w:val="000331AF"/>
    <w:rsid w:val="000333CA"/>
    <w:rsid w:val="0003370E"/>
    <w:rsid w:val="00033874"/>
    <w:rsid w:val="00033A18"/>
    <w:rsid w:val="00033DA3"/>
    <w:rsid w:val="00033E22"/>
    <w:rsid w:val="00033E29"/>
    <w:rsid w:val="00034615"/>
    <w:rsid w:val="000347DA"/>
    <w:rsid w:val="000348C9"/>
    <w:rsid w:val="00034A51"/>
    <w:rsid w:val="0003545C"/>
    <w:rsid w:val="0003575B"/>
    <w:rsid w:val="000357E9"/>
    <w:rsid w:val="000359C9"/>
    <w:rsid w:val="00035D18"/>
    <w:rsid w:val="00036124"/>
    <w:rsid w:val="00036617"/>
    <w:rsid w:val="000366F8"/>
    <w:rsid w:val="000367E3"/>
    <w:rsid w:val="0003714C"/>
    <w:rsid w:val="000371B2"/>
    <w:rsid w:val="00037515"/>
    <w:rsid w:val="0003762C"/>
    <w:rsid w:val="00040253"/>
    <w:rsid w:val="00040A21"/>
    <w:rsid w:val="00041521"/>
    <w:rsid w:val="000419EF"/>
    <w:rsid w:val="00041A38"/>
    <w:rsid w:val="00041F46"/>
    <w:rsid w:val="000424AB"/>
    <w:rsid w:val="0004325E"/>
    <w:rsid w:val="00043538"/>
    <w:rsid w:val="00043E1C"/>
    <w:rsid w:val="00043E2E"/>
    <w:rsid w:val="000440F6"/>
    <w:rsid w:val="00044E74"/>
    <w:rsid w:val="000456D8"/>
    <w:rsid w:val="00045B1A"/>
    <w:rsid w:val="00045B58"/>
    <w:rsid w:val="00045FBC"/>
    <w:rsid w:val="00045FC3"/>
    <w:rsid w:val="0004608F"/>
    <w:rsid w:val="000460C5"/>
    <w:rsid w:val="00046675"/>
    <w:rsid w:val="000467DD"/>
    <w:rsid w:val="00046C00"/>
    <w:rsid w:val="00046EA5"/>
    <w:rsid w:val="00047211"/>
    <w:rsid w:val="000476E0"/>
    <w:rsid w:val="000478DD"/>
    <w:rsid w:val="00047A31"/>
    <w:rsid w:val="00047F28"/>
    <w:rsid w:val="000500F6"/>
    <w:rsid w:val="00050D94"/>
    <w:rsid w:val="00051080"/>
    <w:rsid w:val="0005169A"/>
    <w:rsid w:val="0005188D"/>
    <w:rsid w:val="00051B20"/>
    <w:rsid w:val="00051BAB"/>
    <w:rsid w:val="00052557"/>
    <w:rsid w:val="0005298B"/>
    <w:rsid w:val="00052DCC"/>
    <w:rsid w:val="000539A9"/>
    <w:rsid w:val="00053D11"/>
    <w:rsid w:val="00054C3F"/>
    <w:rsid w:val="000551EB"/>
    <w:rsid w:val="0005558D"/>
    <w:rsid w:val="00055926"/>
    <w:rsid w:val="0005613F"/>
    <w:rsid w:val="000562B0"/>
    <w:rsid w:val="00056AE1"/>
    <w:rsid w:val="00056E9B"/>
    <w:rsid w:val="00057171"/>
    <w:rsid w:val="000573B3"/>
    <w:rsid w:val="0006002E"/>
    <w:rsid w:val="00060861"/>
    <w:rsid w:val="00060ABB"/>
    <w:rsid w:val="00060AEE"/>
    <w:rsid w:val="00060D14"/>
    <w:rsid w:val="0006145F"/>
    <w:rsid w:val="00062A20"/>
    <w:rsid w:val="00063175"/>
    <w:rsid w:val="000634FC"/>
    <w:rsid w:val="000635DD"/>
    <w:rsid w:val="0006360A"/>
    <w:rsid w:val="000642BD"/>
    <w:rsid w:val="00064666"/>
    <w:rsid w:val="00065825"/>
    <w:rsid w:val="00065DC7"/>
    <w:rsid w:val="0006680D"/>
    <w:rsid w:val="00066D30"/>
    <w:rsid w:val="00066DF8"/>
    <w:rsid w:val="00066EA9"/>
    <w:rsid w:val="0006730D"/>
    <w:rsid w:val="00067908"/>
    <w:rsid w:val="00067B93"/>
    <w:rsid w:val="00070D12"/>
    <w:rsid w:val="00070D80"/>
    <w:rsid w:val="000711E5"/>
    <w:rsid w:val="0007140E"/>
    <w:rsid w:val="00071566"/>
    <w:rsid w:val="000718B9"/>
    <w:rsid w:val="00071BFA"/>
    <w:rsid w:val="000725C3"/>
    <w:rsid w:val="00072825"/>
    <w:rsid w:val="00072B1A"/>
    <w:rsid w:val="00072D43"/>
    <w:rsid w:val="000734AD"/>
    <w:rsid w:val="0007361A"/>
    <w:rsid w:val="00073768"/>
    <w:rsid w:val="00073843"/>
    <w:rsid w:val="00073BDB"/>
    <w:rsid w:val="00073BF4"/>
    <w:rsid w:val="00074242"/>
    <w:rsid w:val="00074392"/>
    <w:rsid w:val="000744B1"/>
    <w:rsid w:val="000751D7"/>
    <w:rsid w:val="00075360"/>
    <w:rsid w:val="00075B12"/>
    <w:rsid w:val="00075DDF"/>
    <w:rsid w:val="00075E22"/>
    <w:rsid w:val="00075EEA"/>
    <w:rsid w:val="000763EE"/>
    <w:rsid w:val="00076986"/>
    <w:rsid w:val="00076AEE"/>
    <w:rsid w:val="00077033"/>
    <w:rsid w:val="000778C8"/>
    <w:rsid w:val="00077CF5"/>
    <w:rsid w:val="00077FE4"/>
    <w:rsid w:val="000800D5"/>
    <w:rsid w:val="00080126"/>
    <w:rsid w:val="000802C8"/>
    <w:rsid w:val="00080816"/>
    <w:rsid w:val="000809CC"/>
    <w:rsid w:val="00080A6D"/>
    <w:rsid w:val="00081445"/>
    <w:rsid w:val="00081712"/>
    <w:rsid w:val="0008200F"/>
    <w:rsid w:val="00082098"/>
    <w:rsid w:val="0008292E"/>
    <w:rsid w:val="00083001"/>
    <w:rsid w:val="0008338D"/>
    <w:rsid w:val="00084BCA"/>
    <w:rsid w:val="00084D08"/>
    <w:rsid w:val="0008516E"/>
    <w:rsid w:val="000857F6"/>
    <w:rsid w:val="00085BDC"/>
    <w:rsid w:val="0008664A"/>
    <w:rsid w:val="000866FB"/>
    <w:rsid w:val="00086983"/>
    <w:rsid w:val="00087517"/>
    <w:rsid w:val="00087518"/>
    <w:rsid w:val="00087EBF"/>
    <w:rsid w:val="00090392"/>
    <w:rsid w:val="000907FF"/>
    <w:rsid w:val="000908F4"/>
    <w:rsid w:val="00090D13"/>
    <w:rsid w:val="00090DC7"/>
    <w:rsid w:val="00090DD4"/>
    <w:rsid w:val="00091107"/>
    <w:rsid w:val="000915D3"/>
    <w:rsid w:val="00091662"/>
    <w:rsid w:val="00091E5A"/>
    <w:rsid w:val="00092731"/>
    <w:rsid w:val="00092B41"/>
    <w:rsid w:val="00093387"/>
    <w:rsid w:val="00093489"/>
    <w:rsid w:val="000939DC"/>
    <w:rsid w:val="00093C06"/>
    <w:rsid w:val="00093C1E"/>
    <w:rsid w:val="00093E3D"/>
    <w:rsid w:val="00094CF2"/>
    <w:rsid w:val="0009505E"/>
    <w:rsid w:val="00095754"/>
    <w:rsid w:val="00095C55"/>
    <w:rsid w:val="00096AE3"/>
    <w:rsid w:val="00096E1B"/>
    <w:rsid w:val="00096EFE"/>
    <w:rsid w:val="000976B4"/>
    <w:rsid w:val="0009771F"/>
    <w:rsid w:val="000A0385"/>
    <w:rsid w:val="000A0489"/>
    <w:rsid w:val="000A0501"/>
    <w:rsid w:val="000A08E7"/>
    <w:rsid w:val="000A0CE9"/>
    <w:rsid w:val="000A0F1D"/>
    <w:rsid w:val="000A1A91"/>
    <w:rsid w:val="000A1D2F"/>
    <w:rsid w:val="000A2248"/>
    <w:rsid w:val="000A23FF"/>
    <w:rsid w:val="000A296D"/>
    <w:rsid w:val="000A2D40"/>
    <w:rsid w:val="000A3702"/>
    <w:rsid w:val="000A46D7"/>
    <w:rsid w:val="000A4C6D"/>
    <w:rsid w:val="000A565E"/>
    <w:rsid w:val="000A5FDC"/>
    <w:rsid w:val="000A6482"/>
    <w:rsid w:val="000A6683"/>
    <w:rsid w:val="000A7175"/>
    <w:rsid w:val="000A7433"/>
    <w:rsid w:val="000A767A"/>
    <w:rsid w:val="000A7752"/>
    <w:rsid w:val="000A7B61"/>
    <w:rsid w:val="000B0160"/>
    <w:rsid w:val="000B0885"/>
    <w:rsid w:val="000B2591"/>
    <w:rsid w:val="000B25F1"/>
    <w:rsid w:val="000B2716"/>
    <w:rsid w:val="000B2FA2"/>
    <w:rsid w:val="000B36AD"/>
    <w:rsid w:val="000B3784"/>
    <w:rsid w:val="000B3E18"/>
    <w:rsid w:val="000B47E2"/>
    <w:rsid w:val="000B4948"/>
    <w:rsid w:val="000B4AAE"/>
    <w:rsid w:val="000B4B5A"/>
    <w:rsid w:val="000B4CD1"/>
    <w:rsid w:val="000B52D3"/>
    <w:rsid w:val="000B530E"/>
    <w:rsid w:val="000B5B75"/>
    <w:rsid w:val="000B5C60"/>
    <w:rsid w:val="000B5EE5"/>
    <w:rsid w:val="000B6427"/>
    <w:rsid w:val="000B6EA9"/>
    <w:rsid w:val="000B6F62"/>
    <w:rsid w:val="000B73CB"/>
    <w:rsid w:val="000B795A"/>
    <w:rsid w:val="000C0A7F"/>
    <w:rsid w:val="000C10C2"/>
    <w:rsid w:val="000C1325"/>
    <w:rsid w:val="000C168D"/>
    <w:rsid w:val="000C16DC"/>
    <w:rsid w:val="000C1C88"/>
    <w:rsid w:val="000C1EB8"/>
    <w:rsid w:val="000C227A"/>
    <w:rsid w:val="000C23E4"/>
    <w:rsid w:val="000C273F"/>
    <w:rsid w:val="000C2933"/>
    <w:rsid w:val="000C2B2B"/>
    <w:rsid w:val="000C305D"/>
    <w:rsid w:val="000C36D9"/>
    <w:rsid w:val="000C386B"/>
    <w:rsid w:val="000C3D74"/>
    <w:rsid w:val="000C3EDF"/>
    <w:rsid w:val="000C3FE0"/>
    <w:rsid w:val="000C437E"/>
    <w:rsid w:val="000C4514"/>
    <w:rsid w:val="000C456E"/>
    <w:rsid w:val="000C48F5"/>
    <w:rsid w:val="000C4E08"/>
    <w:rsid w:val="000C5119"/>
    <w:rsid w:val="000C624C"/>
    <w:rsid w:val="000C6369"/>
    <w:rsid w:val="000C6A46"/>
    <w:rsid w:val="000C6B4F"/>
    <w:rsid w:val="000C6B6F"/>
    <w:rsid w:val="000C74BA"/>
    <w:rsid w:val="000C7668"/>
    <w:rsid w:val="000C7BE1"/>
    <w:rsid w:val="000D015A"/>
    <w:rsid w:val="000D0328"/>
    <w:rsid w:val="000D06D5"/>
    <w:rsid w:val="000D0D80"/>
    <w:rsid w:val="000D13BF"/>
    <w:rsid w:val="000D17D0"/>
    <w:rsid w:val="000D1B89"/>
    <w:rsid w:val="000D2D33"/>
    <w:rsid w:val="000D2DC8"/>
    <w:rsid w:val="000D3D03"/>
    <w:rsid w:val="000D3D4C"/>
    <w:rsid w:val="000D3EDC"/>
    <w:rsid w:val="000D3F57"/>
    <w:rsid w:val="000D402D"/>
    <w:rsid w:val="000D4C77"/>
    <w:rsid w:val="000D4E6E"/>
    <w:rsid w:val="000D572A"/>
    <w:rsid w:val="000D5D84"/>
    <w:rsid w:val="000D5E72"/>
    <w:rsid w:val="000D7935"/>
    <w:rsid w:val="000D7C2D"/>
    <w:rsid w:val="000E0640"/>
    <w:rsid w:val="000E13B3"/>
    <w:rsid w:val="000E1780"/>
    <w:rsid w:val="000E1A71"/>
    <w:rsid w:val="000E1C13"/>
    <w:rsid w:val="000E2242"/>
    <w:rsid w:val="000E2A41"/>
    <w:rsid w:val="000E2ACA"/>
    <w:rsid w:val="000E2BE8"/>
    <w:rsid w:val="000E3491"/>
    <w:rsid w:val="000E370D"/>
    <w:rsid w:val="000E44AF"/>
    <w:rsid w:val="000E44E1"/>
    <w:rsid w:val="000E4B10"/>
    <w:rsid w:val="000E5C97"/>
    <w:rsid w:val="000E639F"/>
    <w:rsid w:val="000E686B"/>
    <w:rsid w:val="000E6F31"/>
    <w:rsid w:val="000E7622"/>
    <w:rsid w:val="000E764B"/>
    <w:rsid w:val="000E7877"/>
    <w:rsid w:val="000F04D5"/>
    <w:rsid w:val="000F04E9"/>
    <w:rsid w:val="000F08D6"/>
    <w:rsid w:val="000F0A9B"/>
    <w:rsid w:val="000F114D"/>
    <w:rsid w:val="000F11FC"/>
    <w:rsid w:val="000F12B8"/>
    <w:rsid w:val="000F14D7"/>
    <w:rsid w:val="000F15E2"/>
    <w:rsid w:val="000F1A43"/>
    <w:rsid w:val="000F2410"/>
    <w:rsid w:val="000F27D1"/>
    <w:rsid w:val="000F28FD"/>
    <w:rsid w:val="000F2E8F"/>
    <w:rsid w:val="000F30D0"/>
    <w:rsid w:val="000F3111"/>
    <w:rsid w:val="000F3207"/>
    <w:rsid w:val="000F3645"/>
    <w:rsid w:val="000F36AB"/>
    <w:rsid w:val="000F3BCB"/>
    <w:rsid w:val="000F3F11"/>
    <w:rsid w:val="000F3FAD"/>
    <w:rsid w:val="000F407E"/>
    <w:rsid w:val="000F4C49"/>
    <w:rsid w:val="000F5447"/>
    <w:rsid w:val="000F549A"/>
    <w:rsid w:val="000F5520"/>
    <w:rsid w:val="000F5EDD"/>
    <w:rsid w:val="000F60DC"/>
    <w:rsid w:val="000F6176"/>
    <w:rsid w:val="000F6E55"/>
    <w:rsid w:val="000F7638"/>
    <w:rsid w:val="000F7A34"/>
    <w:rsid w:val="000F7D0C"/>
    <w:rsid w:val="000F7F7F"/>
    <w:rsid w:val="0010009C"/>
    <w:rsid w:val="0010030A"/>
    <w:rsid w:val="0010031F"/>
    <w:rsid w:val="00100641"/>
    <w:rsid w:val="001008CC"/>
    <w:rsid w:val="00100DC9"/>
    <w:rsid w:val="0010120F"/>
    <w:rsid w:val="001016B8"/>
    <w:rsid w:val="00101743"/>
    <w:rsid w:val="00101944"/>
    <w:rsid w:val="001021C7"/>
    <w:rsid w:val="00102F42"/>
    <w:rsid w:val="00103A1F"/>
    <w:rsid w:val="00104091"/>
    <w:rsid w:val="001046C5"/>
    <w:rsid w:val="001047CF"/>
    <w:rsid w:val="00104E21"/>
    <w:rsid w:val="001054AE"/>
    <w:rsid w:val="001055B0"/>
    <w:rsid w:val="0010581C"/>
    <w:rsid w:val="00105959"/>
    <w:rsid w:val="00105B00"/>
    <w:rsid w:val="00105E16"/>
    <w:rsid w:val="001066BF"/>
    <w:rsid w:val="00106E3A"/>
    <w:rsid w:val="00106F74"/>
    <w:rsid w:val="0010724E"/>
    <w:rsid w:val="00107342"/>
    <w:rsid w:val="00107569"/>
    <w:rsid w:val="00107658"/>
    <w:rsid w:val="00107A7B"/>
    <w:rsid w:val="00110369"/>
    <w:rsid w:val="00110C85"/>
    <w:rsid w:val="00110EDE"/>
    <w:rsid w:val="00111AD1"/>
    <w:rsid w:val="00112321"/>
    <w:rsid w:val="001124AF"/>
    <w:rsid w:val="00112965"/>
    <w:rsid w:val="0011305F"/>
    <w:rsid w:val="00113370"/>
    <w:rsid w:val="00113514"/>
    <w:rsid w:val="00113E75"/>
    <w:rsid w:val="00113EBA"/>
    <w:rsid w:val="001140D3"/>
    <w:rsid w:val="00114284"/>
    <w:rsid w:val="00114687"/>
    <w:rsid w:val="00114883"/>
    <w:rsid w:val="0011497C"/>
    <w:rsid w:val="00114C91"/>
    <w:rsid w:val="00115608"/>
    <w:rsid w:val="001157A5"/>
    <w:rsid w:val="00115949"/>
    <w:rsid w:val="001164BE"/>
    <w:rsid w:val="001169AD"/>
    <w:rsid w:val="00117963"/>
    <w:rsid w:val="00117A79"/>
    <w:rsid w:val="0012063E"/>
    <w:rsid w:val="00120B69"/>
    <w:rsid w:val="00120E1A"/>
    <w:rsid w:val="00121634"/>
    <w:rsid w:val="0012277B"/>
    <w:rsid w:val="00123095"/>
    <w:rsid w:val="00123122"/>
    <w:rsid w:val="00123145"/>
    <w:rsid w:val="001231B6"/>
    <w:rsid w:val="0012321C"/>
    <w:rsid w:val="0012329D"/>
    <w:rsid w:val="00123752"/>
    <w:rsid w:val="00123A8C"/>
    <w:rsid w:val="00123BBD"/>
    <w:rsid w:val="001246E8"/>
    <w:rsid w:val="00124DA2"/>
    <w:rsid w:val="001253CE"/>
    <w:rsid w:val="001254F1"/>
    <w:rsid w:val="001263DB"/>
    <w:rsid w:val="00126B2A"/>
    <w:rsid w:val="00126C9E"/>
    <w:rsid w:val="001271EC"/>
    <w:rsid w:val="00127304"/>
    <w:rsid w:val="001273BF"/>
    <w:rsid w:val="00127BD0"/>
    <w:rsid w:val="00127DB0"/>
    <w:rsid w:val="001306B4"/>
    <w:rsid w:val="00130E7D"/>
    <w:rsid w:val="0013182C"/>
    <w:rsid w:val="001319AF"/>
    <w:rsid w:val="0013209E"/>
    <w:rsid w:val="0013236B"/>
    <w:rsid w:val="00132594"/>
    <w:rsid w:val="001329E3"/>
    <w:rsid w:val="00132DDA"/>
    <w:rsid w:val="00133234"/>
    <w:rsid w:val="0013409A"/>
    <w:rsid w:val="00134492"/>
    <w:rsid w:val="0013482E"/>
    <w:rsid w:val="00134DFB"/>
    <w:rsid w:val="001351AC"/>
    <w:rsid w:val="001351E8"/>
    <w:rsid w:val="00135599"/>
    <w:rsid w:val="001357DF"/>
    <w:rsid w:val="00135F5B"/>
    <w:rsid w:val="0013653F"/>
    <w:rsid w:val="001366BC"/>
    <w:rsid w:val="00136C25"/>
    <w:rsid w:val="00137125"/>
    <w:rsid w:val="001378F4"/>
    <w:rsid w:val="00140DCB"/>
    <w:rsid w:val="00140E1B"/>
    <w:rsid w:val="001419E7"/>
    <w:rsid w:val="00141F15"/>
    <w:rsid w:val="0014298C"/>
    <w:rsid w:val="0014352A"/>
    <w:rsid w:val="001449C4"/>
    <w:rsid w:val="00144D5E"/>
    <w:rsid w:val="00145C3B"/>
    <w:rsid w:val="00146411"/>
    <w:rsid w:val="001464CA"/>
    <w:rsid w:val="0014676B"/>
    <w:rsid w:val="001467E8"/>
    <w:rsid w:val="00147353"/>
    <w:rsid w:val="00147563"/>
    <w:rsid w:val="00150692"/>
    <w:rsid w:val="00150914"/>
    <w:rsid w:val="00150C16"/>
    <w:rsid w:val="00150E4A"/>
    <w:rsid w:val="0015156C"/>
    <w:rsid w:val="001518E2"/>
    <w:rsid w:val="00151AA5"/>
    <w:rsid w:val="00151FF9"/>
    <w:rsid w:val="00152095"/>
    <w:rsid w:val="001520C9"/>
    <w:rsid w:val="0015233B"/>
    <w:rsid w:val="001528D7"/>
    <w:rsid w:val="00152AC0"/>
    <w:rsid w:val="00152ADA"/>
    <w:rsid w:val="00153231"/>
    <w:rsid w:val="001532BC"/>
    <w:rsid w:val="00153B91"/>
    <w:rsid w:val="001549D8"/>
    <w:rsid w:val="00154AC4"/>
    <w:rsid w:val="00154EF7"/>
    <w:rsid w:val="001558B5"/>
    <w:rsid w:val="00155BE3"/>
    <w:rsid w:val="00155F2C"/>
    <w:rsid w:val="001562F8"/>
    <w:rsid w:val="00156B20"/>
    <w:rsid w:val="00156C84"/>
    <w:rsid w:val="00156FAC"/>
    <w:rsid w:val="00157936"/>
    <w:rsid w:val="00157969"/>
    <w:rsid w:val="00157AF6"/>
    <w:rsid w:val="00160083"/>
    <w:rsid w:val="001607B5"/>
    <w:rsid w:val="00160EA6"/>
    <w:rsid w:val="00161B1C"/>
    <w:rsid w:val="00161E43"/>
    <w:rsid w:val="00161F63"/>
    <w:rsid w:val="00161FEF"/>
    <w:rsid w:val="001624B4"/>
    <w:rsid w:val="001625B5"/>
    <w:rsid w:val="001626A8"/>
    <w:rsid w:val="0016277E"/>
    <w:rsid w:val="001627C5"/>
    <w:rsid w:val="001628BE"/>
    <w:rsid w:val="00162946"/>
    <w:rsid w:val="00162DFB"/>
    <w:rsid w:val="00163684"/>
    <w:rsid w:val="00163AFA"/>
    <w:rsid w:val="00163B85"/>
    <w:rsid w:val="00163C19"/>
    <w:rsid w:val="00163D33"/>
    <w:rsid w:val="00163E18"/>
    <w:rsid w:val="00163EE4"/>
    <w:rsid w:val="00164A59"/>
    <w:rsid w:val="00164B3F"/>
    <w:rsid w:val="00164C09"/>
    <w:rsid w:val="00164E80"/>
    <w:rsid w:val="00165975"/>
    <w:rsid w:val="00165C6F"/>
    <w:rsid w:val="0016656F"/>
    <w:rsid w:val="001666F7"/>
    <w:rsid w:val="00167247"/>
    <w:rsid w:val="001674B2"/>
    <w:rsid w:val="0016754B"/>
    <w:rsid w:val="001678DE"/>
    <w:rsid w:val="0016794C"/>
    <w:rsid w:val="001704A5"/>
    <w:rsid w:val="00170E5E"/>
    <w:rsid w:val="00171156"/>
    <w:rsid w:val="00171264"/>
    <w:rsid w:val="00171739"/>
    <w:rsid w:val="001720F2"/>
    <w:rsid w:val="001722B3"/>
    <w:rsid w:val="001723CE"/>
    <w:rsid w:val="00172430"/>
    <w:rsid w:val="0017302B"/>
    <w:rsid w:val="0017328A"/>
    <w:rsid w:val="001735D7"/>
    <w:rsid w:val="001737EB"/>
    <w:rsid w:val="001738DE"/>
    <w:rsid w:val="00173EAE"/>
    <w:rsid w:val="00173EE0"/>
    <w:rsid w:val="00173F8B"/>
    <w:rsid w:val="00173FA0"/>
    <w:rsid w:val="001748DA"/>
    <w:rsid w:val="00174907"/>
    <w:rsid w:val="0017491F"/>
    <w:rsid w:val="001751A5"/>
    <w:rsid w:val="00175A84"/>
    <w:rsid w:val="00175B01"/>
    <w:rsid w:val="00175D28"/>
    <w:rsid w:val="0017604C"/>
    <w:rsid w:val="001770F7"/>
    <w:rsid w:val="00177299"/>
    <w:rsid w:val="00177703"/>
    <w:rsid w:val="0017778C"/>
    <w:rsid w:val="001800A0"/>
    <w:rsid w:val="00180601"/>
    <w:rsid w:val="00180D16"/>
    <w:rsid w:val="001816CE"/>
    <w:rsid w:val="001817E9"/>
    <w:rsid w:val="00181A1B"/>
    <w:rsid w:val="00181BC3"/>
    <w:rsid w:val="001824B3"/>
    <w:rsid w:val="00182995"/>
    <w:rsid w:val="0018318D"/>
    <w:rsid w:val="00183412"/>
    <w:rsid w:val="00183805"/>
    <w:rsid w:val="00185180"/>
    <w:rsid w:val="001851D9"/>
    <w:rsid w:val="0018582E"/>
    <w:rsid w:val="0018614F"/>
    <w:rsid w:val="001877CA"/>
    <w:rsid w:val="00190391"/>
    <w:rsid w:val="00190A74"/>
    <w:rsid w:val="00191100"/>
    <w:rsid w:val="001913AC"/>
    <w:rsid w:val="001914B8"/>
    <w:rsid w:val="0019150F"/>
    <w:rsid w:val="00191B37"/>
    <w:rsid w:val="00191DAB"/>
    <w:rsid w:val="00191EAD"/>
    <w:rsid w:val="001924FE"/>
    <w:rsid w:val="00192504"/>
    <w:rsid w:val="00192BB1"/>
    <w:rsid w:val="00192DB5"/>
    <w:rsid w:val="00192F03"/>
    <w:rsid w:val="001930F2"/>
    <w:rsid w:val="001936F8"/>
    <w:rsid w:val="00193BC4"/>
    <w:rsid w:val="00193BD6"/>
    <w:rsid w:val="00193D57"/>
    <w:rsid w:val="00193E8D"/>
    <w:rsid w:val="00193F6C"/>
    <w:rsid w:val="001948BB"/>
    <w:rsid w:val="00194986"/>
    <w:rsid w:val="00194D6F"/>
    <w:rsid w:val="001951AB"/>
    <w:rsid w:val="00195592"/>
    <w:rsid w:val="00195BFD"/>
    <w:rsid w:val="00196271"/>
    <w:rsid w:val="00196361"/>
    <w:rsid w:val="001967D1"/>
    <w:rsid w:val="00196B21"/>
    <w:rsid w:val="00196F60"/>
    <w:rsid w:val="00197354"/>
    <w:rsid w:val="0019770D"/>
    <w:rsid w:val="001A041E"/>
    <w:rsid w:val="001A079B"/>
    <w:rsid w:val="001A0971"/>
    <w:rsid w:val="001A0A3B"/>
    <w:rsid w:val="001A0A63"/>
    <w:rsid w:val="001A1431"/>
    <w:rsid w:val="001A143B"/>
    <w:rsid w:val="001A1596"/>
    <w:rsid w:val="001A1850"/>
    <w:rsid w:val="001A1A6E"/>
    <w:rsid w:val="001A1D6F"/>
    <w:rsid w:val="001A2062"/>
    <w:rsid w:val="001A2139"/>
    <w:rsid w:val="001A2367"/>
    <w:rsid w:val="001A290D"/>
    <w:rsid w:val="001A2FAD"/>
    <w:rsid w:val="001A31B3"/>
    <w:rsid w:val="001A3A83"/>
    <w:rsid w:val="001A3CBE"/>
    <w:rsid w:val="001A430C"/>
    <w:rsid w:val="001A4432"/>
    <w:rsid w:val="001A4522"/>
    <w:rsid w:val="001A4C01"/>
    <w:rsid w:val="001A51DA"/>
    <w:rsid w:val="001A5291"/>
    <w:rsid w:val="001A575B"/>
    <w:rsid w:val="001A5C1D"/>
    <w:rsid w:val="001A629D"/>
    <w:rsid w:val="001A6465"/>
    <w:rsid w:val="001A682A"/>
    <w:rsid w:val="001A6A93"/>
    <w:rsid w:val="001A6E81"/>
    <w:rsid w:val="001A7214"/>
    <w:rsid w:val="001A73CB"/>
    <w:rsid w:val="001A7811"/>
    <w:rsid w:val="001A7B39"/>
    <w:rsid w:val="001A7C27"/>
    <w:rsid w:val="001B0097"/>
    <w:rsid w:val="001B038A"/>
    <w:rsid w:val="001B0952"/>
    <w:rsid w:val="001B1406"/>
    <w:rsid w:val="001B1618"/>
    <w:rsid w:val="001B1AC7"/>
    <w:rsid w:val="001B3A04"/>
    <w:rsid w:val="001B3A6C"/>
    <w:rsid w:val="001B3D38"/>
    <w:rsid w:val="001B3DD2"/>
    <w:rsid w:val="001B3F0B"/>
    <w:rsid w:val="001B4615"/>
    <w:rsid w:val="001B491E"/>
    <w:rsid w:val="001B4B6C"/>
    <w:rsid w:val="001B4DC7"/>
    <w:rsid w:val="001B4DE7"/>
    <w:rsid w:val="001B53BF"/>
    <w:rsid w:val="001B54FF"/>
    <w:rsid w:val="001B5EA6"/>
    <w:rsid w:val="001B637B"/>
    <w:rsid w:val="001B73AF"/>
    <w:rsid w:val="001B73DA"/>
    <w:rsid w:val="001B75CB"/>
    <w:rsid w:val="001B7D11"/>
    <w:rsid w:val="001B7E31"/>
    <w:rsid w:val="001C0B89"/>
    <w:rsid w:val="001C1188"/>
    <w:rsid w:val="001C11B7"/>
    <w:rsid w:val="001C13BD"/>
    <w:rsid w:val="001C19DE"/>
    <w:rsid w:val="001C24AD"/>
    <w:rsid w:val="001C2692"/>
    <w:rsid w:val="001C30A6"/>
    <w:rsid w:val="001C32E1"/>
    <w:rsid w:val="001C3595"/>
    <w:rsid w:val="001C3A9D"/>
    <w:rsid w:val="001C3F6B"/>
    <w:rsid w:val="001C404F"/>
    <w:rsid w:val="001C54E9"/>
    <w:rsid w:val="001C5DD4"/>
    <w:rsid w:val="001C5FA3"/>
    <w:rsid w:val="001C69AB"/>
    <w:rsid w:val="001C6B05"/>
    <w:rsid w:val="001C79DD"/>
    <w:rsid w:val="001C7CD7"/>
    <w:rsid w:val="001D013B"/>
    <w:rsid w:val="001D0EAA"/>
    <w:rsid w:val="001D1006"/>
    <w:rsid w:val="001D113A"/>
    <w:rsid w:val="001D15DA"/>
    <w:rsid w:val="001D16E1"/>
    <w:rsid w:val="001D1B93"/>
    <w:rsid w:val="001D208B"/>
    <w:rsid w:val="001D21A5"/>
    <w:rsid w:val="001D23B2"/>
    <w:rsid w:val="001D25D2"/>
    <w:rsid w:val="001D291F"/>
    <w:rsid w:val="001D296D"/>
    <w:rsid w:val="001D2B9F"/>
    <w:rsid w:val="001D2BDA"/>
    <w:rsid w:val="001D32C1"/>
    <w:rsid w:val="001D3A96"/>
    <w:rsid w:val="001D3B05"/>
    <w:rsid w:val="001D40ED"/>
    <w:rsid w:val="001D4102"/>
    <w:rsid w:val="001D4A87"/>
    <w:rsid w:val="001D4DD9"/>
    <w:rsid w:val="001D511E"/>
    <w:rsid w:val="001D5431"/>
    <w:rsid w:val="001D6116"/>
    <w:rsid w:val="001D6152"/>
    <w:rsid w:val="001D69CB"/>
    <w:rsid w:val="001E01C8"/>
    <w:rsid w:val="001E0919"/>
    <w:rsid w:val="001E119A"/>
    <w:rsid w:val="001E16B0"/>
    <w:rsid w:val="001E34F7"/>
    <w:rsid w:val="001E363C"/>
    <w:rsid w:val="001E4038"/>
    <w:rsid w:val="001E4110"/>
    <w:rsid w:val="001E43A1"/>
    <w:rsid w:val="001E4528"/>
    <w:rsid w:val="001E45E1"/>
    <w:rsid w:val="001E47DB"/>
    <w:rsid w:val="001E49A6"/>
    <w:rsid w:val="001E49A7"/>
    <w:rsid w:val="001E4E88"/>
    <w:rsid w:val="001E5213"/>
    <w:rsid w:val="001E5B93"/>
    <w:rsid w:val="001E5C6B"/>
    <w:rsid w:val="001E6C10"/>
    <w:rsid w:val="001E6D40"/>
    <w:rsid w:val="001E6FD4"/>
    <w:rsid w:val="001E7047"/>
    <w:rsid w:val="001E72C4"/>
    <w:rsid w:val="001E766C"/>
    <w:rsid w:val="001E77E4"/>
    <w:rsid w:val="001E7861"/>
    <w:rsid w:val="001E7A74"/>
    <w:rsid w:val="001E7C80"/>
    <w:rsid w:val="001F031D"/>
    <w:rsid w:val="001F072B"/>
    <w:rsid w:val="001F08F6"/>
    <w:rsid w:val="001F09E8"/>
    <w:rsid w:val="001F110C"/>
    <w:rsid w:val="001F134B"/>
    <w:rsid w:val="001F14D9"/>
    <w:rsid w:val="001F15F5"/>
    <w:rsid w:val="001F16AF"/>
    <w:rsid w:val="001F173C"/>
    <w:rsid w:val="001F2089"/>
    <w:rsid w:val="001F2566"/>
    <w:rsid w:val="001F2EAC"/>
    <w:rsid w:val="001F372A"/>
    <w:rsid w:val="001F3DC1"/>
    <w:rsid w:val="001F4097"/>
    <w:rsid w:val="001F49A0"/>
    <w:rsid w:val="001F49B2"/>
    <w:rsid w:val="001F53E7"/>
    <w:rsid w:val="001F568B"/>
    <w:rsid w:val="001F5C7A"/>
    <w:rsid w:val="001F60E9"/>
    <w:rsid w:val="001F625C"/>
    <w:rsid w:val="001F67DF"/>
    <w:rsid w:val="001F6961"/>
    <w:rsid w:val="001F6B99"/>
    <w:rsid w:val="001F6CB5"/>
    <w:rsid w:val="001F7062"/>
    <w:rsid w:val="0020007B"/>
    <w:rsid w:val="002002FF"/>
    <w:rsid w:val="00200973"/>
    <w:rsid w:val="00200B7F"/>
    <w:rsid w:val="00200E61"/>
    <w:rsid w:val="002011A2"/>
    <w:rsid w:val="002013F0"/>
    <w:rsid w:val="00201F09"/>
    <w:rsid w:val="00202021"/>
    <w:rsid w:val="0020236D"/>
    <w:rsid w:val="0020282A"/>
    <w:rsid w:val="00202A41"/>
    <w:rsid w:val="00202AAA"/>
    <w:rsid w:val="00202BE3"/>
    <w:rsid w:val="00202F88"/>
    <w:rsid w:val="00203332"/>
    <w:rsid w:val="00203A35"/>
    <w:rsid w:val="00203EE0"/>
    <w:rsid w:val="00203F9F"/>
    <w:rsid w:val="002047FE"/>
    <w:rsid w:val="00204AD4"/>
    <w:rsid w:val="002055C9"/>
    <w:rsid w:val="00205D4E"/>
    <w:rsid w:val="00205F7B"/>
    <w:rsid w:val="00206D97"/>
    <w:rsid w:val="00207EEF"/>
    <w:rsid w:val="00207FED"/>
    <w:rsid w:val="00207FFE"/>
    <w:rsid w:val="00210715"/>
    <w:rsid w:val="0021081E"/>
    <w:rsid w:val="00210A08"/>
    <w:rsid w:val="00210AA7"/>
    <w:rsid w:val="00210B5D"/>
    <w:rsid w:val="00210BC7"/>
    <w:rsid w:val="002110D5"/>
    <w:rsid w:val="002115A3"/>
    <w:rsid w:val="00211668"/>
    <w:rsid w:val="00212D8D"/>
    <w:rsid w:val="00212F9A"/>
    <w:rsid w:val="00213CE4"/>
    <w:rsid w:val="00213D10"/>
    <w:rsid w:val="00214635"/>
    <w:rsid w:val="00214870"/>
    <w:rsid w:val="002148A4"/>
    <w:rsid w:val="00214CBF"/>
    <w:rsid w:val="00215111"/>
    <w:rsid w:val="00215307"/>
    <w:rsid w:val="00215594"/>
    <w:rsid w:val="0021582C"/>
    <w:rsid w:val="00215877"/>
    <w:rsid w:val="0021634D"/>
    <w:rsid w:val="00217059"/>
    <w:rsid w:val="002173B5"/>
    <w:rsid w:val="00217D9F"/>
    <w:rsid w:val="00217F64"/>
    <w:rsid w:val="0022049B"/>
    <w:rsid w:val="0022078E"/>
    <w:rsid w:val="0022112E"/>
    <w:rsid w:val="00221561"/>
    <w:rsid w:val="00221738"/>
    <w:rsid w:val="00221BC0"/>
    <w:rsid w:val="00221BF6"/>
    <w:rsid w:val="00221FEA"/>
    <w:rsid w:val="00222080"/>
    <w:rsid w:val="00222325"/>
    <w:rsid w:val="002224F9"/>
    <w:rsid w:val="00222567"/>
    <w:rsid w:val="00222E04"/>
    <w:rsid w:val="00222EDE"/>
    <w:rsid w:val="0022303D"/>
    <w:rsid w:val="00223130"/>
    <w:rsid w:val="00223530"/>
    <w:rsid w:val="00224715"/>
    <w:rsid w:val="00224783"/>
    <w:rsid w:val="00224AB8"/>
    <w:rsid w:val="00224AE7"/>
    <w:rsid w:val="00224C6D"/>
    <w:rsid w:val="00224CF2"/>
    <w:rsid w:val="002256DC"/>
    <w:rsid w:val="00226340"/>
    <w:rsid w:val="00226469"/>
    <w:rsid w:val="00226A00"/>
    <w:rsid w:val="00226A74"/>
    <w:rsid w:val="0022735A"/>
    <w:rsid w:val="0023005E"/>
    <w:rsid w:val="00230280"/>
    <w:rsid w:val="002302C4"/>
    <w:rsid w:val="0023090D"/>
    <w:rsid w:val="0023118B"/>
    <w:rsid w:val="002315E8"/>
    <w:rsid w:val="00231666"/>
    <w:rsid w:val="00231A4B"/>
    <w:rsid w:val="00231DBA"/>
    <w:rsid w:val="0023229C"/>
    <w:rsid w:val="00232DC4"/>
    <w:rsid w:val="00232FF8"/>
    <w:rsid w:val="002334CE"/>
    <w:rsid w:val="00233B3C"/>
    <w:rsid w:val="00233C06"/>
    <w:rsid w:val="00233D9A"/>
    <w:rsid w:val="0023499B"/>
    <w:rsid w:val="00234B61"/>
    <w:rsid w:val="00234B72"/>
    <w:rsid w:val="00234F85"/>
    <w:rsid w:val="002356AE"/>
    <w:rsid w:val="002356D1"/>
    <w:rsid w:val="00235BAE"/>
    <w:rsid w:val="00235DD8"/>
    <w:rsid w:val="00235E98"/>
    <w:rsid w:val="00235EF3"/>
    <w:rsid w:val="0023613C"/>
    <w:rsid w:val="00236273"/>
    <w:rsid w:val="00236279"/>
    <w:rsid w:val="0023674D"/>
    <w:rsid w:val="00236B2A"/>
    <w:rsid w:val="00237432"/>
    <w:rsid w:val="002377A7"/>
    <w:rsid w:val="00237A62"/>
    <w:rsid w:val="00237F0C"/>
    <w:rsid w:val="00240283"/>
    <w:rsid w:val="00240FDC"/>
    <w:rsid w:val="00242067"/>
    <w:rsid w:val="00242455"/>
    <w:rsid w:val="0024246A"/>
    <w:rsid w:val="0024296C"/>
    <w:rsid w:val="00242A0B"/>
    <w:rsid w:val="00242BC3"/>
    <w:rsid w:val="00243592"/>
    <w:rsid w:val="00244DB9"/>
    <w:rsid w:val="00244EB8"/>
    <w:rsid w:val="00245265"/>
    <w:rsid w:val="002461D8"/>
    <w:rsid w:val="00246C3E"/>
    <w:rsid w:val="00246E27"/>
    <w:rsid w:val="0024731D"/>
    <w:rsid w:val="0024747F"/>
    <w:rsid w:val="002479DB"/>
    <w:rsid w:val="0025031F"/>
    <w:rsid w:val="00250C6F"/>
    <w:rsid w:val="00251404"/>
    <w:rsid w:val="00251582"/>
    <w:rsid w:val="00251C3A"/>
    <w:rsid w:val="0025203B"/>
    <w:rsid w:val="002520E0"/>
    <w:rsid w:val="00252FAE"/>
    <w:rsid w:val="00252FE5"/>
    <w:rsid w:val="002530AF"/>
    <w:rsid w:val="00253211"/>
    <w:rsid w:val="0025390A"/>
    <w:rsid w:val="00253A0C"/>
    <w:rsid w:val="00253D0F"/>
    <w:rsid w:val="00253DD4"/>
    <w:rsid w:val="00254215"/>
    <w:rsid w:val="002544F3"/>
    <w:rsid w:val="00254553"/>
    <w:rsid w:val="00254612"/>
    <w:rsid w:val="00255A34"/>
    <w:rsid w:val="00255DE3"/>
    <w:rsid w:val="00255F3B"/>
    <w:rsid w:val="0025612B"/>
    <w:rsid w:val="002562F2"/>
    <w:rsid w:val="002565AC"/>
    <w:rsid w:val="00257024"/>
    <w:rsid w:val="0025767B"/>
    <w:rsid w:val="00257CDC"/>
    <w:rsid w:val="00257CFF"/>
    <w:rsid w:val="0026031C"/>
    <w:rsid w:val="00260BAC"/>
    <w:rsid w:val="00260D02"/>
    <w:rsid w:val="0026104C"/>
    <w:rsid w:val="00261530"/>
    <w:rsid w:val="002619CF"/>
    <w:rsid w:val="00261CD9"/>
    <w:rsid w:val="002625C8"/>
    <w:rsid w:val="0026349E"/>
    <w:rsid w:val="002634F7"/>
    <w:rsid w:val="00263C25"/>
    <w:rsid w:val="002645FA"/>
    <w:rsid w:val="00264D64"/>
    <w:rsid w:val="00265608"/>
    <w:rsid w:val="0026595D"/>
    <w:rsid w:val="002661E0"/>
    <w:rsid w:val="002664F2"/>
    <w:rsid w:val="002666AB"/>
    <w:rsid w:val="00266707"/>
    <w:rsid w:val="00266B97"/>
    <w:rsid w:val="002670E2"/>
    <w:rsid w:val="00267193"/>
    <w:rsid w:val="002676C7"/>
    <w:rsid w:val="002702BE"/>
    <w:rsid w:val="002713EF"/>
    <w:rsid w:val="00271AE9"/>
    <w:rsid w:val="002726E9"/>
    <w:rsid w:val="002731C7"/>
    <w:rsid w:val="0027334A"/>
    <w:rsid w:val="002733B9"/>
    <w:rsid w:val="002736E8"/>
    <w:rsid w:val="002736EB"/>
    <w:rsid w:val="00273A48"/>
    <w:rsid w:val="00273EA0"/>
    <w:rsid w:val="002741D0"/>
    <w:rsid w:val="002747D8"/>
    <w:rsid w:val="00274B20"/>
    <w:rsid w:val="002753F3"/>
    <w:rsid w:val="00275745"/>
    <w:rsid w:val="002758E0"/>
    <w:rsid w:val="0027664F"/>
    <w:rsid w:val="00276AC3"/>
    <w:rsid w:val="00276BEB"/>
    <w:rsid w:val="00276D6D"/>
    <w:rsid w:val="00276EC4"/>
    <w:rsid w:val="002774D8"/>
    <w:rsid w:val="0027768E"/>
    <w:rsid w:val="00277E17"/>
    <w:rsid w:val="00280099"/>
    <w:rsid w:val="00280704"/>
    <w:rsid w:val="0028084D"/>
    <w:rsid w:val="0028098B"/>
    <w:rsid w:val="00280997"/>
    <w:rsid w:val="002809D4"/>
    <w:rsid w:val="00280F6D"/>
    <w:rsid w:val="0028238A"/>
    <w:rsid w:val="002824EB"/>
    <w:rsid w:val="00282653"/>
    <w:rsid w:val="002826E5"/>
    <w:rsid w:val="002832BF"/>
    <w:rsid w:val="002839DA"/>
    <w:rsid w:val="00283E14"/>
    <w:rsid w:val="002843B2"/>
    <w:rsid w:val="00284504"/>
    <w:rsid w:val="002846C5"/>
    <w:rsid w:val="00284AF2"/>
    <w:rsid w:val="00284C07"/>
    <w:rsid w:val="00284E54"/>
    <w:rsid w:val="00284F61"/>
    <w:rsid w:val="00284FF5"/>
    <w:rsid w:val="00285102"/>
    <w:rsid w:val="002855F0"/>
    <w:rsid w:val="002867BD"/>
    <w:rsid w:val="00286FF9"/>
    <w:rsid w:val="0028746C"/>
    <w:rsid w:val="0028791F"/>
    <w:rsid w:val="00287D2D"/>
    <w:rsid w:val="0029060A"/>
    <w:rsid w:val="00290952"/>
    <w:rsid w:val="002913C0"/>
    <w:rsid w:val="002915BC"/>
    <w:rsid w:val="0029164F"/>
    <w:rsid w:val="00291D32"/>
    <w:rsid w:val="00291FA5"/>
    <w:rsid w:val="00292034"/>
    <w:rsid w:val="0029214C"/>
    <w:rsid w:val="00292671"/>
    <w:rsid w:val="002928AC"/>
    <w:rsid w:val="00292AF5"/>
    <w:rsid w:val="00292E0D"/>
    <w:rsid w:val="00293112"/>
    <w:rsid w:val="00293598"/>
    <w:rsid w:val="002935C6"/>
    <w:rsid w:val="00293B95"/>
    <w:rsid w:val="00293E16"/>
    <w:rsid w:val="00294CAF"/>
    <w:rsid w:val="002954B7"/>
    <w:rsid w:val="0029572B"/>
    <w:rsid w:val="002957D6"/>
    <w:rsid w:val="00295CAA"/>
    <w:rsid w:val="00296CD9"/>
    <w:rsid w:val="00297AED"/>
    <w:rsid w:val="00297C81"/>
    <w:rsid w:val="002A0E60"/>
    <w:rsid w:val="002A1024"/>
    <w:rsid w:val="002A1307"/>
    <w:rsid w:val="002A1412"/>
    <w:rsid w:val="002A15C6"/>
    <w:rsid w:val="002A178F"/>
    <w:rsid w:val="002A18C9"/>
    <w:rsid w:val="002A18FC"/>
    <w:rsid w:val="002A1AD3"/>
    <w:rsid w:val="002A1C9F"/>
    <w:rsid w:val="002A205D"/>
    <w:rsid w:val="002A2063"/>
    <w:rsid w:val="002A2EBB"/>
    <w:rsid w:val="002A3345"/>
    <w:rsid w:val="002A381B"/>
    <w:rsid w:val="002A3DEC"/>
    <w:rsid w:val="002A4066"/>
    <w:rsid w:val="002A412E"/>
    <w:rsid w:val="002A4401"/>
    <w:rsid w:val="002A45B3"/>
    <w:rsid w:val="002A4725"/>
    <w:rsid w:val="002A4BBC"/>
    <w:rsid w:val="002A52CF"/>
    <w:rsid w:val="002A5873"/>
    <w:rsid w:val="002A58BB"/>
    <w:rsid w:val="002A5E5A"/>
    <w:rsid w:val="002A632B"/>
    <w:rsid w:val="002A65A9"/>
    <w:rsid w:val="002A675E"/>
    <w:rsid w:val="002A6794"/>
    <w:rsid w:val="002A6CFF"/>
    <w:rsid w:val="002A6D7C"/>
    <w:rsid w:val="002A74FE"/>
    <w:rsid w:val="002A7561"/>
    <w:rsid w:val="002A7666"/>
    <w:rsid w:val="002A771A"/>
    <w:rsid w:val="002A7A9D"/>
    <w:rsid w:val="002A7BE7"/>
    <w:rsid w:val="002B009F"/>
    <w:rsid w:val="002B02F7"/>
    <w:rsid w:val="002B0C24"/>
    <w:rsid w:val="002B0F29"/>
    <w:rsid w:val="002B10D4"/>
    <w:rsid w:val="002B145D"/>
    <w:rsid w:val="002B1467"/>
    <w:rsid w:val="002B157E"/>
    <w:rsid w:val="002B171A"/>
    <w:rsid w:val="002B18D1"/>
    <w:rsid w:val="002B1ACA"/>
    <w:rsid w:val="002B1BBF"/>
    <w:rsid w:val="002B2509"/>
    <w:rsid w:val="002B2708"/>
    <w:rsid w:val="002B2AE2"/>
    <w:rsid w:val="002B2C2E"/>
    <w:rsid w:val="002B3232"/>
    <w:rsid w:val="002B3841"/>
    <w:rsid w:val="002B3890"/>
    <w:rsid w:val="002B4173"/>
    <w:rsid w:val="002B45CF"/>
    <w:rsid w:val="002B4633"/>
    <w:rsid w:val="002B4877"/>
    <w:rsid w:val="002B4E67"/>
    <w:rsid w:val="002B5140"/>
    <w:rsid w:val="002B5260"/>
    <w:rsid w:val="002B66B7"/>
    <w:rsid w:val="002B7514"/>
    <w:rsid w:val="002B7944"/>
    <w:rsid w:val="002B7F60"/>
    <w:rsid w:val="002C0435"/>
    <w:rsid w:val="002C061A"/>
    <w:rsid w:val="002C11F0"/>
    <w:rsid w:val="002C2686"/>
    <w:rsid w:val="002C2709"/>
    <w:rsid w:val="002C340C"/>
    <w:rsid w:val="002C3882"/>
    <w:rsid w:val="002C4321"/>
    <w:rsid w:val="002C4E84"/>
    <w:rsid w:val="002C53EE"/>
    <w:rsid w:val="002C5779"/>
    <w:rsid w:val="002C667A"/>
    <w:rsid w:val="002C6768"/>
    <w:rsid w:val="002C6857"/>
    <w:rsid w:val="002C6BD1"/>
    <w:rsid w:val="002C6E47"/>
    <w:rsid w:val="002C7981"/>
    <w:rsid w:val="002C7991"/>
    <w:rsid w:val="002C7A52"/>
    <w:rsid w:val="002D0068"/>
    <w:rsid w:val="002D061D"/>
    <w:rsid w:val="002D0649"/>
    <w:rsid w:val="002D0718"/>
    <w:rsid w:val="002D076D"/>
    <w:rsid w:val="002D0A5E"/>
    <w:rsid w:val="002D0AE8"/>
    <w:rsid w:val="002D0BCF"/>
    <w:rsid w:val="002D0C0F"/>
    <w:rsid w:val="002D13D4"/>
    <w:rsid w:val="002D1751"/>
    <w:rsid w:val="002D1949"/>
    <w:rsid w:val="002D1A5D"/>
    <w:rsid w:val="002D2164"/>
    <w:rsid w:val="002D24A9"/>
    <w:rsid w:val="002D2AE8"/>
    <w:rsid w:val="002D2C9B"/>
    <w:rsid w:val="002D2F6C"/>
    <w:rsid w:val="002D3094"/>
    <w:rsid w:val="002D3354"/>
    <w:rsid w:val="002D3746"/>
    <w:rsid w:val="002D3FFE"/>
    <w:rsid w:val="002D402F"/>
    <w:rsid w:val="002D42F2"/>
    <w:rsid w:val="002D4513"/>
    <w:rsid w:val="002D4800"/>
    <w:rsid w:val="002D481A"/>
    <w:rsid w:val="002D5186"/>
    <w:rsid w:val="002D56C4"/>
    <w:rsid w:val="002D5BB2"/>
    <w:rsid w:val="002D5E5B"/>
    <w:rsid w:val="002D6717"/>
    <w:rsid w:val="002D68DC"/>
    <w:rsid w:val="002D6AC0"/>
    <w:rsid w:val="002D7669"/>
    <w:rsid w:val="002D77AC"/>
    <w:rsid w:val="002D78C5"/>
    <w:rsid w:val="002D7B87"/>
    <w:rsid w:val="002E02D6"/>
    <w:rsid w:val="002E0FDC"/>
    <w:rsid w:val="002E1175"/>
    <w:rsid w:val="002E14A8"/>
    <w:rsid w:val="002E1682"/>
    <w:rsid w:val="002E1D4F"/>
    <w:rsid w:val="002E21B8"/>
    <w:rsid w:val="002E30EB"/>
    <w:rsid w:val="002E31BE"/>
    <w:rsid w:val="002E3523"/>
    <w:rsid w:val="002E3606"/>
    <w:rsid w:val="002E3635"/>
    <w:rsid w:val="002E3D56"/>
    <w:rsid w:val="002E416D"/>
    <w:rsid w:val="002E43DE"/>
    <w:rsid w:val="002E4703"/>
    <w:rsid w:val="002E4CA0"/>
    <w:rsid w:val="002E4CB5"/>
    <w:rsid w:val="002E507B"/>
    <w:rsid w:val="002E54FA"/>
    <w:rsid w:val="002E583E"/>
    <w:rsid w:val="002E5879"/>
    <w:rsid w:val="002E5A10"/>
    <w:rsid w:val="002E5ADC"/>
    <w:rsid w:val="002E5DB8"/>
    <w:rsid w:val="002E65FA"/>
    <w:rsid w:val="002E67FA"/>
    <w:rsid w:val="002E6805"/>
    <w:rsid w:val="002E6948"/>
    <w:rsid w:val="002E6BB6"/>
    <w:rsid w:val="002E6D72"/>
    <w:rsid w:val="002E6EBF"/>
    <w:rsid w:val="002E70CB"/>
    <w:rsid w:val="002E7427"/>
    <w:rsid w:val="002E77D1"/>
    <w:rsid w:val="002F00BA"/>
    <w:rsid w:val="002F03E6"/>
    <w:rsid w:val="002F05F5"/>
    <w:rsid w:val="002F1277"/>
    <w:rsid w:val="002F199C"/>
    <w:rsid w:val="002F313A"/>
    <w:rsid w:val="002F3255"/>
    <w:rsid w:val="002F33DB"/>
    <w:rsid w:val="002F3680"/>
    <w:rsid w:val="002F3F39"/>
    <w:rsid w:val="002F4454"/>
    <w:rsid w:val="002F45E8"/>
    <w:rsid w:val="002F4D0B"/>
    <w:rsid w:val="002F4F41"/>
    <w:rsid w:val="002F54F3"/>
    <w:rsid w:val="002F57AA"/>
    <w:rsid w:val="002F5827"/>
    <w:rsid w:val="002F58E0"/>
    <w:rsid w:val="002F5C16"/>
    <w:rsid w:val="002F5E5E"/>
    <w:rsid w:val="002F69AA"/>
    <w:rsid w:val="002F6BD5"/>
    <w:rsid w:val="002F6CB9"/>
    <w:rsid w:val="002F6F21"/>
    <w:rsid w:val="002F719F"/>
    <w:rsid w:val="002F71DA"/>
    <w:rsid w:val="002F7A1F"/>
    <w:rsid w:val="002F7D02"/>
    <w:rsid w:val="00300164"/>
    <w:rsid w:val="003003AE"/>
    <w:rsid w:val="0030075B"/>
    <w:rsid w:val="00300DCD"/>
    <w:rsid w:val="0030109D"/>
    <w:rsid w:val="0030170B"/>
    <w:rsid w:val="0030197E"/>
    <w:rsid w:val="00301DC6"/>
    <w:rsid w:val="00302556"/>
    <w:rsid w:val="00303386"/>
    <w:rsid w:val="00303599"/>
    <w:rsid w:val="003037C0"/>
    <w:rsid w:val="00304E32"/>
    <w:rsid w:val="0030594B"/>
    <w:rsid w:val="00305B39"/>
    <w:rsid w:val="00305DB7"/>
    <w:rsid w:val="00305F6D"/>
    <w:rsid w:val="0030693E"/>
    <w:rsid w:val="00306C54"/>
    <w:rsid w:val="00307442"/>
    <w:rsid w:val="00307684"/>
    <w:rsid w:val="00307852"/>
    <w:rsid w:val="003100F9"/>
    <w:rsid w:val="00310152"/>
    <w:rsid w:val="003107BB"/>
    <w:rsid w:val="0031086E"/>
    <w:rsid w:val="00310E38"/>
    <w:rsid w:val="0031138F"/>
    <w:rsid w:val="00311CEA"/>
    <w:rsid w:val="00312A1A"/>
    <w:rsid w:val="00312B41"/>
    <w:rsid w:val="00312C85"/>
    <w:rsid w:val="0031325B"/>
    <w:rsid w:val="0031326C"/>
    <w:rsid w:val="0031384A"/>
    <w:rsid w:val="00313C95"/>
    <w:rsid w:val="00314144"/>
    <w:rsid w:val="003143D8"/>
    <w:rsid w:val="00314783"/>
    <w:rsid w:val="00314813"/>
    <w:rsid w:val="0031486D"/>
    <w:rsid w:val="00314981"/>
    <w:rsid w:val="003149F7"/>
    <w:rsid w:val="00314DEC"/>
    <w:rsid w:val="00314E40"/>
    <w:rsid w:val="00314EDF"/>
    <w:rsid w:val="00315D94"/>
    <w:rsid w:val="00315EB2"/>
    <w:rsid w:val="00315EB9"/>
    <w:rsid w:val="00315EF3"/>
    <w:rsid w:val="00315FF6"/>
    <w:rsid w:val="00316273"/>
    <w:rsid w:val="003166BB"/>
    <w:rsid w:val="00317133"/>
    <w:rsid w:val="003174A0"/>
    <w:rsid w:val="0031767E"/>
    <w:rsid w:val="00317727"/>
    <w:rsid w:val="003178A4"/>
    <w:rsid w:val="00317EC7"/>
    <w:rsid w:val="0032083D"/>
    <w:rsid w:val="00320E1F"/>
    <w:rsid w:val="003219B3"/>
    <w:rsid w:val="00321B25"/>
    <w:rsid w:val="00321BAD"/>
    <w:rsid w:val="00321CA6"/>
    <w:rsid w:val="00321F41"/>
    <w:rsid w:val="003227E1"/>
    <w:rsid w:val="00322852"/>
    <w:rsid w:val="0032293A"/>
    <w:rsid w:val="003234E9"/>
    <w:rsid w:val="003238D9"/>
    <w:rsid w:val="00324150"/>
    <w:rsid w:val="00324552"/>
    <w:rsid w:val="0032465D"/>
    <w:rsid w:val="00324943"/>
    <w:rsid w:val="00325B0C"/>
    <w:rsid w:val="00326030"/>
    <w:rsid w:val="0032650B"/>
    <w:rsid w:val="003265BD"/>
    <w:rsid w:val="00326D19"/>
    <w:rsid w:val="00326E6F"/>
    <w:rsid w:val="00326F0F"/>
    <w:rsid w:val="003272D9"/>
    <w:rsid w:val="00327938"/>
    <w:rsid w:val="00327C0A"/>
    <w:rsid w:val="00327DA6"/>
    <w:rsid w:val="00327ECD"/>
    <w:rsid w:val="00330054"/>
    <w:rsid w:val="00330213"/>
    <w:rsid w:val="003303EE"/>
    <w:rsid w:val="00331CA5"/>
    <w:rsid w:val="00332CF7"/>
    <w:rsid w:val="003335BD"/>
    <w:rsid w:val="0033363D"/>
    <w:rsid w:val="00333C96"/>
    <w:rsid w:val="003343F8"/>
    <w:rsid w:val="00334577"/>
    <w:rsid w:val="0033504C"/>
    <w:rsid w:val="00335406"/>
    <w:rsid w:val="0033545F"/>
    <w:rsid w:val="00335B18"/>
    <w:rsid w:val="00336221"/>
    <w:rsid w:val="00336447"/>
    <w:rsid w:val="00337AA5"/>
    <w:rsid w:val="00337B1E"/>
    <w:rsid w:val="00340160"/>
    <w:rsid w:val="003402A2"/>
    <w:rsid w:val="003405CF"/>
    <w:rsid w:val="00340A5B"/>
    <w:rsid w:val="00340B13"/>
    <w:rsid w:val="00341F05"/>
    <w:rsid w:val="003422D4"/>
    <w:rsid w:val="00342B69"/>
    <w:rsid w:val="00343204"/>
    <w:rsid w:val="00343677"/>
    <w:rsid w:val="003436DC"/>
    <w:rsid w:val="00343739"/>
    <w:rsid w:val="00344366"/>
    <w:rsid w:val="0034455B"/>
    <w:rsid w:val="0034480D"/>
    <w:rsid w:val="003448C5"/>
    <w:rsid w:val="003453F0"/>
    <w:rsid w:val="00345713"/>
    <w:rsid w:val="00346401"/>
    <w:rsid w:val="003465B4"/>
    <w:rsid w:val="0034676F"/>
    <w:rsid w:val="00346878"/>
    <w:rsid w:val="003470D3"/>
    <w:rsid w:val="00347F82"/>
    <w:rsid w:val="0035025D"/>
    <w:rsid w:val="003511B7"/>
    <w:rsid w:val="003518E8"/>
    <w:rsid w:val="0035198E"/>
    <w:rsid w:val="00351B17"/>
    <w:rsid w:val="00351C6D"/>
    <w:rsid w:val="00352259"/>
    <w:rsid w:val="003523B3"/>
    <w:rsid w:val="00352BD9"/>
    <w:rsid w:val="00352D62"/>
    <w:rsid w:val="00352D8E"/>
    <w:rsid w:val="00353FF8"/>
    <w:rsid w:val="003541A8"/>
    <w:rsid w:val="0035519E"/>
    <w:rsid w:val="0035580B"/>
    <w:rsid w:val="003558AA"/>
    <w:rsid w:val="00355B44"/>
    <w:rsid w:val="00356862"/>
    <w:rsid w:val="0035783B"/>
    <w:rsid w:val="00357975"/>
    <w:rsid w:val="00357AC2"/>
    <w:rsid w:val="003600EE"/>
    <w:rsid w:val="00360497"/>
    <w:rsid w:val="00360955"/>
    <w:rsid w:val="00360C6C"/>
    <w:rsid w:val="00360D6D"/>
    <w:rsid w:val="00361342"/>
    <w:rsid w:val="0036184A"/>
    <w:rsid w:val="003618BE"/>
    <w:rsid w:val="0036199B"/>
    <w:rsid w:val="00361B3A"/>
    <w:rsid w:val="00361B7A"/>
    <w:rsid w:val="0036261D"/>
    <w:rsid w:val="00362727"/>
    <w:rsid w:val="00362FD0"/>
    <w:rsid w:val="00363378"/>
    <w:rsid w:val="00363D37"/>
    <w:rsid w:val="003642B1"/>
    <w:rsid w:val="00364562"/>
    <w:rsid w:val="00365536"/>
    <w:rsid w:val="00365564"/>
    <w:rsid w:val="0036578C"/>
    <w:rsid w:val="00365A59"/>
    <w:rsid w:val="00365F77"/>
    <w:rsid w:val="00366417"/>
    <w:rsid w:val="0036672A"/>
    <w:rsid w:val="00366C98"/>
    <w:rsid w:val="0036729C"/>
    <w:rsid w:val="00367664"/>
    <w:rsid w:val="00367BFE"/>
    <w:rsid w:val="00367F15"/>
    <w:rsid w:val="00370879"/>
    <w:rsid w:val="00370BE5"/>
    <w:rsid w:val="00371195"/>
    <w:rsid w:val="003714AB"/>
    <w:rsid w:val="0037163D"/>
    <w:rsid w:val="003716A3"/>
    <w:rsid w:val="003717D1"/>
    <w:rsid w:val="00371B3C"/>
    <w:rsid w:val="003727B2"/>
    <w:rsid w:val="00372A2C"/>
    <w:rsid w:val="0037389A"/>
    <w:rsid w:val="00373BD6"/>
    <w:rsid w:val="0037472A"/>
    <w:rsid w:val="00375594"/>
    <w:rsid w:val="00375719"/>
    <w:rsid w:val="00375996"/>
    <w:rsid w:val="00375AE9"/>
    <w:rsid w:val="00375F10"/>
    <w:rsid w:val="0037610B"/>
    <w:rsid w:val="00376166"/>
    <w:rsid w:val="0037791B"/>
    <w:rsid w:val="0038017E"/>
    <w:rsid w:val="003806A7"/>
    <w:rsid w:val="003809F6"/>
    <w:rsid w:val="00380CDE"/>
    <w:rsid w:val="00381442"/>
    <w:rsid w:val="003817EC"/>
    <w:rsid w:val="003828EB"/>
    <w:rsid w:val="00382AB9"/>
    <w:rsid w:val="00383950"/>
    <w:rsid w:val="00384559"/>
    <w:rsid w:val="00384605"/>
    <w:rsid w:val="0038479C"/>
    <w:rsid w:val="00384D81"/>
    <w:rsid w:val="00384F4E"/>
    <w:rsid w:val="00384FEB"/>
    <w:rsid w:val="003850BD"/>
    <w:rsid w:val="003851F9"/>
    <w:rsid w:val="0038551A"/>
    <w:rsid w:val="0038597F"/>
    <w:rsid w:val="00385B06"/>
    <w:rsid w:val="00385C0C"/>
    <w:rsid w:val="0038607D"/>
    <w:rsid w:val="003860C4"/>
    <w:rsid w:val="00386335"/>
    <w:rsid w:val="00386781"/>
    <w:rsid w:val="00386A44"/>
    <w:rsid w:val="00386AFD"/>
    <w:rsid w:val="00386B79"/>
    <w:rsid w:val="00387154"/>
    <w:rsid w:val="00387585"/>
    <w:rsid w:val="003879CC"/>
    <w:rsid w:val="003904F0"/>
    <w:rsid w:val="003905F4"/>
    <w:rsid w:val="003908C5"/>
    <w:rsid w:val="0039129A"/>
    <w:rsid w:val="00391FD6"/>
    <w:rsid w:val="00392072"/>
    <w:rsid w:val="0039212A"/>
    <w:rsid w:val="0039214B"/>
    <w:rsid w:val="003929C7"/>
    <w:rsid w:val="00392A04"/>
    <w:rsid w:val="00392EC2"/>
    <w:rsid w:val="00393264"/>
    <w:rsid w:val="003937CE"/>
    <w:rsid w:val="00394528"/>
    <w:rsid w:val="00394630"/>
    <w:rsid w:val="003949BB"/>
    <w:rsid w:val="003958B7"/>
    <w:rsid w:val="00395F1A"/>
    <w:rsid w:val="0039634A"/>
    <w:rsid w:val="00396777"/>
    <w:rsid w:val="003969AB"/>
    <w:rsid w:val="00397183"/>
    <w:rsid w:val="00397585"/>
    <w:rsid w:val="00397749"/>
    <w:rsid w:val="003A020F"/>
    <w:rsid w:val="003A1359"/>
    <w:rsid w:val="003A189C"/>
    <w:rsid w:val="003A1AB4"/>
    <w:rsid w:val="003A1ACE"/>
    <w:rsid w:val="003A1D34"/>
    <w:rsid w:val="003A2C4A"/>
    <w:rsid w:val="003A2E2B"/>
    <w:rsid w:val="003A2E7C"/>
    <w:rsid w:val="003A3DE8"/>
    <w:rsid w:val="003A45A6"/>
    <w:rsid w:val="003A4753"/>
    <w:rsid w:val="003A5845"/>
    <w:rsid w:val="003A58CE"/>
    <w:rsid w:val="003A58F1"/>
    <w:rsid w:val="003A59C1"/>
    <w:rsid w:val="003A5A58"/>
    <w:rsid w:val="003A6768"/>
    <w:rsid w:val="003A7314"/>
    <w:rsid w:val="003A7347"/>
    <w:rsid w:val="003A7568"/>
    <w:rsid w:val="003A7627"/>
    <w:rsid w:val="003A7C00"/>
    <w:rsid w:val="003B04BC"/>
    <w:rsid w:val="003B060D"/>
    <w:rsid w:val="003B0C7A"/>
    <w:rsid w:val="003B14A2"/>
    <w:rsid w:val="003B14B2"/>
    <w:rsid w:val="003B16C1"/>
    <w:rsid w:val="003B1D8C"/>
    <w:rsid w:val="003B1FBC"/>
    <w:rsid w:val="003B2DC3"/>
    <w:rsid w:val="003B2DF4"/>
    <w:rsid w:val="003B2F80"/>
    <w:rsid w:val="003B34BF"/>
    <w:rsid w:val="003B3710"/>
    <w:rsid w:val="003B39C7"/>
    <w:rsid w:val="003B3E7A"/>
    <w:rsid w:val="003B3F8A"/>
    <w:rsid w:val="003B426E"/>
    <w:rsid w:val="003B4313"/>
    <w:rsid w:val="003B4634"/>
    <w:rsid w:val="003B4702"/>
    <w:rsid w:val="003B4A52"/>
    <w:rsid w:val="003B4A97"/>
    <w:rsid w:val="003B4E69"/>
    <w:rsid w:val="003B5635"/>
    <w:rsid w:val="003B69B0"/>
    <w:rsid w:val="003C0377"/>
    <w:rsid w:val="003C0B36"/>
    <w:rsid w:val="003C0D59"/>
    <w:rsid w:val="003C0F42"/>
    <w:rsid w:val="003C0F68"/>
    <w:rsid w:val="003C16D2"/>
    <w:rsid w:val="003C19FB"/>
    <w:rsid w:val="003C1E1A"/>
    <w:rsid w:val="003C270E"/>
    <w:rsid w:val="003C2E1E"/>
    <w:rsid w:val="003C3902"/>
    <w:rsid w:val="003C3E0C"/>
    <w:rsid w:val="003C3E10"/>
    <w:rsid w:val="003C3EF5"/>
    <w:rsid w:val="003C405E"/>
    <w:rsid w:val="003C4CB0"/>
    <w:rsid w:val="003C53FA"/>
    <w:rsid w:val="003C5F31"/>
    <w:rsid w:val="003C60E3"/>
    <w:rsid w:val="003C6129"/>
    <w:rsid w:val="003C61EF"/>
    <w:rsid w:val="003C652A"/>
    <w:rsid w:val="003C6B4E"/>
    <w:rsid w:val="003C7459"/>
    <w:rsid w:val="003C74D1"/>
    <w:rsid w:val="003C7561"/>
    <w:rsid w:val="003C77C0"/>
    <w:rsid w:val="003C791E"/>
    <w:rsid w:val="003C7A65"/>
    <w:rsid w:val="003D0649"/>
    <w:rsid w:val="003D06C5"/>
    <w:rsid w:val="003D1923"/>
    <w:rsid w:val="003D220C"/>
    <w:rsid w:val="003D22B9"/>
    <w:rsid w:val="003D246C"/>
    <w:rsid w:val="003D25BF"/>
    <w:rsid w:val="003D2AE7"/>
    <w:rsid w:val="003D38AC"/>
    <w:rsid w:val="003D3A2C"/>
    <w:rsid w:val="003D4158"/>
    <w:rsid w:val="003D424E"/>
    <w:rsid w:val="003D471C"/>
    <w:rsid w:val="003D4AAB"/>
    <w:rsid w:val="003D4E2B"/>
    <w:rsid w:val="003D54ED"/>
    <w:rsid w:val="003D5713"/>
    <w:rsid w:val="003D5B54"/>
    <w:rsid w:val="003D5D58"/>
    <w:rsid w:val="003D6AFF"/>
    <w:rsid w:val="003D6E80"/>
    <w:rsid w:val="003D74CE"/>
    <w:rsid w:val="003D776D"/>
    <w:rsid w:val="003D7D7A"/>
    <w:rsid w:val="003E003E"/>
    <w:rsid w:val="003E0290"/>
    <w:rsid w:val="003E034C"/>
    <w:rsid w:val="003E0420"/>
    <w:rsid w:val="003E07D1"/>
    <w:rsid w:val="003E08C2"/>
    <w:rsid w:val="003E0959"/>
    <w:rsid w:val="003E0FF7"/>
    <w:rsid w:val="003E1059"/>
    <w:rsid w:val="003E143D"/>
    <w:rsid w:val="003E1AFD"/>
    <w:rsid w:val="003E2973"/>
    <w:rsid w:val="003E29AE"/>
    <w:rsid w:val="003E2D81"/>
    <w:rsid w:val="003E2E00"/>
    <w:rsid w:val="003E32AB"/>
    <w:rsid w:val="003E348F"/>
    <w:rsid w:val="003E38B6"/>
    <w:rsid w:val="003E38FD"/>
    <w:rsid w:val="003E3A5F"/>
    <w:rsid w:val="003E3B3D"/>
    <w:rsid w:val="003E4232"/>
    <w:rsid w:val="003E4814"/>
    <w:rsid w:val="003E49D5"/>
    <w:rsid w:val="003E5850"/>
    <w:rsid w:val="003E6361"/>
    <w:rsid w:val="003E65BC"/>
    <w:rsid w:val="003E676C"/>
    <w:rsid w:val="003E677D"/>
    <w:rsid w:val="003E6832"/>
    <w:rsid w:val="003E769C"/>
    <w:rsid w:val="003E7F37"/>
    <w:rsid w:val="003F0236"/>
    <w:rsid w:val="003F0D46"/>
    <w:rsid w:val="003F1016"/>
    <w:rsid w:val="003F193E"/>
    <w:rsid w:val="003F1C3C"/>
    <w:rsid w:val="003F1F84"/>
    <w:rsid w:val="003F2008"/>
    <w:rsid w:val="003F2733"/>
    <w:rsid w:val="003F2BCE"/>
    <w:rsid w:val="003F2C26"/>
    <w:rsid w:val="003F3044"/>
    <w:rsid w:val="003F3680"/>
    <w:rsid w:val="003F3D05"/>
    <w:rsid w:val="003F3F2B"/>
    <w:rsid w:val="003F4104"/>
    <w:rsid w:val="003F47DB"/>
    <w:rsid w:val="003F48F7"/>
    <w:rsid w:val="003F5270"/>
    <w:rsid w:val="003F57E0"/>
    <w:rsid w:val="003F642E"/>
    <w:rsid w:val="003F70E4"/>
    <w:rsid w:val="003F7712"/>
    <w:rsid w:val="003F7997"/>
    <w:rsid w:val="003F7D27"/>
    <w:rsid w:val="0040021F"/>
    <w:rsid w:val="00400DB0"/>
    <w:rsid w:val="00400ED0"/>
    <w:rsid w:val="0040144C"/>
    <w:rsid w:val="00401B99"/>
    <w:rsid w:val="00401DFD"/>
    <w:rsid w:val="00401EF8"/>
    <w:rsid w:val="004020E0"/>
    <w:rsid w:val="00402239"/>
    <w:rsid w:val="00402FBC"/>
    <w:rsid w:val="004035D8"/>
    <w:rsid w:val="004035F9"/>
    <w:rsid w:val="0040395A"/>
    <w:rsid w:val="00403F39"/>
    <w:rsid w:val="0040439C"/>
    <w:rsid w:val="0040446A"/>
    <w:rsid w:val="0040491C"/>
    <w:rsid w:val="00404E73"/>
    <w:rsid w:val="00405764"/>
    <w:rsid w:val="00406327"/>
    <w:rsid w:val="00406ABF"/>
    <w:rsid w:val="00406BD7"/>
    <w:rsid w:val="00406CDE"/>
    <w:rsid w:val="00406D93"/>
    <w:rsid w:val="004103AA"/>
    <w:rsid w:val="00410627"/>
    <w:rsid w:val="00410B1D"/>
    <w:rsid w:val="004111C4"/>
    <w:rsid w:val="0041139A"/>
    <w:rsid w:val="00411CA8"/>
    <w:rsid w:val="0041251C"/>
    <w:rsid w:val="00412BAC"/>
    <w:rsid w:val="00412D2E"/>
    <w:rsid w:val="00412E75"/>
    <w:rsid w:val="00413616"/>
    <w:rsid w:val="004137B5"/>
    <w:rsid w:val="004137C2"/>
    <w:rsid w:val="00413FF2"/>
    <w:rsid w:val="004140D2"/>
    <w:rsid w:val="0041437C"/>
    <w:rsid w:val="0041464C"/>
    <w:rsid w:val="00414ED2"/>
    <w:rsid w:val="00414FFA"/>
    <w:rsid w:val="00415B2B"/>
    <w:rsid w:val="00415CDD"/>
    <w:rsid w:val="00415DBF"/>
    <w:rsid w:val="00415F01"/>
    <w:rsid w:val="00416086"/>
    <w:rsid w:val="00416412"/>
    <w:rsid w:val="0041720A"/>
    <w:rsid w:val="0041749A"/>
    <w:rsid w:val="00417B7E"/>
    <w:rsid w:val="00417C10"/>
    <w:rsid w:val="00420153"/>
    <w:rsid w:val="004205ED"/>
    <w:rsid w:val="00420886"/>
    <w:rsid w:val="004209D9"/>
    <w:rsid w:val="00420D2B"/>
    <w:rsid w:val="00421393"/>
    <w:rsid w:val="00421AE7"/>
    <w:rsid w:val="00421AF9"/>
    <w:rsid w:val="00422684"/>
    <w:rsid w:val="00422C45"/>
    <w:rsid w:val="00422CFC"/>
    <w:rsid w:val="004234DE"/>
    <w:rsid w:val="00423544"/>
    <w:rsid w:val="00423A50"/>
    <w:rsid w:val="00423CF6"/>
    <w:rsid w:val="00423F08"/>
    <w:rsid w:val="00424177"/>
    <w:rsid w:val="0042451E"/>
    <w:rsid w:val="00424B19"/>
    <w:rsid w:val="00424C5C"/>
    <w:rsid w:val="004254E0"/>
    <w:rsid w:val="00425A75"/>
    <w:rsid w:val="00425D2B"/>
    <w:rsid w:val="004260A2"/>
    <w:rsid w:val="00426446"/>
    <w:rsid w:val="0042660B"/>
    <w:rsid w:val="00426996"/>
    <w:rsid w:val="00426C0E"/>
    <w:rsid w:val="00426E69"/>
    <w:rsid w:val="004276CB"/>
    <w:rsid w:val="00427865"/>
    <w:rsid w:val="00427FDC"/>
    <w:rsid w:val="0043025F"/>
    <w:rsid w:val="00430558"/>
    <w:rsid w:val="004306CA"/>
    <w:rsid w:val="004306FC"/>
    <w:rsid w:val="004308D4"/>
    <w:rsid w:val="00430FFB"/>
    <w:rsid w:val="0043141A"/>
    <w:rsid w:val="00431543"/>
    <w:rsid w:val="00432289"/>
    <w:rsid w:val="00432DC1"/>
    <w:rsid w:val="00433537"/>
    <w:rsid w:val="004335B8"/>
    <w:rsid w:val="00433965"/>
    <w:rsid w:val="00433A5D"/>
    <w:rsid w:val="00433E9D"/>
    <w:rsid w:val="004341E7"/>
    <w:rsid w:val="0043446B"/>
    <w:rsid w:val="0043476C"/>
    <w:rsid w:val="004359B1"/>
    <w:rsid w:val="00435B64"/>
    <w:rsid w:val="00435F94"/>
    <w:rsid w:val="0043632A"/>
    <w:rsid w:val="00436E48"/>
    <w:rsid w:val="00436ECE"/>
    <w:rsid w:val="004408AF"/>
    <w:rsid w:val="00440B7F"/>
    <w:rsid w:val="00440D96"/>
    <w:rsid w:val="00440E40"/>
    <w:rsid w:val="004415DC"/>
    <w:rsid w:val="00441E37"/>
    <w:rsid w:val="00441F9F"/>
    <w:rsid w:val="00442146"/>
    <w:rsid w:val="00442344"/>
    <w:rsid w:val="004437C4"/>
    <w:rsid w:val="00443CD2"/>
    <w:rsid w:val="004440D5"/>
    <w:rsid w:val="0044492E"/>
    <w:rsid w:val="00444B6E"/>
    <w:rsid w:val="004457E9"/>
    <w:rsid w:val="00445C55"/>
    <w:rsid w:val="004468E0"/>
    <w:rsid w:val="00447050"/>
    <w:rsid w:val="004476AB"/>
    <w:rsid w:val="00447F6F"/>
    <w:rsid w:val="0045008F"/>
    <w:rsid w:val="0045031F"/>
    <w:rsid w:val="004505E1"/>
    <w:rsid w:val="00450A51"/>
    <w:rsid w:val="00450E6E"/>
    <w:rsid w:val="00450F01"/>
    <w:rsid w:val="00451C5A"/>
    <w:rsid w:val="0045255F"/>
    <w:rsid w:val="0045274B"/>
    <w:rsid w:val="0045275C"/>
    <w:rsid w:val="00452B27"/>
    <w:rsid w:val="00452B3B"/>
    <w:rsid w:val="00452E94"/>
    <w:rsid w:val="00452FC3"/>
    <w:rsid w:val="004537B0"/>
    <w:rsid w:val="004539A2"/>
    <w:rsid w:val="00453A0A"/>
    <w:rsid w:val="00453A91"/>
    <w:rsid w:val="004540CF"/>
    <w:rsid w:val="00454664"/>
    <w:rsid w:val="004546C0"/>
    <w:rsid w:val="0045473D"/>
    <w:rsid w:val="00454B04"/>
    <w:rsid w:val="0045513E"/>
    <w:rsid w:val="004552F1"/>
    <w:rsid w:val="0045533D"/>
    <w:rsid w:val="00455671"/>
    <w:rsid w:val="00455AEE"/>
    <w:rsid w:val="00455CBD"/>
    <w:rsid w:val="00456317"/>
    <w:rsid w:val="0045644E"/>
    <w:rsid w:val="004564FA"/>
    <w:rsid w:val="004567CA"/>
    <w:rsid w:val="00456B12"/>
    <w:rsid w:val="00456E94"/>
    <w:rsid w:val="0045717A"/>
    <w:rsid w:val="004578CB"/>
    <w:rsid w:val="0045798D"/>
    <w:rsid w:val="00457E1E"/>
    <w:rsid w:val="00457F34"/>
    <w:rsid w:val="00457FB6"/>
    <w:rsid w:val="0046028A"/>
    <w:rsid w:val="00460A6C"/>
    <w:rsid w:val="004613B8"/>
    <w:rsid w:val="00461CFA"/>
    <w:rsid w:val="004625C5"/>
    <w:rsid w:val="00462B11"/>
    <w:rsid w:val="00462C45"/>
    <w:rsid w:val="00463424"/>
    <w:rsid w:val="004637FD"/>
    <w:rsid w:val="00464081"/>
    <w:rsid w:val="00464461"/>
    <w:rsid w:val="00464A7E"/>
    <w:rsid w:val="00464C48"/>
    <w:rsid w:val="004651AC"/>
    <w:rsid w:val="00465758"/>
    <w:rsid w:val="00465F80"/>
    <w:rsid w:val="00466735"/>
    <w:rsid w:val="00466C45"/>
    <w:rsid w:val="00466E76"/>
    <w:rsid w:val="004670BF"/>
    <w:rsid w:val="00467772"/>
    <w:rsid w:val="004679C4"/>
    <w:rsid w:val="00467BFD"/>
    <w:rsid w:val="004706A9"/>
    <w:rsid w:val="00470823"/>
    <w:rsid w:val="004709F9"/>
    <w:rsid w:val="00471126"/>
    <w:rsid w:val="0047175C"/>
    <w:rsid w:val="004719E4"/>
    <w:rsid w:val="00471B8D"/>
    <w:rsid w:val="004720F5"/>
    <w:rsid w:val="00472627"/>
    <w:rsid w:val="0047283B"/>
    <w:rsid w:val="00472903"/>
    <w:rsid w:val="00472B82"/>
    <w:rsid w:val="00472D34"/>
    <w:rsid w:val="004731A1"/>
    <w:rsid w:val="0047341A"/>
    <w:rsid w:val="0047349B"/>
    <w:rsid w:val="00473949"/>
    <w:rsid w:val="004744F6"/>
    <w:rsid w:val="00474583"/>
    <w:rsid w:val="004747B4"/>
    <w:rsid w:val="00474991"/>
    <w:rsid w:val="00474BA8"/>
    <w:rsid w:val="00474D0D"/>
    <w:rsid w:val="00474D11"/>
    <w:rsid w:val="0047522B"/>
    <w:rsid w:val="00475513"/>
    <w:rsid w:val="0047592A"/>
    <w:rsid w:val="00475A69"/>
    <w:rsid w:val="00475B01"/>
    <w:rsid w:val="00475FA5"/>
    <w:rsid w:val="00476172"/>
    <w:rsid w:val="004765B2"/>
    <w:rsid w:val="0047678F"/>
    <w:rsid w:val="00476829"/>
    <w:rsid w:val="00476E02"/>
    <w:rsid w:val="00476F7E"/>
    <w:rsid w:val="00477B56"/>
    <w:rsid w:val="00477D1A"/>
    <w:rsid w:val="00477EB9"/>
    <w:rsid w:val="00480193"/>
    <w:rsid w:val="00480458"/>
    <w:rsid w:val="00480773"/>
    <w:rsid w:val="00480C32"/>
    <w:rsid w:val="004813CB"/>
    <w:rsid w:val="004814FB"/>
    <w:rsid w:val="00482F9A"/>
    <w:rsid w:val="0048300C"/>
    <w:rsid w:val="00483B5B"/>
    <w:rsid w:val="00484423"/>
    <w:rsid w:val="00484D2C"/>
    <w:rsid w:val="00484DDF"/>
    <w:rsid w:val="0048607E"/>
    <w:rsid w:val="0048620C"/>
    <w:rsid w:val="00486AF0"/>
    <w:rsid w:val="0049001F"/>
    <w:rsid w:val="00490C2A"/>
    <w:rsid w:val="00490DBA"/>
    <w:rsid w:val="00490DC9"/>
    <w:rsid w:val="00490DCF"/>
    <w:rsid w:val="00491079"/>
    <w:rsid w:val="004919FF"/>
    <w:rsid w:val="00491B28"/>
    <w:rsid w:val="00491EEF"/>
    <w:rsid w:val="0049302E"/>
    <w:rsid w:val="00493533"/>
    <w:rsid w:val="00493719"/>
    <w:rsid w:val="00493760"/>
    <w:rsid w:val="00494239"/>
    <w:rsid w:val="004944E6"/>
    <w:rsid w:val="004945C0"/>
    <w:rsid w:val="00494D5C"/>
    <w:rsid w:val="0049504A"/>
    <w:rsid w:val="004950A4"/>
    <w:rsid w:val="0049525B"/>
    <w:rsid w:val="00495719"/>
    <w:rsid w:val="004958B9"/>
    <w:rsid w:val="00495E57"/>
    <w:rsid w:val="00495F56"/>
    <w:rsid w:val="004960A8"/>
    <w:rsid w:val="00496EB5"/>
    <w:rsid w:val="00497117"/>
    <w:rsid w:val="004977CA"/>
    <w:rsid w:val="00497C11"/>
    <w:rsid w:val="00497E2A"/>
    <w:rsid w:val="004A014A"/>
    <w:rsid w:val="004A0F76"/>
    <w:rsid w:val="004A0F80"/>
    <w:rsid w:val="004A1041"/>
    <w:rsid w:val="004A1372"/>
    <w:rsid w:val="004A1B91"/>
    <w:rsid w:val="004A1BE0"/>
    <w:rsid w:val="004A1D31"/>
    <w:rsid w:val="004A28B0"/>
    <w:rsid w:val="004A2EE2"/>
    <w:rsid w:val="004A2F88"/>
    <w:rsid w:val="004A43A4"/>
    <w:rsid w:val="004A470C"/>
    <w:rsid w:val="004A48E8"/>
    <w:rsid w:val="004A4B15"/>
    <w:rsid w:val="004A5E1E"/>
    <w:rsid w:val="004A6361"/>
    <w:rsid w:val="004A666D"/>
    <w:rsid w:val="004A6893"/>
    <w:rsid w:val="004A68F8"/>
    <w:rsid w:val="004A72BD"/>
    <w:rsid w:val="004B01A3"/>
    <w:rsid w:val="004B02F0"/>
    <w:rsid w:val="004B098A"/>
    <w:rsid w:val="004B0B4B"/>
    <w:rsid w:val="004B16C5"/>
    <w:rsid w:val="004B17BC"/>
    <w:rsid w:val="004B1DCE"/>
    <w:rsid w:val="004B1E65"/>
    <w:rsid w:val="004B25AA"/>
    <w:rsid w:val="004B290A"/>
    <w:rsid w:val="004B2B31"/>
    <w:rsid w:val="004B2CDC"/>
    <w:rsid w:val="004B2EDD"/>
    <w:rsid w:val="004B34A8"/>
    <w:rsid w:val="004B3761"/>
    <w:rsid w:val="004B3A5E"/>
    <w:rsid w:val="004B3B85"/>
    <w:rsid w:val="004B3D05"/>
    <w:rsid w:val="004B4301"/>
    <w:rsid w:val="004B4567"/>
    <w:rsid w:val="004B4C37"/>
    <w:rsid w:val="004B5172"/>
    <w:rsid w:val="004B519C"/>
    <w:rsid w:val="004B5267"/>
    <w:rsid w:val="004B6056"/>
    <w:rsid w:val="004B6431"/>
    <w:rsid w:val="004B679A"/>
    <w:rsid w:val="004B69DA"/>
    <w:rsid w:val="004B6CF6"/>
    <w:rsid w:val="004B7243"/>
    <w:rsid w:val="004B73A5"/>
    <w:rsid w:val="004B75FD"/>
    <w:rsid w:val="004B7CF8"/>
    <w:rsid w:val="004B7EB7"/>
    <w:rsid w:val="004C01B8"/>
    <w:rsid w:val="004C0BAC"/>
    <w:rsid w:val="004C0E1C"/>
    <w:rsid w:val="004C163D"/>
    <w:rsid w:val="004C16EB"/>
    <w:rsid w:val="004C19C7"/>
    <w:rsid w:val="004C2550"/>
    <w:rsid w:val="004C275D"/>
    <w:rsid w:val="004C2CD2"/>
    <w:rsid w:val="004C2D5D"/>
    <w:rsid w:val="004C3117"/>
    <w:rsid w:val="004C3519"/>
    <w:rsid w:val="004C3675"/>
    <w:rsid w:val="004C3C50"/>
    <w:rsid w:val="004C416D"/>
    <w:rsid w:val="004C4179"/>
    <w:rsid w:val="004C46ED"/>
    <w:rsid w:val="004C47C1"/>
    <w:rsid w:val="004C488F"/>
    <w:rsid w:val="004C4EF1"/>
    <w:rsid w:val="004C55B5"/>
    <w:rsid w:val="004C60C3"/>
    <w:rsid w:val="004C6152"/>
    <w:rsid w:val="004C6E51"/>
    <w:rsid w:val="004C6F84"/>
    <w:rsid w:val="004C71A7"/>
    <w:rsid w:val="004C76F9"/>
    <w:rsid w:val="004C7E00"/>
    <w:rsid w:val="004C7FCC"/>
    <w:rsid w:val="004D011C"/>
    <w:rsid w:val="004D0151"/>
    <w:rsid w:val="004D0C64"/>
    <w:rsid w:val="004D0E2F"/>
    <w:rsid w:val="004D1143"/>
    <w:rsid w:val="004D11F0"/>
    <w:rsid w:val="004D182D"/>
    <w:rsid w:val="004D1E76"/>
    <w:rsid w:val="004D2616"/>
    <w:rsid w:val="004D29C6"/>
    <w:rsid w:val="004D350B"/>
    <w:rsid w:val="004D374D"/>
    <w:rsid w:val="004D37CC"/>
    <w:rsid w:val="004D37EE"/>
    <w:rsid w:val="004D38A2"/>
    <w:rsid w:val="004D38B8"/>
    <w:rsid w:val="004D399B"/>
    <w:rsid w:val="004D3A28"/>
    <w:rsid w:val="004D3AE4"/>
    <w:rsid w:val="004D3FE1"/>
    <w:rsid w:val="004D49BF"/>
    <w:rsid w:val="004D4D64"/>
    <w:rsid w:val="004D5049"/>
    <w:rsid w:val="004D53AF"/>
    <w:rsid w:val="004D57A1"/>
    <w:rsid w:val="004D5FC9"/>
    <w:rsid w:val="004D600A"/>
    <w:rsid w:val="004D6066"/>
    <w:rsid w:val="004D65CC"/>
    <w:rsid w:val="004D6D49"/>
    <w:rsid w:val="004D7081"/>
    <w:rsid w:val="004D7723"/>
    <w:rsid w:val="004D7767"/>
    <w:rsid w:val="004D7DB4"/>
    <w:rsid w:val="004E018C"/>
    <w:rsid w:val="004E0200"/>
    <w:rsid w:val="004E04E3"/>
    <w:rsid w:val="004E0603"/>
    <w:rsid w:val="004E0858"/>
    <w:rsid w:val="004E0D38"/>
    <w:rsid w:val="004E0DE9"/>
    <w:rsid w:val="004E15BC"/>
    <w:rsid w:val="004E1AA8"/>
    <w:rsid w:val="004E1B2B"/>
    <w:rsid w:val="004E23C2"/>
    <w:rsid w:val="004E25CC"/>
    <w:rsid w:val="004E280E"/>
    <w:rsid w:val="004E2A97"/>
    <w:rsid w:val="004E31E8"/>
    <w:rsid w:val="004E3466"/>
    <w:rsid w:val="004E35BA"/>
    <w:rsid w:val="004E3732"/>
    <w:rsid w:val="004E4513"/>
    <w:rsid w:val="004E5B96"/>
    <w:rsid w:val="004E6376"/>
    <w:rsid w:val="004E6665"/>
    <w:rsid w:val="004E68BE"/>
    <w:rsid w:val="004E6B1D"/>
    <w:rsid w:val="004E6C62"/>
    <w:rsid w:val="004E6D5E"/>
    <w:rsid w:val="004E6FD9"/>
    <w:rsid w:val="004E7119"/>
    <w:rsid w:val="004E7677"/>
    <w:rsid w:val="004E79AD"/>
    <w:rsid w:val="004E7E85"/>
    <w:rsid w:val="004E7F7B"/>
    <w:rsid w:val="004F0150"/>
    <w:rsid w:val="004F0ED9"/>
    <w:rsid w:val="004F1351"/>
    <w:rsid w:val="004F13EC"/>
    <w:rsid w:val="004F15AB"/>
    <w:rsid w:val="004F16BA"/>
    <w:rsid w:val="004F17DD"/>
    <w:rsid w:val="004F1997"/>
    <w:rsid w:val="004F19DE"/>
    <w:rsid w:val="004F246B"/>
    <w:rsid w:val="004F26E0"/>
    <w:rsid w:val="004F2770"/>
    <w:rsid w:val="004F2B63"/>
    <w:rsid w:val="004F328A"/>
    <w:rsid w:val="004F38F3"/>
    <w:rsid w:val="004F3BF2"/>
    <w:rsid w:val="004F3CAD"/>
    <w:rsid w:val="004F3EC1"/>
    <w:rsid w:val="004F44A8"/>
    <w:rsid w:val="004F5097"/>
    <w:rsid w:val="004F57D3"/>
    <w:rsid w:val="004F599C"/>
    <w:rsid w:val="004F5E40"/>
    <w:rsid w:val="004F5F07"/>
    <w:rsid w:val="004F61D1"/>
    <w:rsid w:val="004F648F"/>
    <w:rsid w:val="004F6614"/>
    <w:rsid w:val="004F6683"/>
    <w:rsid w:val="004F6A26"/>
    <w:rsid w:val="005002AE"/>
    <w:rsid w:val="0050048E"/>
    <w:rsid w:val="005004B0"/>
    <w:rsid w:val="00500635"/>
    <w:rsid w:val="005006C6"/>
    <w:rsid w:val="00500765"/>
    <w:rsid w:val="00500B11"/>
    <w:rsid w:val="00500D5C"/>
    <w:rsid w:val="00500DF2"/>
    <w:rsid w:val="00501017"/>
    <w:rsid w:val="005014D5"/>
    <w:rsid w:val="0050215E"/>
    <w:rsid w:val="00502248"/>
    <w:rsid w:val="0050235C"/>
    <w:rsid w:val="005028AF"/>
    <w:rsid w:val="0050331D"/>
    <w:rsid w:val="00503424"/>
    <w:rsid w:val="00503C63"/>
    <w:rsid w:val="00504388"/>
    <w:rsid w:val="00504B8F"/>
    <w:rsid w:val="00504FAB"/>
    <w:rsid w:val="005054FE"/>
    <w:rsid w:val="00505598"/>
    <w:rsid w:val="00505A4F"/>
    <w:rsid w:val="00505C34"/>
    <w:rsid w:val="00505DD1"/>
    <w:rsid w:val="00505E72"/>
    <w:rsid w:val="00506144"/>
    <w:rsid w:val="00506AFC"/>
    <w:rsid w:val="00506E57"/>
    <w:rsid w:val="005074F7"/>
    <w:rsid w:val="005076DE"/>
    <w:rsid w:val="00507A98"/>
    <w:rsid w:val="00507BFB"/>
    <w:rsid w:val="005102FF"/>
    <w:rsid w:val="00510ED2"/>
    <w:rsid w:val="005111CD"/>
    <w:rsid w:val="00511BBE"/>
    <w:rsid w:val="00511CF9"/>
    <w:rsid w:val="00511FBD"/>
    <w:rsid w:val="0051255C"/>
    <w:rsid w:val="00513284"/>
    <w:rsid w:val="0051349C"/>
    <w:rsid w:val="005135E9"/>
    <w:rsid w:val="00514479"/>
    <w:rsid w:val="005148AF"/>
    <w:rsid w:val="00514BB7"/>
    <w:rsid w:val="00514BED"/>
    <w:rsid w:val="00515137"/>
    <w:rsid w:val="00515520"/>
    <w:rsid w:val="005155F1"/>
    <w:rsid w:val="00515C84"/>
    <w:rsid w:val="00515D06"/>
    <w:rsid w:val="005165DF"/>
    <w:rsid w:val="00516DBE"/>
    <w:rsid w:val="00517327"/>
    <w:rsid w:val="00517A39"/>
    <w:rsid w:val="00520E6E"/>
    <w:rsid w:val="00520F3E"/>
    <w:rsid w:val="005213D8"/>
    <w:rsid w:val="00521A05"/>
    <w:rsid w:val="00521ADA"/>
    <w:rsid w:val="00521D05"/>
    <w:rsid w:val="0052272E"/>
    <w:rsid w:val="005227CD"/>
    <w:rsid w:val="00522D64"/>
    <w:rsid w:val="00522EB5"/>
    <w:rsid w:val="0052314D"/>
    <w:rsid w:val="00523248"/>
    <w:rsid w:val="005239FD"/>
    <w:rsid w:val="00523FDF"/>
    <w:rsid w:val="00524AA4"/>
    <w:rsid w:val="00524D8B"/>
    <w:rsid w:val="005253D4"/>
    <w:rsid w:val="0052588D"/>
    <w:rsid w:val="00525926"/>
    <w:rsid w:val="0052599E"/>
    <w:rsid w:val="005261A7"/>
    <w:rsid w:val="00526C18"/>
    <w:rsid w:val="00526FAD"/>
    <w:rsid w:val="0052708F"/>
    <w:rsid w:val="005272AC"/>
    <w:rsid w:val="00527796"/>
    <w:rsid w:val="00527F00"/>
    <w:rsid w:val="00531121"/>
    <w:rsid w:val="00532089"/>
    <w:rsid w:val="00532619"/>
    <w:rsid w:val="005329EF"/>
    <w:rsid w:val="00532E6E"/>
    <w:rsid w:val="005338A5"/>
    <w:rsid w:val="00533A3B"/>
    <w:rsid w:val="00533D17"/>
    <w:rsid w:val="00533ED4"/>
    <w:rsid w:val="005343A7"/>
    <w:rsid w:val="005344EF"/>
    <w:rsid w:val="00534526"/>
    <w:rsid w:val="00534BFA"/>
    <w:rsid w:val="00534CC5"/>
    <w:rsid w:val="00534ED6"/>
    <w:rsid w:val="00535274"/>
    <w:rsid w:val="00535460"/>
    <w:rsid w:val="005354A5"/>
    <w:rsid w:val="0053561E"/>
    <w:rsid w:val="005362A1"/>
    <w:rsid w:val="005368AC"/>
    <w:rsid w:val="00537B8A"/>
    <w:rsid w:val="00537D2B"/>
    <w:rsid w:val="00540153"/>
    <w:rsid w:val="005405A5"/>
    <w:rsid w:val="00540810"/>
    <w:rsid w:val="00540DA1"/>
    <w:rsid w:val="00541DD9"/>
    <w:rsid w:val="00541F65"/>
    <w:rsid w:val="0054201A"/>
    <w:rsid w:val="00542044"/>
    <w:rsid w:val="005428AA"/>
    <w:rsid w:val="005430D6"/>
    <w:rsid w:val="005435B9"/>
    <w:rsid w:val="00544391"/>
    <w:rsid w:val="005443D9"/>
    <w:rsid w:val="00544579"/>
    <w:rsid w:val="00544676"/>
    <w:rsid w:val="00545150"/>
    <w:rsid w:val="0054533B"/>
    <w:rsid w:val="00545370"/>
    <w:rsid w:val="00545F1E"/>
    <w:rsid w:val="00546D56"/>
    <w:rsid w:val="005472CC"/>
    <w:rsid w:val="005476CE"/>
    <w:rsid w:val="00547AA0"/>
    <w:rsid w:val="00547FC1"/>
    <w:rsid w:val="00550576"/>
    <w:rsid w:val="005506AF"/>
    <w:rsid w:val="00551038"/>
    <w:rsid w:val="005512E6"/>
    <w:rsid w:val="005519C9"/>
    <w:rsid w:val="00551E98"/>
    <w:rsid w:val="0055240E"/>
    <w:rsid w:val="00552640"/>
    <w:rsid w:val="00552681"/>
    <w:rsid w:val="0055282D"/>
    <w:rsid w:val="00552AC3"/>
    <w:rsid w:val="00553365"/>
    <w:rsid w:val="00553494"/>
    <w:rsid w:val="00553496"/>
    <w:rsid w:val="00553B49"/>
    <w:rsid w:val="0055439F"/>
    <w:rsid w:val="0055455B"/>
    <w:rsid w:val="005551B5"/>
    <w:rsid w:val="00555368"/>
    <w:rsid w:val="00555D8A"/>
    <w:rsid w:val="005561A1"/>
    <w:rsid w:val="00556286"/>
    <w:rsid w:val="005564B1"/>
    <w:rsid w:val="00556969"/>
    <w:rsid w:val="00556EE7"/>
    <w:rsid w:val="00557361"/>
    <w:rsid w:val="00557A82"/>
    <w:rsid w:val="00557FB1"/>
    <w:rsid w:val="00560507"/>
    <w:rsid w:val="005605A3"/>
    <w:rsid w:val="00560768"/>
    <w:rsid w:val="00560D99"/>
    <w:rsid w:val="00560DC3"/>
    <w:rsid w:val="0056103F"/>
    <w:rsid w:val="005610B5"/>
    <w:rsid w:val="005611CE"/>
    <w:rsid w:val="0056177E"/>
    <w:rsid w:val="0056196B"/>
    <w:rsid w:val="00561C76"/>
    <w:rsid w:val="00561CA9"/>
    <w:rsid w:val="00561D7B"/>
    <w:rsid w:val="00562111"/>
    <w:rsid w:val="00562F0D"/>
    <w:rsid w:val="005638BF"/>
    <w:rsid w:val="005641E3"/>
    <w:rsid w:val="00564443"/>
    <w:rsid w:val="005647A1"/>
    <w:rsid w:val="0056493F"/>
    <w:rsid w:val="00564D5C"/>
    <w:rsid w:val="005652E5"/>
    <w:rsid w:val="005656B0"/>
    <w:rsid w:val="00565871"/>
    <w:rsid w:val="00566547"/>
    <w:rsid w:val="005673E1"/>
    <w:rsid w:val="00567549"/>
    <w:rsid w:val="00567982"/>
    <w:rsid w:val="00567BFA"/>
    <w:rsid w:val="00567D23"/>
    <w:rsid w:val="00567DAA"/>
    <w:rsid w:val="00567DCB"/>
    <w:rsid w:val="00570729"/>
    <w:rsid w:val="00570BB2"/>
    <w:rsid w:val="00570EA5"/>
    <w:rsid w:val="005715D0"/>
    <w:rsid w:val="0057168C"/>
    <w:rsid w:val="00571B82"/>
    <w:rsid w:val="00571D2B"/>
    <w:rsid w:val="00572651"/>
    <w:rsid w:val="00572CE9"/>
    <w:rsid w:val="00572E24"/>
    <w:rsid w:val="0057300D"/>
    <w:rsid w:val="0057360B"/>
    <w:rsid w:val="005743A2"/>
    <w:rsid w:val="00574709"/>
    <w:rsid w:val="00574DB9"/>
    <w:rsid w:val="00574F7A"/>
    <w:rsid w:val="00574FE1"/>
    <w:rsid w:val="00575786"/>
    <w:rsid w:val="0057664B"/>
    <w:rsid w:val="005767AD"/>
    <w:rsid w:val="005768CE"/>
    <w:rsid w:val="00576C2E"/>
    <w:rsid w:val="0057721D"/>
    <w:rsid w:val="005778F5"/>
    <w:rsid w:val="00580B06"/>
    <w:rsid w:val="00581584"/>
    <w:rsid w:val="0058158E"/>
    <w:rsid w:val="005819AE"/>
    <w:rsid w:val="00581A9B"/>
    <w:rsid w:val="00582030"/>
    <w:rsid w:val="00582101"/>
    <w:rsid w:val="00582FC3"/>
    <w:rsid w:val="00583904"/>
    <w:rsid w:val="00584BDB"/>
    <w:rsid w:val="00584DAB"/>
    <w:rsid w:val="0058523C"/>
    <w:rsid w:val="005853C2"/>
    <w:rsid w:val="00585654"/>
    <w:rsid w:val="00585DEF"/>
    <w:rsid w:val="005862A8"/>
    <w:rsid w:val="00586DC7"/>
    <w:rsid w:val="00587049"/>
    <w:rsid w:val="005873F8"/>
    <w:rsid w:val="00587B1D"/>
    <w:rsid w:val="00587C93"/>
    <w:rsid w:val="00587D52"/>
    <w:rsid w:val="00587F09"/>
    <w:rsid w:val="00590A36"/>
    <w:rsid w:val="00590FA9"/>
    <w:rsid w:val="0059154B"/>
    <w:rsid w:val="0059238F"/>
    <w:rsid w:val="00592592"/>
    <w:rsid w:val="00592FC2"/>
    <w:rsid w:val="0059300F"/>
    <w:rsid w:val="00593516"/>
    <w:rsid w:val="0059364E"/>
    <w:rsid w:val="00593FEC"/>
    <w:rsid w:val="005943C2"/>
    <w:rsid w:val="0059448E"/>
    <w:rsid w:val="00594C37"/>
    <w:rsid w:val="00594C44"/>
    <w:rsid w:val="00594EB4"/>
    <w:rsid w:val="0059523E"/>
    <w:rsid w:val="00595487"/>
    <w:rsid w:val="005956C8"/>
    <w:rsid w:val="00595E4D"/>
    <w:rsid w:val="00595FF0"/>
    <w:rsid w:val="0059631A"/>
    <w:rsid w:val="00596A9D"/>
    <w:rsid w:val="00596FCE"/>
    <w:rsid w:val="00597288"/>
    <w:rsid w:val="005972DC"/>
    <w:rsid w:val="0059744B"/>
    <w:rsid w:val="00597454"/>
    <w:rsid w:val="00597839"/>
    <w:rsid w:val="00597CCB"/>
    <w:rsid w:val="00597DEB"/>
    <w:rsid w:val="005A09C6"/>
    <w:rsid w:val="005A0BEE"/>
    <w:rsid w:val="005A0CFE"/>
    <w:rsid w:val="005A0DF9"/>
    <w:rsid w:val="005A1053"/>
    <w:rsid w:val="005A3036"/>
    <w:rsid w:val="005A3127"/>
    <w:rsid w:val="005A3437"/>
    <w:rsid w:val="005A3ADF"/>
    <w:rsid w:val="005A3F32"/>
    <w:rsid w:val="005A434A"/>
    <w:rsid w:val="005A4799"/>
    <w:rsid w:val="005A4BB4"/>
    <w:rsid w:val="005A576B"/>
    <w:rsid w:val="005A5B2D"/>
    <w:rsid w:val="005A6843"/>
    <w:rsid w:val="005A6BFC"/>
    <w:rsid w:val="005A6ED8"/>
    <w:rsid w:val="005A6FE3"/>
    <w:rsid w:val="005A7401"/>
    <w:rsid w:val="005A7E82"/>
    <w:rsid w:val="005B03DD"/>
    <w:rsid w:val="005B05BD"/>
    <w:rsid w:val="005B061D"/>
    <w:rsid w:val="005B0EA9"/>
    <w:rsid w:val="005B175B"/>
    <w:rsid w:val="005B1863"/>
    <w:rsid w:val="005B1BF7"/>
    <w:rsid w:val="005B1D88"/>
    <w:rsid w:val="005B2F66"/>
    <w:rsid w:val="005B2F89"/>
    <w:rsid w:val="005B32D4"/>
    <w:rsid w:val="005B338D"/>
    <w:rsid w:val="005B3585"/>
    <w:rsid w:val="005B3F79"/>
    <w:rsid w:val="005B4196"/>
    <w:rsid w:val="005B41E1"/>
    <w:rsid w:val="005B4237"/>
    <w:rsid w:val="005B4880"/>
    <w:rsid w:val="005B490C"/>
    <w:rsid w:val="005B50E3"/>
    <w:rsid w:val="005B54BE"/>
    <w:rsid w:val="005B553A"/>
    <w:rsid w:val="005B5AAE"/>
    <w:rsid w:val="005B5CE2"/>
    <w:rsid w:val="005B5DAD"/>
    <w:rsid w:val="005B658F"/>
    <w:rsid w:val="005B667F"/>
    <w:rsid w:val="005B695B"/>
    <w:rsid w:val="005B73BB"/>
    <w:rsid w:val="005B7542"/>
    <w:rsid w:val="005B7800"/>
    <w:rsid w:val="005B79E7"/>
    <w:rsid w:val="005B7A66"/>
    <w:rsid w:val="005B7D3F"/>
    <w:rsid w:val="005B7FEE"/>
    <w:rsid w:val="005C0021"/>
    <w:rsid w:val="005C03D2"/>
    <w:rsid w:val="005C0418"/>
    <w:rsid w:val="005C0435"/>
    <w:rsid w:val="005C076E"/>
    <w:rsid w:val="005C07F9"/>
    <w:rsid w:val="005C0CD7"/>
    <w:rsid w:val="005C0D66"/>
    <w:rsid w:val="005C0DC8"/>
    <w:rsid w:val="005C1BA0"/>
    <w:rsid w:val="005C1E45"/>
    <w:rsid w:val="005C289B"/>
    <w:rsid w:val="005C29CD"/>
    <w:rsid w:val="005C30DD"/>
    <w:rsid w:val="005C39ED"/>
    <w:rsid w:val="005C3DA8"/>
    <w:rsid w:val="005C404B"/>
    <w:rsid w:val="005C4E2B"/>
    <w:rsid w:val="005C53C8"/>
    <w:rsid w:val="005C56EB"/>
    <w:rsid w:val="005C5866"/>
    <w:rsid w:val="005C654C"/>
    <w:rsid w:val="005C6D2A"/>
    <w:rsid w:val="005C7871"/>
    <w:rsid w:val="005C7A9A"/>
    <w:rsid w:val="005C7EEA"/>
    <w:rsid w:val="005D0203"/>
    <w:rsid w:val="005D02EB"/>
    <w:rsid w:val="005D08BC"/>
    <w:rsid w:val="005D0AFF"/>
    <w:rsid w:val="005D0D67"/>
    <w:rsid w:val="005D13B8"/>
    <w:rsid w:val="005D1E1C"/>
    <w:rsid w:val="005D2591"/>
    <w:rsid w:val="005D2658"/>
    <w:rsid w:val="005D29D1"/>
    <w:rsid w:val="005D3158"/>
    <w:rsid w:val="005D436A"/>
    <w:rsid w:val="005D4796"/>
    <w:rsid w:val="005D4818"/>
    <w:rsid w:val="005D4985"/>
    <w:rsid w:val="005D54DF"/>
    <w:rsid w:val="005D5DB7"/>
    <w:rsid w:val="005D6206"/>
    <w:rsid w:val="005D698F"/>
    <w:rsid w:val="005D6DCE"/>
    <w:rsid w:val="005D6ED0"/>
    <w:rsid w:val="005D71D4"/>
    <w:rsid w:val="005D7237"/>
    <w:rsid w:val="005D7C3A"/>
    <w:rsid w:val="005E0110"/>
    <w:rsid w:val="005E0251"/>
    <w:rsid w:val="005E05D5"/>
    <w:rsid w:val="005E0703"/>
    <w:rsid w:val="005E1103"/>
    <w:rsid w:val="005E1A51"/>
    <w:rsid w:val="005E1BF3"/>
    <w:rsid w:val="005E2371"/>
    <w:rsid w:val="005E2956"/>
    <w:rsid w:val="005E2987"/>
    <w:rsid w:val="005E2F8C"/>
    <w:rsid w:val="005E3173"/>
    <w:rsid w:val="005E31DE"/>
    <w:rsid w:val="005E3EAE"/>
    <w:rsid w:val="005E3EDC"/>
    <w:rsid w:val="005E4D33"/>
    <w:rsid w:val="005E4ED9"/>
    <w:rsid w:val="005E587F"/>
    <w:rsid w:val="005E5AB8"/>
    <w:rsid w:val="005E5B44"/>
    <w:rsid w:val="005E6A15"/>
    <w:rsid w:val="005E6FD7"/>
    <w:rsid w:val="005E7044"/>
    <w:rsid w:val="005E7832"/>
    <w:rsid w:val="005E7AF5"/>
    <w:rsid w:val="005E7C3E"/>
    <w:rsid w:val="005E7D52"/>
    <w:rsid w:val="005E7D6C"/>
    <w:rsid w:val="005F0370"/>
    <w:rsid w:val="005F0B99"/>
    <w:rsid w:val="005F127C"/>
    <w:rsid w:val="005F15A1"/>
    <w:rsid w:val="005F27B0"/>
    <w:rsid w:val="005F2B2B"/>
    <w:rsid w:val="005F2B6C"/>
    <w:rsid w:val="005F2D19"/>
    <w:rsid w:val="005F3080"/>
    <w:rsid w:val="005F3E2B"/>
    <w:rsid w:val="005F43B3"/>
    <w:rsid w:val="005F4664"/>
    <w:rsid w:val="005F46EE"/>
    <w:rsid w:val="005F484A"/>
    <w:rsid w:val="005F57FA"/>
    <w:rsid w:val="005F58B1"/>
    <w:rsid w:val="005F58FF"/>
    <w:rsid w:val="005F5B55"/>
    <w:rsid w:val="005F5F9B"/>
    <w:rsid w:val="005F6790"/>
    <w:rsid w:val="005F6A21"/>
    <w:rsid w:val="005F6A29"/>
    <w:rsid w:val="005F6C6E"/>
    <w:rsid w:val="005F6D25"/>
    <w:rsid w:val="005F6E04"/>
    <w:rsid w:val="005F6E2E"/>
    <w:rsid w:val="005F76FF"/>
    <w:rsid w:val="005F7B73"/>
    <w:rsid w:val="005F7E02"/>
    <w:rsid w:val="005F7EA1"/>
    <w:rsid w:val="00600302"/>
    <w:rsid w:val="0060074D"/>
    <w:rsid w:val="0060083D"/>
    <w:rsid w:val="00601004"/>
    <w:rsid w:val="00601309"/>
    <w:rsid w:val="0060169B"/>
    <w:rsid w:val="006016E8"/>
    <w:rsid w:val="00601808"/>
    <w:rsid w:val="006019A4"/>
    <w:rsid w:val="00602CCE"/>
    <w:rsid w:val="00603379"/>
    <w:rsid w:val="0060390D"/>
    <w:rsid w:val="00603DE0"/>
    <w:rsid w:val="00604090"/>
    <w:rsid w:val="00604C17"/>
    <w:rsid w:val="00605362"/>
    <w:rsid w:val="006054F2"/>
    <w:rsid w:val="0060579C"/>
    <w:rsid w:val="00606311"/>
    <w:rsid w:val="00606948"/>
    <w:rsid w:val="006069A2"/>
    <w:rsid w:val="00606CDC"/>
    <w:rsid w:val="00606EDB"/>
    <w:rsid w:val="0060714D"/>
    <w:rsid w:val="006073EC"/>
    <w:rsid w:val="00607BA0"/>
    <w:rsid w:val="00607BCF"/>
    <w:rsid w:val="0061012B"/>
    <w:rsid w:val="006101A7"/>
    <w:rsid w:val="00610415"/>
    <w:rsid w:val="00610F63"/>
    <w:rsid w:val="0061121E"/>
    <w:rsid w:val="00611AAC"/>
    <w:rsid w:val="00611EF1"/>
    <w:rsid w:val="00611F7C"/>
    <w:rsid w:val="006122EE"/>
    <w:rsid w:val="00612382"/>
    <w:rsid w:val="00612693"/>
    <w:rsid w:val="00612B2F"/>
    <w:rsid w:val="006131FF"/>
    <w:rsid w:val="0061379B"/>
    <w:rsid w:val="00613F67"/>
    <w:rsid w:val="0061429E"/>
    <w:rsid w:val="00614979"/>
    <w:rsid w:val="006149A1"/>
    <w:rsid w:val="00614B03"/>
    <w:rsid w:val="006152B5"/>
    <w:rsid w:val="00615993"/>
    <w:rsid w:val="00615BDC"/>
    <w:rsid w:val="00615E8D"/>
    <w:rsid w:val="006173CE"/>
    <w:rsid w:val="00617A1A"/>
    <w:rsid w:val="00617B03"/>
    <w:rsid w:val="00617B1B"/>
    <w:rsid w:val="00617FBC"/>
    <w:rsid w:val="00620099"/>
    <w:rsid w:val="006210DE"/>
    <w:rsid w:val="00621430"/>
    <w:rsid w:val="006219F0"/>
    <w:rsid w:val="00621C95"/>
    <w:rsid w:val="0062209A"/>
    <w:rsid w:val="006220D8"/>
    <w:rsid w:val="006222BA"/>
    <w:rsid w:val="00622A04"/>
    <w:rsid w:val="0062313B"/>
    <w:rsid w:val="006233C5"/>
    <w:rsid w:val="0062347E"/>
    <w:rsid w:val="006235DE"/>
    <w:rsid w:val="006235F7"/>
    <w:rsid w:val="006238D6"/>
    <w:rsid w:val="006243B5"/>
    <w:rsid w:val="00624919"/>
    <w:rsid w:val="00624AD5"/>
    <w:rsid w:val="00624B55"/>
    <w:rsid w:val="0062539D"/>
    <w:rsid w:val="0062544C"/>
    <w:rsid w:val="006260DD"/>
    <w:rsid w:val="006266AD"/>
    <w:rsid w:val="00626883"/>
    <w:rsid w:val="00626A0A"/>
    <w:rsid w:val="00626DD2"/>
    <w:rsid w:val="00627ADB"/>
    <w:rsid w:val="00627EAC"/>
    <w:rsid w:val="006308A5"/>
    <w:rsid w:val="006308D4"/>
    <w:rsid w:val="00630A20"/>
    <w:rsid w:val="00630D60"/>
    <w:rsid w:val="00631F52"/>
    <w:rsid w:val="0063278B"/>
    <w:rsid w:val="00632B63"/>
    <w:rsid w:val="00632FEB"/>
    <w:rsid w:val="006332B8"/>
    <w:rsid w:val="00633B4A"/>
    <w:rsid w:val="006341A4"/>
    <w:rsid w:val="00634CBC"/>
    <w:rsid w:val="00636F85"/>
    <w:rsid w:val="00637680"/>
    <w:rsid w:val="00637D26"/>
    <w:rsid w:val="00637D52"/>
    <w:rsid w:val="006400F3"/>
    <w:rsid w:val="006400F6"/>
    <w:rsid w:val="00640B10"/>
    <w:rsid w:val="00640B6A"/>
    <w:rsid w:val="00640D1E"/>
    <w:rsid w:val="00641274"/>
    <w:rsid w:val="00641A4C"/>
    <w:rsid w:val="00641CC1"/>
    <w:rsid w:val="0064270A"/>
    <w:rsid w:val="00642CE0"/>
    <w:rsid w:val="006437F6"/>
    <w:rsid w:val="0064431B"/>
    <w:rsid w:val="00644402"/>
    <w:rsid w:val="006445A7"/>
    <w:rsid w:val="00645149"/>
    <w:rsid w:val="00645193"/>
    <w:rsid w:val="00645310"/>
    <w:rsid w:val="0064621F"/>
    <w:rsid w:val="006465F1"/>
    <w:rsid w:val="00646645"/>
    <w:rsid w:val="00646913"/>
    <w:rsid w:val="00646A2A"/>
    <w:rsid w:val="00646B85"/>
    <w:rsid w:val="00647005"/>
    <w:rsid w:val="00647315"/>
    <w:rsid w:val="006474F7"/>
    <w:rsid w:val="006478BC"/>
    <w:rsid w:val="00647B2B"/>
    <w:rsid w:val="00650197"/>
    <w:rsid w:val="006504D5"/>
    <w:rsid w:val="00650699"/>
    <w:rsid w:val="006507B9"/>
    <w:rsid w:val="006509DC"/>
    <w:rsid w:val="00650A24"/>
    <w:rsid w:val="00651C38"/>
    <w:rsid w:val="006523C5"/>
    <w:rsid w:val="0065270C"/>
    <w:rsid w:val="00652814"/>
    <w:rsid w:val="00652EB8"/>
    <w:rsid w:val="00652F15"/>
    <w:rsid w:val="0065346E"/>
    <w:rsid w:val="00653512"/>
    <w:rsid w:val="006535A4"/>
    <w:rsid w:val="006535E2"/>
    <w:rsid w:val="006538C7"/>
    <w:rsid w:val="00654010"/>
    <w:rsid w:val="006540A4"/>
    <w:rsid w:val="006546A4"/>
    <w:rsid w:val="0065472F"/>
    <w:rsid w:val="006553A1"/>
    <w:rsid w:val="00655C51"/>
    <w:rsid w:val="00655E54"/>
    <w:rsid w:val="00655EBF"/>
    <w:rsid w:val="00656332"/>
    <w:rsid w:val="006565C7"/>
    <w:rsid w:val="006570B8"/>
    <w:rsid w:val="006570C7"/>
    <w:rsid w:val="006571BC"/>
    <w:rsid w:val="00657999"/>
    <w:rsid w:val="006615EE"/>
    <w:rsid w:val="0066206C"/>
    <w:rsid w:val="0066275D"/>
    <w:rsid w:val="006629DF"/>
    <w:rsid w:val="00662A0E"/>
    <w:rsid w:val="00662B1F"/>
    <w:rsid w:val="00662C6E"/>
    <w:rsid w:val="00662F9A"/>
    <w:rsid w:val="006630DA"/>
    <w:rsid w:val="00663EA5"/>
    <w:rsid w:val="006640AF"/>
    <w:rsid w:val="00664357"/>
    <w:rsid w:val="006647DB"/>
    <w:rsid w:val="00664C32"/>
    <w:rsid w:val="00664F82"/>
    <w:rsid w:val="00665115"/>
    <w:rsid w:val="006658E1"/>
    <w:rsid w:val="00665C12"/>
    <w:rsid w:val="00665D73"/>
    <w:rsid w:val="006669CA"/>
    <w:rsid w:val="00666BF3"/>
    <w:rsid w:val="00667195"/>
    <w:rsid w:val="006676BD"/>
    <w:rsid w:val="00667A56"/>
    <w:rsid w:val="00670068"/>
    <w:rsid w:val="00670323"/>
    <w:rsid w:val="00670577"/>
    <w:rsid w:val="00670678"/>
    <w:rsid w:val="00670A5D"/>
    <w:rsid w:val="00670BDB"/>
    <w:rsid w:val="00670CDA"/>
    <w:rsid w:val="00670CF2"/>
    <w:rsid w:val="00670D20"/>
    <w:rsid w:val="00670D36"/>
    <w:rsid w:val="00671BC3"/>
    <w:rsid w:val="00672428"/>
    <w:rsid w:val="006728C5"/>
    <w:rsid w:val="006733B2"/>
    <w:rsid w:val="006734AE"/>
    <w:rsid w:val="00673603"/>
    <w:rsid w:val="0067375A"/>
    <w:rsid w:val="006738C7"/>
    <w:rsid w:val="00673B19"/>
    <w:rsid w:val="00673C9D"/>
    <w:rsid w:val="00673DC1"/>
    <w:rsid w:val="00673EBA"/>
    <w:rsid w:val="00674173"/>
    <w:rsid w:val="00674192"/>
    <w:rsid w:val="006742AE"/>
    <w:rsid w:val="00674431"/>
    <w:rsid w:val="00674505"/>
    <w:rsid w:val="006749D0"/>
    <w:rsid w:val="00674A9D"/>
    <w:rsid w:val="0067500A"/>
    <w:rsid w:val="006752A0"/>
    <w:rsid w:val="00675CD6"/>
    <w:rsid w:val="00675E70"/>
    <w:rsid w:val="006760C0"/>
    <w:rsid w:val="006769D5"/>
    <w:rsid w:val="0067701E"/>
    <w:rsid w:val="0067726E"/>
    <w:rsid w:val="00677348"/>
    <w:rsid w:val="00677801"/>
    <w:rsid w:val="006778C6"/>
    <w:rsid w:val="0067797B"/>
    <w:rsid w:val="00677E1E"/>
    <w:rsid w:val="00677F9B"/>
    <w:rsid w:val="00680B42"/>
    <w:rsid w:val="00680F86"/>
    <w:rsid w:val="00681574"/>
    <w:rsid w:val="00681C6F"/>
    <w:rsid w:val="00682209"/>
    <w:rsid w:val="00682A18"/>
    <w:rsid w:val="00682C38"/>
    <w:rsid w:val="00682F07"/>
    <w:rsid w:val="006837BB"/>
    <w:rsid w:val="006837C7"/>
    <w:rsid w:val="00684F10"/>
    <w:rsid w:val="006850DB"/>
    <w:rsid w:val="006852DC"/>
    <w:rsid w:val="0068554E"/>
    <w:rsid w:val="00685666"/>
    <w:rsid w:val="00685751"/>
    <w:rsid w:val="006865F2"/>
    <w:rsid w:val="006869B8"/>
    <w:rsid w:val="00687B51"/>
    <w:rsid w:val="00687D14"/>
    <w:rsid w:val="00690DB1"/>
    <w:rsid w:val="00690FC1"/>
    <w:rsid w:val="0069109E"/>
    <w:rsid w:val="00691909"/>
    <w:rsid w:val="00691B5E"/>
    <w:rsid w:val="00691D23"/>
    <w:rsid w:val="00692908"/>
    <w:rsid w:val="0069307A"/>
    <w:rsid w:val="006930A4"/>
    <w:rsid w:val="006931C6"/>
    <w:rsid w:val="006933A2"/>
    <w:rsid w:val="006942E8"/>
    <w:rsid w:val="00694461"/>
    <w:rsid w:val="006956F6"/>
    <w:rsid w:val="00695845"/>
    <w:rsid w:val="00696710"/>
    <w:rsid w:val="006967F5"/>
    <w:rsid w:val="0069681F"/>
    <w:rsid w:val="0069682E"/>
    <w:rsid w:val="00696AD8"/>
    <w:rsid w:val="00696B16"/>
    <w:rsid w:val="00696E1F"/>
    <w:rsid w:val="006972CA"/>
    <w:rsid w:val="006972D5"/>
    <w:rsid w:val="006974AA"/>
    <w:rsid w:val="00697BFA"/>
    <w:rsid w:val="006A04B8"/>
    <w:rsid w:val="006A0690"/>
    <w:rsid w:val="006A076F"/>
    <w:rsid w:val="006A1107"/>
    <w:rsid w:val="006A23F4"/>
    <w:rsid w:val="006A24FA"/>
    <w:rsid w:val="006A2810"/>
    <w:rsid w:val="006A2A9A"/>
    <w:rsid w:val="006A3E47"/>
    <w:rsid w:val="006A4D67"/>
    <w:rsid w:val="006A4E9F"/>
    <w:rsid w:val="006A5149"/>
    <w:rsid w:val="006A553D"/>
    <w:rsid w:val="006A55FA"/>
    <w:rsid w:val="006A5D99"/>
    <w:rsid w:val="006A5DDC"/>
    <w:rsid w:val="006A602B"/>
    <w:rsid w:val="006A6C84"/>
    <w:rsid w:val="006A6D0E"/>
    <w:rsid w:val="006A7257"/>
    <w:rsid w:val="006A79A9"/>
    <w:rsid w:val="006A7AC2"/>
    <w:rsid w:val="006A7B6A"/>
    <w:rsid w:val="006A7B76"/>
    <w:rsid w:val="006B001E"/>
    <w:rsid w:val="006B00BE"/>
    <w:rsid w:val="006B0B17"/>
    <w:rsid w:val="006B0D7B"/>
    <w:rsid w:val="006B0E8F"/>
    <w:rsid w:val="006B1260"/>
    <w:rsid w:val="006B141F"/>
    <w:rsid w:val="006B1433"/>
    <w:rsid w:val="006B1AC6"/>
    <w:rsid w:val="006B1B4E"/>
    <w:rsid w:val="006B237E"/>
    <w:rsid w:val="006B2574"/>
    <w:rsid w:val="006B2A26"/>
    <w:rsid w:val="006B2A56"/>
    <w:rsid w:val="006B2F88"/>
    <w:rsid w:val="006B367F"/>
    <w:rsid w:val="006B3D50"/>
    <w:rsid w:val="006B4385"/>
    <w:rsid w:val="006B4673"/>
    <w:rsid w:val="006B4D20"/>
    <w:rsid w:val="006B4D55"/>
    <w:rsid w:val="006B50B2"/>
    <w:rsid w:val="006B558B"/>
    <w:rsid w:val="006B5AD8"/>
    <w:rsid w:val="006B5F1F"/>
    <w:rsid w:val="006B65C7"/>
    <w:rsid w:val="006B6858"/>
    <w:rsid w:val="006B6AEA"/>
    <w:rsid w:val="006B6C1E"/>
    <w:rsid w:val="006B6F81"/>
    <w:rsid w:val="006B7445"/>
    <w:rsid w:val="006B75C5"/>
    <w:rsid w:val="006B7985"/>
    <w:rsid w:val="006C05C2"/>
    <w:rsid w:val="006C09FC"/>
    <w:rsid w:val="006C0C6E"/>
    <w:rsid w:val="006C16D7"/>
    <w:rsid w:val="006C20F6"/>
    <w:rsid w:val="006C2D66"/>
    <w:rsid w:val="006C2DC0"/>
    <w:rsid w:val="006C300E"/>
    <w:rsid w:val="006C36AF"/>
    <w:rsid w:val="006C383C"/>
    <w:rsid w:val="006C3C43"/>
    <w:rsid w:val="006C3CB5"/>
    <w:rsid w:val="006C478E"/>
    <w:rsid w:val="006C49CC"/>
    <w:rsid w:val="006C577C"/>
    <w:rsid w:val="006C57DC"/>
    <w:rsid w:val="006C5DF3"/>
    <w:rsid w:val="006C6F48"/>
    <w:rsid w:val="006C77DB"/>
    <w:rsid w:val="006C7989"/>
    <w:rsid w:val="006C79B9"/>
    <w:rsid w:val="006C7EC6"/>
    <w:rsid w:val="006C7F7E"/>
    <w:rsid w:val="006D03D1"/>
    <w:rsid w:val="006D03E9"/>
    <w:rsid w:val="006D07F0"/>
    <w:rsid w:val="006D125C"/>
    <w:rsid w:val="006D16AC"/>
    <w:rsid w:val="006D200C"/>
    <w:rsid w:val="006D246A"/>
    <w:rsid w:val="006D2E39"/>
    <w:rsid w:val="006D3408"/>
    <w:rsid w:val="006D3BEA"/>
    <w:rsid w:val="006D4872"/>
    <w:rsid w:val="006D4B29"/>
    <w:rsid w:val="006D4EE4"/>
    <w:rsid w:val="006D5146"/>
    <w:rsid w:val="006D53C0"/>
    <w:rsid w:val="006D5C6D"/>
    <w:rsid w:val="006D5E7E"/>
    <w:rsid w:val="006D623D"/>
    <w:rsid w:val="006D6501"/>
    <w:rsid w:val="006D6B44"/>
    <w:rsid w:val="006D6F62"/>
    <w:rsid w:val="006D728A"/>
    <w:rsid w:val="006E0247"/>
    <w:rsid w:val="006E0CEA"/>
    <w:rsid w:val="006E13EC"/>
    <w:rsid w:val="006E195E"/>
    <w:rsid w:val="006E2144"/>
    <w:rsid w:val="006E2333"/>
    <w:rsid w:val="006E2D63"/>
    <w:rsid w:val="006E354D"/>
    <w:rsid w:val="006E363C"/>
    <w:rsid w:val="006E363F"/>
    <w:rsid w:val="006E3797"/>
    <w:rsid w:val="006E39B9"/>
    <w:rsid w:val="006E3ABA"/>
    <w:rsid w:val="006E3CBD"/>
    <w:rsid w:val="006E42B1"/>
    <w:rsid w:val="006E4336"/>
    <w:rsid w:val="006E448C"/>
    <w:rsid w:val="006E5C73"/>
    <w:rsid w:val="006E638E"/>
    <w:rsid w:val="006E67E8"/>
    <w:rsid w:val="006E699A"/>
    <w:rsid w:val="006E6AD2"/>
    <w:rsid w:val="006E6B4C"/>
    <w:rsid w:val="006E6FB5"/>
    <w:rsid w:val="006E785F"/>
    <w:rsid w:val="006F00AA"/>
    <w:rsid w:val="006F0501"/>
    <w:rsid w:val="006F0E2A"/>
    <w:rsid w:val="006F1ABF"/>
    <w:rsid w:val="006F1B43"/>
    <w:rsid w:val="006F1E4C"/>
    <w:rsid w:val="006F1F74"/>
    <w:rsid w:val="006F2795"/>
    <w:rsid w:val="006F28A0"/>
    <w:rsid w:val="006F294F"/>
    <w:rsid w:val="006F2E5D"/>
    <w:rsid w:val="006F3310"/>
    <w:rsid w:val="006F3D0D"/>
    <w:rsid w:val="006F3D41"/>
    <w:rsid w:val="006F40FF"/>
    <w:rsid w:val="006F4198"/>
    <w:rsid w:val="006F4315"/>
    <w:rsid w:val="006F4E2B"/>
    <w:rsid w:val="006F5469"/>
    <w:rsid w:val="006F609C"/>
    <w:rsid w:val="006F6B97"/>
    <w:rsid w:val="006F73C6"/>
    <w:rsid w:val="00700181"/>
    <w:rsid w:val="00700364"/>
    <w:rsid w:val="00700950"/>
    <w:rsid w:val="00700ECA"/>
    <w:rsid w:val="00701604"/>
    <w:rsid w:val="0070166C"/>
    <w:rsid w:val="007018F5"/>
    <w:rsid w:val="007019A2"/>
    <w:rsid w:val="0070277B"/>
    <w:rsid w:val="00702A1F"/>
    <w:rsid w:val="00702C66"/>
    <w:rsid w:val="00702E13"/>
    <w:rsid w:val="00702F2E"/>
    <w:rsid w:val="00703115"/>
    <w:rsid w:val="007035DE"/>
    <w:rsid w:val="007041E5"/>
    <w:rsid w:val="00704EEB"/>
    <w:rsid w:val="00705861"/>
    <w:rsid w:val="00705D0C"/>
    <w:rsid w:val="00706473"/>
    <w:rsid w:val="0070695E"/>
    <w:rsid w:val="00706BC7"/>
    <w:rsid w:val="0070719D"/>
    <w:rsid w:val="0070797E"/>
    <w:rsid w:val="00707E42"/>
    <w:rsid w:val="007102BA"/>
    <w:rsid w:val="00710782"/>
    <w:rsid w:val="00711173"/>
    <w:rsid w:val="0071130B"/>
    <w:rsid w:val="007114E7"/>
    <w:rsid w:val="00711B2B"/>
    <w:rsid w:val="00711B5F"/>
    <w:rsid w:val="00711DF9"/>
    <w:rsid w:val="00711E2E"/>
    <w:rsid w:val="00712739"/>
    <w:rsid w:val="0071280A"/>
    <w:rsid w:val="00713F68"/>
    <w:rsid w:val="0071416B"/>
    <w:rsid w:val="00714CD9"/>
    <w:rsid w:val="00715031"/>
    <w:rsid w:val="00716453"/>
    <w:rsid w:val="00716788"/>
    <w:rsid w:val="007168EB"/>
    <w:rsid w:val="00716BBD"/>
    <w:rsid w:val="00716C20"/>
    <w:rsid w:val="00716F55"/>
    <w:rsid w:val="007176FC"/>
    <w:rsid w:val="00717D5E"/>
    <w:rsid w:val="007201F2"/>
    <w:rsid w:val="00720373"/>
    <w:rsid w:val="00720443"/>
    <w:rsid w:val="00720838"/>
    <w:rsid w:val="007211BA"/>
    <w:rsid w:val="0072131D"/>
    <w:rsid w:val="00721828"/>
    <w:rsid w:val="007219B3"/>
    <w:rsid w:val="00721A2B"/>
    <w:rsid w:val="00722488"/>
    <w:rsid w:val="00722AEE"/>
    <w:rsid w:val="00722D95"/>
    <w:rsid w:val="007230C3"/>
    <w:rsid w:val="0072352B"/>
    <w:rsid w:val="00723981"/>
    <w:rsid w:val="00723DF0"/>
    <w:rsid w:val="007244E9"/>
    <w:rsid w:val="007246A8"/>
    <w:rsid w:val="0072477F"/>
    <w:rsid w:val="00724C7E"/>
    <w:rsid w:val="0072502D"/>
    <w:rsid w:val="0072547C"/>
    <w:rsid w:val="00725AB4"/>
    <w:rsid w:val="00725C60"/>
    <w:rsid w:val="00725E7C"/>
    <w:rsid w:val="007261E8"/>
    <w:rsid w:val="007267FB"/>
    <w:rsid w:val="00726A2C"/>
    <w:rsid w:val="00726AF3"/>
    <w:rsid w:val="00726CA5"/>
    <w:rsid w:val="0072760E"/>
    <w:rsid w:val="00727DB4"/>
    <w:rsid w:val="00730E36"/>
    <w:rsid w:val="00730ED5"/>
    <w:rsid w:val="00730FC4"/>
    <w:rsid w:val="0073127C"/>
    <w:rsid w:val="007313EC"/>
    <w:rsid w:val="00731607"/>
    <w:rsid w:val="00731F74"/>
    <w:rsid w:val="00732184"/>
    <w:rsid w:val="007322DF"/>
    <w:rsid w:val="00732C07"/>
    <w:rsid w:val="00732D4A"/>
    <w:rsid w:val="00732FF7"/>
    <w:rsid w:val="0073348B"/>
    <w:rsid w:val="007339F2"/>
    <w:rsid w:val="00733B3C"/>
    <w:rsid w:val="0073493E"/>
    <w:rsid w:val="00735A7E"/>
    <w:rsid w:val="00736441"/>
    <w:rsid w:val="007366D4"/>
    <w:rsid w:val="00736733"/>
    <w:rsid w:val="00736A32"/>
    <w:rsid w:val="00736D17"/>
    <w:rsid w:val="00736D33"/>
    <w:rsid w:val="00737412"/>
    <w:rsid w:val="00737FD7"/>
    <w:rsid w:val="00740277"/>
    <w:rsid w:val="00740689"/>
    <w:rsid w:val="00740A8E"/>
    <w:rsid w:val="00742626"/>
    <w:rsid w:val="00742E2C"/>
    <w:rsid w:val="00742F4C"/>
    <w:rsid w:val="00743739"/>
    <w:rsid w:val="00743915"/>
    <w:rsid w:val="007440C6"/>
    <w:rsid w:val="007442A2"/>
    <w:rsid w:val="007443F8"/>
    <w:rsid w:val="007453F2"/>
    <w:rsid w:val="00745425"/>
    <w:rsid w:val="00745957"/>
    <w:rsid w:val="00745A6B"/>
    <w:rsid w:val="00745C4F"/>
    <w:rsid w:val="00745D8E"/>
    <w:rsid w:val="00746862"/>
    <w:rsid w:val="00746C48"/>
    <w:rsid w:val="00747661"/>
    <w:rsid w:val="0074780D"/>
    <w:rsid w:val="007479CD"/>
    <w:rsid w:val="00747AC3"/>
    <w:rsid w:val="00747FE8"/>
    <w:rsid w:val="00750414"/>
    <w:rsid w:val="00750FB0"/>
    <w:rsid w:val="0075114F"/>
    <w:rsid w:val="00751609"/>
    <w:rsid w:val="007518D2"/>
    <w:rsid w:val="00751B3E"/>
    <w:rsid w:val="00751C05"/>
    <w:rsid w:val="00751F24"/>
    <w:rsid w:val="00751F34"/>
    <w:rsid w:val="0075286E"/>
    <w:rsid w:val="0075369B"/>
    <w:rsid w:val="0075377F"/>
    <w:rsid w:val="007538A2"/>
    <w:rsid w:val="007539CA"/>
    <w:rsid w:val="00753B38"/>
    <w:rsid w:val="007543CF"/>
    <w:rsid w:val="00754438"/>
    <w:rsid w:val="00754478"/>
    <w:rsid w:val="00755244"/>
    <w:rsid w:val="00755341"/>
    <w:rsid w:val="00755665"/>
    <w:rsid w:val="00755736"/>
    <w:rsid w:val="0075573B"/>
    <w:rsid w:val="00755884"/>
    <w:rsid w:val="00755BF8"/>
    <w:rsid w:val="00756213"/>
    <w:rsid w:val="00756560"/>
    <w:rsid w:val="0075758D"/>
    <w:rsid w:val="00760205"/>
    <w:rsid w:val="0076092B"/>
    <w:rsid w:val="00760B72"/>
    <w:rsid w:val="00760D46"/>
    <w:rsid w:val="00761A3F"/>
    <w:rsid w:val="00761C69"/>
    <w:rsid w:val="00761FB6"/>
    <w:rsid w:val="00762178"/>
    <w:rsid w:val="00762289"/>
    <w:rsid w:val="0076247B"/>
    <w:rsid w:val="0076284A"/>
    <w:rsid w:val="007628E0"/>
    <w:rsid w:val="0076325B"/>
    <w:rsid w:val="00763C72"/>
    <w:rsid w:val="00764105"/>
    <w:rsid w:val="00764E0F"/>
    <w:rsid w:val="007652B9"/>
    <w:rsid w:val="007655E6"/>
    <w:rsid w:val="0076591F"/>
    <w:rsid w:val="007659BE"/>
    <w:rsid w:val="00765E40"/>
    <w:rsid w:val="0076619B"/>
    <w:rsid w:val="0076658B"/>
    <w:rsid w:val="0076673F"/>
    <w:rsid w:val="0076691C"/>
    <w:rsid w:val="00766D31"/>
    <w:rsid w:val="007676A3"/>
    <w:rsid w:val="007679F8"/>
    <w:rsid w:val="007679FA"/>
    <w:rsid w:val="00767B60"/>
    <w:rsid w:val="00767F79"/>
    <w:rsid w:val="00770007"/>
    <w:rsid w:val="0077028B"/>
    <w:rsid w:val="00770399"/>
    <w:rsid w:val="007704AC"/>
    <w:rsid w:val="0077110B"/>
    <w:rsid w:val="00771377"/>
    <w:rsid w:val="007720EC"/>
    <w:rsid w:val="007721C4"/>
    <w:rsid w:val="007721C7"/>
    <w:rsid w:val="00772C9F"/>
    <w:rsid w:val="007734F2"/>
    <w:rsid w:val="00773654"/>
    <w:rsid w:val="00773A6E"/>
    <w:rsid w:val="00774210"/>
    <w:rsid w:val="00774333"/>
    <w:rsid w:val="0077443F"/>
    <w:rsid w:val="00774542"/>
    <w:rsid w:val="00774D0A"/>
    <w:rsid w:val="00774EBD"/>
    <w:rsid w:val="00775862"/>
    <w:rsid w:val="007762C8"/>
    <w:rsid w:val="007766DD"/>
    <w:rsid w:val="00776908"/>
    <w:rsid w:val="00776985"/>
    <w:rsid w:val="00776A6A"/>
    <w:rsid w:val="00776D9D"/>
    <w:rsid w:val="007770F7"/>
    <w:rsid w:val="0077737B"/>
    <w:rsid w:val="0077750C"/>
    <w:rsid w:val="007777D8"/>
    <w:rsid w:val="00777A9A"/>
    <w:rsid w:val="00777E04"/>
    <w:rsid w:val="00777E71"/>
    <w:rsid w:val="00780424"/>
    <w:rsid w:val="00780741"/>
    <w:rsid w:val="00780FD5"/>
    <w:rsid w:val="007811DE"/>
    <w:rsid w:val="00781954"/>
    <w:rsid w:val="00781E4D"/>
    <w:rsid w:val="00781ED5"/>
    <w:rsid w:val="00782164"/>
    <w:rsid w:val="0078256F"/>
    <w:rsid w:val="00782D3F"/>
    <w:rsid w:val="007834C1"/>
    <w:rsid w:val="00783654"/>
    <w:rsid w:val="0078391C"/>
    <w:rsid w:val="00783AC1"/>
    <w:rsid w:val="00783ED6"/>
    <w:rsid w:val="0078432D"/>
    <w:rsid w:val="007846FA"/>
    <w:rsid w:val="00784729"/>
    <w:rsid w:val="00784D49"/>
    <w:rsid w:val="00785133"/>
    <w:rsid w:val="0078524F"/>
    <w:rsid w:val="00785263"/>
    <w:rsid w:val="00785C0D"/>
    <w:rsid w:val="00785CB5"/>
    <w:rsid w:val="0078663B"/>
    <w:rsid w:val="00786844"/>
    <w:rsid w:val="00786A92"/>
    <w:rsid w:val="007871E6"/>
    <w:rsid w:val="00787DD7"/>
    <w:rsid w:val="007904ED"/>
    <w:rsid w:val="007906DB"/>
    <w:rsid w:val="00790726"/>
    <w:rsid w:val="00790DF9"/>
    <w:rsid w:val="00792490"/>
    <w:rsid w:val="00792546"/>
    <w:rsid w:val="0079291E"/>
    <w:rsid w:val="0079297A"/>
    <w:rsid w:val="00792D68"/>
    <w:rsid w:val="00792F53"/>
    <w:rsid w:val="0079301E"/>
    <w:rsid w:val="0079323C"/>
    <w:rsid w:val="0079323E"/>
    <w:rsid w:val="0079341B"/>
    <w:rsid w:val="0079365E"/>
    <w:rsid w:val="00793B1D"/>
    <w:rsid w:val="00793F71"/>
    <w:rsid w:val="007941FC"/>
    <w:rsid w:val="007944D5"/>
    <w:rsid w:val="00794E7E"/>
    <w:rsid w:val="00795075"/>
    <w:rsid w:val="007951BA"/>
    <w:rsid w:val="007953BC"/>
    <w:rsid w:val="00795450"/>
    <w:rsid w:val="0079547C"/>
    <w:rsid w:val="00795635"/>
    <w:rsid w:val="0079568A"/>
    <w:rsid w:val="00796471"/>
    <w:rsid w:val="007965BD"/>
    <w:rsid w:val="00796B04"/>
    <w:rsid w:val="0079749F"/>
    <w:rsid w:val="00797763"/>
    <w:rsid w:val="00797831"/>
    <w:rsid w:val="00797867"/>
    <w:rsid w:val="00797A96"/>
    <w:rsid w:val="00797BD9"/>
    <w:rsid w:val="007A3ADB"/>
    <w:rsid w:val="007A3C0B"/>
    <w:rsid w:val="007A3E7D"/>
    <w:rsid w:val="007A3F51"/>
    <w:rsid w:val="007A465B"/>
    <w:rsid w:val="007A46D6"/>
    <w:rsid w:val="007A4D37"/>
    <w:rsid w:val="007A51C3"/>
    <w:rsid w:val="007A5477"/>
    <w:rsid w:val="007A59A9"/>
    <w:rsid w:val="007A60B1"/>
    <w:rsid w:val="007A67F2"/>
    <w:rsid w:val="007A69F0"/>
    <w:rsid w:val="007A6D5D"/>
    <w:rsid w:val="007A6D74"/>
    <w:rsid w:val="007A762F"/>
    <w:rsid w:val="007A77AE"/>
    <w:rsid w:val="007A7F1E"/>
    <w:rsid w:val="007B0F0F"/>
    <w:rsid w:val="007B1180"/>
    <w:rsid w:val="007B1401"/>
    <w:rsid w:val="007B162C"/>
    <w:rsid w:val="007B19B8"/>
    <w:rsid w:val="007B19BB"/>
    <w:rsid w:val="007B1C28"/>
    <w:rsid w:val="007B1F37"/>
    <w:rsid w:val="007B232A"/>
    <w:rsid w:val="007B27BB"/>
    <w:rsid w:val="007B27C9"/>
    <w:rsid w:val="007B2806"/>
    <w:rsid w:val="007B2D6F"/>
    <w:rsid w:val="007B3481"/>
    <w:rsid w:val="007B3B9D"/>
    <w:rsid w:val="007B3FEF"/>
    <w:rsid w:val="007B41D0"/>
    <w:rsid w:val="007B42BF"/>
    <w:rsid w:val="007B4844"/>
    <w:rsid w:val="007B52D6"/>
    <w:rsid w:val="007B5372"/>
    <w:rsid w:val="007B598D"/>
    <w:rsid w:val="007B6190"/>
    <w:rsid w:val="007B6D3D"/>
    <w:rsid w:val="007B701C"/>
    <w:rsid w:val="007B7C50"/>
    <w:rsid w:val="007B7C8A"/>
    <w:rsid w:val="007B7CF5"/>
    <w:rsid w:val="007C012F"/>
    <w:rsid w:val="007C01A6"/>
    <w:rsid w:val="007C0468"/>
    <w:rsid w:val="007C06D4"/>
    <w:rsid w:val="007C0817"/>
    <w:rsid w:val="007C09B6"/>
    <w:rsid w:val="007C10C2"/>
    <w:rsid w:val="007C14C2"/>
    <w:rsid w:val="007C154F"/>
    <w:rsid w:val="007C15A8"/>
    <w:rsid w:val="007C163C"/>
    <w:rsid w:val="007C1944"/>
    <w:rsid w:val="007C1E4B"/>
    <w:rsid w:val="007C23C9"/>
    <w:rsid w:val="007C2766"/>
    <w:rsid w:val="007C2CD0"/>
    <w:rsid w:val="007C2D8B"/>
    <w:rsid w:val="007C2DA4"/>
    <w:rsid w:val="007C2F61"/>
    <w:rsid w:val="007C36D5"/>
    <w:rsid w:val="007C3894"/>
    <w:rsid w:val="007C3A79"/>
    <w:rsid w:val="007C41F5"/>
    <w:rsid w:val="007C4ABB"/>
    <w:rsid w:val="007C4FAA"/>
    <w:rsid w:val="007C56C2"/>
    <w:rsid w:val="007C5717"/>
    <w:rsid w:val="007C5B31"/>
    <w:rsid w:val="007C62F5"/>
    <w:rsid w:val="007C6336"/>
    <w:rsid w:val="007C67ED"/>
    <w:rsid w:val="007C6A3B"/>
    <w:rsid w:val="007C6EEC"/>
    <w:rsid w:val="007C735A"/>
    <w:rsid w:val="007C750C"/>
    <w:rsid w:val="007C7845"/>
    <w:rsid w:val="007D0586"/>
    <w:rsid w:val="007D0C4A"/>
    <w:rsid w:val="007D0C50"/>
    <w:rsid w:val="007D10C5"/>
    <w:rsid w:val="007D11E2"/>
    <w:rsid w:val="007D1402"/>
    <w:rsid w:val="007D272A"/>
    <w:rsid w:val="007D3AD8"/>
    <w:rsid w:val="007D3CDA"/>
    <w:rsid w:val="007D3F2B"/>
    <w:rsid w:val="007D494B"/>
    <w:rsid w:val="007D5334"/>
    <w:rsid w:val="007D5342"/>
    <w:rsid w:val="007D57EF"/>
    <w:rsid w:val="007D5EC9"/>
    <w:rsid w:val="007D650D"/>
    <w:rsid w:val="007D6F04"/>
    <w:rsid w:val="007D766B"/>
    <w:rsid w:val="007D76C1"/>
    <w:rsid w:val="007D78C9"/>
    <w:rsid w:val="007E1371"/>
    <w:rsid w:val="007E143F"/>
    <w:rsid w:val="007E199A"/>
    <w:rsid w:val="007E1D1E"/>
    <w:rsid w:val="007E20BA"/>
    <w:rsid w:val="007E27B0"/>
    <w:rsid w:val="007E284A"/>
    <w:rsid w:val="007E3463"/>
    <w:rsid w:val="007E3582"/>
    <w:rsid w:val="007E38CB"/>
    <w:rsid w:val="007E3927"/>
    <w:rsid w:val="007E3EF5"/>
    <w:rsid w:val="007E445E"/>
    <w:rsid w:val="007E4C65"/>
    <w:rsid w:val="007E5267"/>
    <w:rsid w:val="007E56B5"/>
    <w:rsid w:val="007E5ECF"/>
    <w:rsid w:val="007E6735"/>
    <w:rsid w:val="007E6D7A"/>
    <w:rsid w:val="007E6E84"/>
    <w:rsid w:val="007E75F0"/>
    <w:rsid w:val="007F020F"/>
    <w:rsid w:val="007F076F"/>
    <w:rsid w:val="007F0AA5"/>
    <w:rsid w:val="007F0BB2"/>
    <w:rsid w:val="007F0BC7"/>
    <w:rsid w:val="007F0D80"/>
    <w:rsid w:val="007F0EC9"/>
    <w:rsid w:val="007F1373"/>
    <w:rsid w:val="007F1578"/>
    <w:rsid w:val="007F1CDC"/>
    <w:rsid w:val="007F1F08"/>
    <w:rsid w:val="007F1F86"/>
    <w:rsid w:val="007F26C4"/>
    <w:rsid w:val="007F2C5B"/>
    <w:rsid w:val="007F30E3"/>
    <w:rsid w:val="007F3241"/>
    <w:rsid w:val="007F369A"/>
    <w:rsid w:val="007F39A4"/>
    <w:rsid w:val="007F3E0E"/>
    <w:rsid w:val="007F424E"/>
    <w:rsid w:val="007F42BB"/>
    <w:rsid w:val="007F465D"/>
    <w:rsid w:val="007F4910"/>
    <w:rsid w:val="007F554C"/>
    <w:rsid w:val="007F5684"/>
    <w:rsid w:val="007F5EA7"/>
    <w:rsid w:val="007F5F73"/>
    <w:rsid w:val="007F60EC"/>
    <w:rsid w:val="007F6484"/>
    <w:rsid w:val="007F6BAA"/>
    <w:rsid w:val="007F6E10"/>
    <w:rsid w:val="007F6E24"/>
    <w:rsid w:val="007F6F9F"/>
    <w:rsid w:val="007F72BE"/>
    <w:rsid w:val="007F7746"/>
    <w:rsid w:val="007F7969"/>
    <w:rsid w:val="007F7CD5"/>
    <w:rsid w:val="007F7CEA"/>
    <w:rsid w:val="008010F8"/>
    <w:rsid w:val="00801DEE"/>
    <w:rsid w:val="00801FBC"/>
    <w:rsid w:val="0080202A"/>
    <w:rsid w:val="00802774"/>
    <w:rsid w:val="00802BBC"/>
    <w:rsid w:val="00802E21"/>
    <w:rsid w:val="00802EFC"/>
    <w:rsid w:val="00802F3C"/>
    <w:rsid w:val="008032BB"/>
    <w:rsid w:val="0080361B"/>
    <w:rsid w:val="00803AD5"/>
    <w:rsid w:val="00803C70"/>
    <w:rsid w:val="00804210"/>
    <w:rsid w:val="0080452B"/>
    <w:rsid w:val="00804890"/>
    <w:rsid w:val="00805170"/>
    <w:rsid w:val="0080540C"/>
    <w:rsid w:val="008056E3"/>
    <w:rsid w:val="00805921"/>
    <w:rsid w:val="008059C8"/>
    <w:rsid w:val="00805C1D"/>
    <w:rsid w:val="00805E56"/>
    <w:rsid w:val="00806463"/>
    <w:rsid w:val="0080667E"/>
    <w:rsid w:val="008072F3"/>
    <w:rsid w:val="008076F2"/>
    <w:rsid w:val="00807723"/>
    <w:rsid w:val="00807A21"/>
    <w:rsid w:val="00807FB8"/>
    <w:rsid w:val="00810093"/>
    <w:rsid w:val="0081126B"/>
    <w:rsid w:val="0081136F"/>
    <w:rsid w:val="008116C2"/>
    <w:rsid w:val="008119CB"/>
    <w:rsid w:val="0081235D"/>
    <w:rsid w:val="00812B02"/>
    <w:rsid w:val="00812D29"/>
    <w:rsid w:val="0081381E"/>
    <w:rsid w:val="008139BC"/>
    <w:rsid w:val="00814128"/>
    <w:rsid w:val="00814336"/>
    <w:rsid w:val="008157D4"/>
    <w:rsid w:val="00815B4D"/>
    <w:rsid w:val="00815E11"/>
    <w:rsid w:val="0081600F"/>
    <w:rsid w:val="00816591"/>
    <w:rsid w:val="00816738"/>
    <w:rsid w:val="0081676C"/>
    <w:rsid w:val="0081678E"/>
    <w:rsid w:val="00816DAF"/>
    <w:rsid w:val="00816E18"/>
    <w:rsid w:val="00817353"/>
    <w:rsid w:val="0081745D"/>
    <w:rsid w:val="0081759F"/>
    <w:rsid w:val="0081774D"/>
    <w:rsid w:val="00817A1A"/>
    <w:rsid w:val="0082018A"/>
    <w:rsid w:val="00821222"/>
    <w:rsid w:val="008219EB"/>
    <w:rsid w:val="00822135"/>
    <w:rsid w:val="0082252C"/>
    <w:rsid w:val="00823322"/>
    <w:rsid w:val="00823688"/>
    <w:rsid w:val="0082385C"/>
    <w:rsid w:val="008239F0"/>
    <w:rsid w:val="00824423"/>
    <w:rsid w:val="00824AC5"/>
    <w:rsid w:val="008250ED"/>
    <w:rsid w:val="008253CD"/>
    <w:rsid w:val="00825B4C"/>
    <w:rsid w:val="00825B56"/>
    <w:rsid w:val="008263D4"/>
    <w:rsid w:val="00826740"/>
    <w:rsid w:val="00827342"/>
    <w:rsid w:val="008274F2"/>
    <w:rsid w:val="008277D3"/>
    <w:rsid w:val="00827A2F"/>
    <w:rsid w:val="0083017F"/>
    <w:rsid w:val="00830561"/>
    <w:rsid w:val="00830EF5"/>
    <w:rsid w:val="00831770"/>
    <w:rsid w:val="00831840"/>
    <w:rsid w:val="008319A9"/>
    <w:rsid w:val="00831A6B"/>
    <w:rsid w:val="008329F7"/>
    <w:rsid w:val="00832BD0"/>
    <w:rsid w:val="00832DCC"/>
    <w:rsid w:val="008332EB"/>
    <w:rsid w:val="0083373B"/>
    <w:rsid w:val="00833A86"/>
    <w:rsid w:val="00833A87"/>
    <w:rsid w:val="00833CE2"/>
    <w:rsid w:val="008340B2"/>
    <w:rsid w:val="008340F4"/>
    <w:rsid w:val="00834392"/>
    <w:rsid w:val="00834786"/>
    <w:rsid w:val="00834AC2"/>
    <w:rsid w:val="00834D20"/>
    <w:rsid w:val="00834FBC"/>
    <w:rsid w:val="0083572F"/>
    <w:rsid w:val="00835AE1"/>
    <w:rsid w:val="008369A5"/>
    <w:rsid w:val="00836FC2"/>
    <w:rsid w:val="00837715"/>
    <w:rsid w:val="00837808"/>
    <w:rsid w:val="00837CA0"/>
    <w:rsid w:val="00837D84"/>
    <w:rsid w:val="0084012C"/>
    <w:rsid w:val="008403CC"/>
    <w:rsid w:val="008405C0"/>
    <w:rsid w:val="0084067C"/>
    <w:rsid w:val="00840AD3"/>
    <w:rsid w:val="00840CCE"/>
    <w:rsid w:val="008417AD"/>
    <w:rsid w:val="00841857"/>
    <w:rsid w:val="00842166"/>
    <w:rsid w:val="0084289B"/>
    <w:rsid w:val="00842BA3"/>
    <w:rsid w:val="00843662"/>
    <w:rsid w:val="00843862"/>
    <w:rsid w:val="00844958"/>
    <w:rsid w:val="00844D4F"/>
    <w:rsid w:val="00844E57"/>
    <w:rsid w:val="00845166"/>
    <w:rsid w:val="00845E8E"/>
    <w:rsid w:val="00845FDB"/>
    <w:rsid w:val="00846027"/>
    <w:rsid w:val="008469B7"/>
    <w:rsid w:val="008469FE"/>
    <w:rsid w:val="00846C7C"/>
    <w:rsid w:val="00846D61"/>
    <w:rsid w:val="00846DE3"/>
    <w:rsid w:val="00846E93"/>
    <w:rsid w:val="0084712B"/>
    <w:rsid w:val="008472CE"/>
    <w:rsid w:val="00850367"/>
    <w:rsid w:val="00850D3B"/>
    <w:rsid w:val="00850EEC"/>
    <w:rsid w:val="00851B36"/>
    <w:rsid w:val="00852633"/>
    <w:rsid w:val="008526D2"/>
    <w:rsid w:val="00852753"/>
    <w:rsid w:val="00852B61"/>
    <w:rsid w:val="00852DE0"/>
    <w:rsid w:val="00853561"/>
    <w:rsid w:val="0085369E"/>
    <w:rsid w:val="008536A0"/>
    <w:rsid w:val="00853A85"/>
    <w:rsid w:val="00853EFE"/>
    <w:rsid w:val="00855344"/>
    <w:rsid w:val="00855395"/>
    <w:rsid w:val="00855426"/>
    <w:rsid w:val="008556AE"/>
    <w:rsid w:val="00855E17"/>
    <w:rsid w:val="00855EE0"/>
    <w:rsid w:val="008560AA"/>
    <w:rsid w:val="008561CE"/>
    <w:rsid w:val="00856586"/>
    <w:rsid w:val="00856BB6"/>
    <w:rsid w:val="00856EF8"/>
    <w:rsid w:val="008574A9"/>
    <w:rsid w:val="00857780"/>
    <w:rsid w:val="008601E9"/>
    <w:rsid w:val="00860933"/>
    <w:rsid w:val="00860D3C"/>
    <w:rsid w:val="008615CA"/>
    <w:rsid w:val="008616F8"/>
    <w:rsid w:val="00861855"/>
    <w:rsid w:val="00861BCE"/>
    <w:rsid w:val="00861D18"/>
    <w:rsid w:val="00861EBE"/>
    <w:rsid w:val="008620C9"/>
    <w:rsid w:val="008629B0"/>
    <w:rsid w:val="00862B16"/>
    <w:rsid w:val="00862F62"/>
    <w:rsid w:val="00863B8D"/>
    <w:rsid w:val="00864268"/>
    <w:rsid w:val="008653AB"/>
    <w:rsid w:val="008658E4"/>
    <w:rsid w:val="00865B00"/>
    <w:rsid w:val="00866073"/>
    <w:rsid w:val="008662D8"/>
    <w:rsid w:val="008668D5"/>
    <w:rsid w:val="00866A8B"/>
    <w:rsid w:val="00866C11"/>
    <w:rsid w:val="00866D96"/>
    <w:rsid w:val="00866F00"/>
    <w:rsid w:val="008676AA"/>
    <w:rsid w:val="008679BE"/>
    <w:rsid w:val="00867EAA"/>
    <w:rsid w:val="00870666"/>
    <w:rsid w:val="0087073E"/>
    <w:rsid w:val="00870DAC"/>
    <w:rsid w:val="00870E8B"/>
    <w:rsid w:val="008713BB"/>
    <w:rsid w:val="008726A6"/>
    <w:rsid w:val="00872808"/>
    <w:rsid w:val="00872C90"/>
    <w:rsid w:val="008733F8"/>
    <w:rsid w:val="008735F2"/>
    <w:rsid w:val="00874263"/>
    <w:rsid w:val="0087441D"/>
    <w:rsid w:val="00874521"/>
    <w:rsid w:val="00874653"/>
    <w:rsid w:val="00874BC5"/>
    <w:rsid w:val="00874F0E"/>
    <w:rsid w:val="008762D3"/>
    <w:rsid w:val="00876823"/>
    <w:rsid w:val="0087693E"/>
    <w:rsid w:val="00876FE3"/>
    <w:rsid w:val="00877333"/>
    <w:rsid w:val="00877C85"/>
    <w:rsid w:val="00877E93"/>
    <w:rsid w:val="00877ECF"/>
    <w:rsid w:val="00877FDA"/>
    <w:rsid w:val="00880A34"/>
    <w:rsid w:val="00880AC1"/>
    <w:rsid w:val="00880CBC"/>
    <w:rsid w:val="00880DB6"/>
    <w:rsid w:val="00880F6C"/>
    <w:rsid w:val="0088199B"/>
    <w:rsid w:val="00882187"/>
    <w:rsid w:val="0088263A"/>
    <w:rsid w:val="00882E2C"/>
    <w:rsid w:val="00883501"/>
    <w:rsid w:val="00883A2F"/>
    <w:rsid w:val="00884642"/>
    <w:rsid w:val="00884DB8"/>
    <w:rsid w:val="00884E77"/>
    <w:rsid w:val="00885812"/>
    <w:rsid w:val="00886411"/>
    <w:rsid w:val="008864C1"/>
    <w:rsid w:val="00886840"/>
    <w:rsid w:val="00886A1F"/>
    <w:rsid w:val="00886BC8"/>
    <w:rsid w:val="00886D6F"/>
    <w:rsid w:val="00887207"/>
    <w:rsid w:val="008872B8"/>
    <w:rsid w:val="008878B5"/>
    <w:rsid w:val="00887B37"/>
    <w:rsid w:val="00887FF5"/>
    <w:rsid w:val="00890256"/>
    <w:rsid w:val="0089068B"/>
    <w:rsid w:val="00891295"/>
    <w:rsid w:val="00893135"/>
    <w:rsid w:val="008932E3"/>
    <w:rsid w:val="008934C4"/>
    <w:rsid w:val="00893998"/>
    <w:rsid w:val="008939DC"/>
    <w:rsid w:val="00893B04"/>
    <w:rsid w:val="00893F73"/>
    <w:rsid w:val="00894278"/>
    <w:rsid w:val="00894914"/>
    <w:rsid w:val="00894928"/>
    <w:rsid w:val="008957A7"/>
    <w:rsid w:val="008957CF"/>
    <w:rsid w:val="00896455"/>
    <w:rsid w:val="00896561"/>
    <w:rsid w:val="008965C5"/>
    <w:rsid w:val="00896A17"/>
    <w:rsid w:val="00896D5A"/>
    <w:rsid w:val="008971CA"/>
    <w:rsid w:val="0089762C"/>
    <w:rsid w:val="00897AA2"/>
    <w:rsid w:val="00897F0F"/>
    <w:rsid w:val="008A02F4"/>
    <w:rsid w:val="008A05B5"/>
    <w:rsid w:val="008A0808"/>
    <w:rsid w:val="008A0BA5"/>
    <w:rsid w:val="008A1F3F"/>
    <w:rsid w:val="008A2248"/>
    <w:rsid w:val="008A2C16"/>
    <w:rsid w:val="008A358B"/>
    <w:rsid w:val="008A36E0"/>
    <w:rsid w:val="008A406F"/>
    <w:rsid w:val="008A4B3C"/>
    <w:rsid w:val="008A4CC9"/>
    <w:rsid w:val="008A6802"/>
    <w:rsid w:val="008A7296"/>
    <w:rsid w:val="008A7EE7"/>
    <w:rsid w:val="008B0359"/>
    <w:rsid w:val="008B044E"/>
    <w:rsid w:val="008B0543"/>
    <w:rsid w:val="008B0573"/>
    <w:rsid w:val="008B0C0D"/>
    <w:rsid w:val="008B0CF4"/>
    <w:rsid w:val="008B0D9E"/>
    <w:rsid w:val="008B0E95"/>
    <w:rsid w:val="008B1025"/>
    <w:rsid w:val="008B11D3"/>
    <w:rsid w:val="008B1899"/>
    <w:rsid w:val="008B1D0E"/>
    <w:rsid w:val="008B1D9C"/>
    <w:rsid w:val="008B1F93"/>
    <w:rsid w:val="008B258C"/>
    <w:rsid w:val="008B2E0B"/>
    <w:rsid w:val="008B36C6"/>
    <w:rsid w:val="008B3845"/>
    <w:rsid w:val="008B3855"/>
    <w:rsid w:val="008B3D1B"/>
    <w:rsid w:val="008B4BA7"/>
    <w:rsid w:val="008B4D65"/>
    <w:rsid w:val="008B4D99"/>
    <w:rsid w:val="008B4DB1"/>
    <w:rsid w:val="008B4DB6"/>
    <w:rsid w:val="008B52C5"/>
    <w:rsid w:val="008B54EF"/>
    <w:rsid w:val="008B59F5"/>
    <w:rsid w:val="008B5CAB"/>
    <w:rsid w:val="008B5F16"/>
    <w:rsid w:val="008B65F1"/>
    <w:rsid w:val="008B6D2D"/>
    <w:rsid w:val="008B7192"/>
    <w:rsid w:val="008B7A66"/>
    <w:rsid w:val="008C0566"/>
    <w:rsid w:val="008C0D2E"/>
    <w:rsid w:val="008C0D5D"/>
    <w:rsid w:val="008C0E05"/>
    <w:rsid w:val="008C1FEC"/>
    <w:rsid w:val="008C36AE"/>
    <w:rsid w:val="008C4BCB"/>
    <w:rsid w:val="008C4D94"/>
    <w:rsid w:val="008C4F0D"/>
    <w:rsid w:val="008C4F52"/>
    <w:rsid w:val="008C4FB4"/>
    <w:rsid w:val="008C5F33"/>
    <w:rsid w:val="008C60B6"/>
    <w:rsid w:val="008C6D4E"/>
    <w:rsid w:val="008C6F50"/>
    <w:rsid w:val="008C70BF"/>
    <w:rsid w:val="008C72C6"/>
    <w:rsid w:val="008D0915"/>
    <w:rsid w:val="008D0C90"/>
    <w:rsid w:val="008D0F25"/>
    <w:rsid w:val="008D0FE2"/>
    <w:rsid w:val="008D11D7"/>
    <w:rsid w:val="008D127B"/>
    <w:rsid w:val="008D1BE2"/>
    <w:rsid w:val="008D266B"/>
    <w:rsid w:val="008D2921"/>
    <w:rsid w:val="008D2D8F"/>
    <w:rsid w:val="008D33AB"/>
    <w:rsid w:val="008D3602"/>
    <w:rsid w:val="008D370F"/>
    <w:rsid w:val="008D3713"/>
    <w:rsid w:val="008D374E"/>
    <w:rsid w:val="008D3B0A"/>
    <w:rsid w:val="008D3E7A"/>
    <w:rsid w:val="008D4062"/>
    <w:rsid w:val="008D44F6"/>
    <w:rsid w:val="008D45D9"/>
    <w:rsid w:val="008D4734"/>
    <w:rsid w:val="008D4D88"/>
    <w:rsid w:val="008D5CF0"/>
    <w:rsid w:val="008D6397"/>
    <w:rsid w:val="008D6CC9"/>
    <w:rsid w:val="008D7879"/>
    <w:rsid w:val="008D7BED"/>
    <w:rsid w:val="008E0541"/>
    <w:rsid w:val="008E087A"/>
    <w:rsid w:val="008E0AFA"/>
    <w:rsid w:val="008E0E0E"/>
    <w:rsid w:val="008E0FA2"/>
    <w:rsid w:val="008E0FB6"/>
    <w:rsid w:val="008E131F"/>
    <w:rsid w:val="008E15EB"/>
    <w:rsid w:val="008E170A"/>
    <w:rsid w:val="008E17ED"/>
    <w:rsid w:val="008E19BE"/>
    <w:rsid w:val="008E2150"/>
    <w:rsid w:val="008E25C5"/>
    <w:rsid w:val="008E2720"/>
    <w:rsid w:val="008E2C0F"/>
    <w:rsid w:val="008E3458"/>
    <w:rsid w:val="008E3497"/>
    <w:rsid w:val="008E3C49"/>
    <w:rsid w:val="008E407C"/>
    <w:rsid w:val="008E4246"/>
    <w:rsid w:val="008E424F"/>
    <w:rsid w:val="008E4276"/>
    <w:rsid w:val="008E4937"/>
    <w:rsid w:val="008E4A8A"/>
    <w:rsid w:val="008E5364"/>
    <w:rsid w:val="008E5636"/>
    <w:rsid w:val="008E5F96"/>
    <w:rsid w:val="008E6498"/>
    <w:rsid w:val="008E6851"/>
    <w:rsid w:val="008E69B8"/>
    <w:rsid w:val="008E702F"/>
    <w:rsid w:val="008E720B"/>
    <w:rsid w:val="008E74EF"/>
    <w:rsid w:val="008E7FA1"/>
    <w:rsid w:val="008F004A"/>
    <w:rsid w:val="008F06B1"/>
    <w:rsid w:val="008F1082"/>
    <w:rsid w:val="008F1338"/>
    <w:rsid w:val="008F1829"/>
    <w:rsid w:val="008F1C50"/>
    <w:rsid w:val="008F1EBA"/>
    <w:rsid w:val="008F1F4E"/>
    <w:rsid w:val="008F31DC"/>
    <w:rsid w:val="008F32BE"/>
    <w:rsid w:val="008F3785"/>
    <w:rsid w:val="008F3FC1"/>
    <w:rsid w:val="008F456C"/>
    <w:rsid w:val="008F481D"/>
    <w:rsid w:val="008F4C6C"/>
    <w:rsid w:val="008F4E87"/>
    <w:rsid w:val="008F4F31"/>
    <w:rsid w:val="008F5145"/>
    <w:rsid w:val="008F57E2"/>
    <w:rsid w:val="008F596C"/>
    <w:rsid w:val="008F662D"/>
    <w:rsid w:val="008F6DDA"/>
    <w:rsid w:val="008F72B2"/>
    <w:rsid w:val="008F743C"/>
    <w:rsid w:val="009001D8"/>
    <w:rsid w:val="00900970"/>
    <w:rsid w:val="00900AF3"/>
    <w:rsid w:val="00900DE5"/>
    <w:rsid w:val="00901AB1"/>
    <w:rsid w:val="00902145"/>
    <w:rsid w:val="0090283E"/>
    <w:rsid w:val="00902ECF"/>
    <w:rsid w:val="00903348"/>
    <w:rsid w:val="00903924"/>
    <w:rsid w:val="00903B54"/>
    <w:rsid w:val="00903E40"/>
    <w:rsid w:val="00903EA9"/>
    <w:rsid w:val="009047E4"/>
    <w:rsid w:val="00904D11"/>
    <w:rsid w:val="00904F8F"/>
    <w:rsid w:val="009053D9"/>
    <w:rsid w:val="009055E1"/>
    <w:rsid w:val="00905E2B"/>
    <w:rsid w:val="009064F8"/>
    <w:rsid w:val="00906709"/>
    <w:rsid w:val="009069E2"/>
    <w:rsid w:val="00906F73"/>
    <w:rsid w:val="00907BDE"/>
    <w:rsid w:val="00910104"/>
    <w:rsid w:val="00911119"/>
    <w:rsid w:val="0091130D"/>
    <w:rsid w:val="00911404"/>
    <w:rsid w:val="0091162C"/>
    <w:rsid w:val="00911714"/>
    <w:rsid w:val="00911BC8"/>
    <w:rsid w:val="00911E95"/>
    <w:rsid w:val="00911FCB"/>
    <w:rsid w:val="00912354"/>
    <w:rsid w:val="00912A2D"/>
    <w:rsid w:val="00912B55"/>
    <w:rsid w:val="009131D3"/>
    <w:rsid w:val="009135EE"/>
    <w:rsid w:val="00914043"/>
    <w:rsid w:val="00914181"/>
    <w:rsid w:val="009148BF"/>
    <w:rsid w:val="00914C2E"/>
    <w:rsid w:val="0091587B"/>
    <w:rsid w:val="00915923"/>
    <w:rsid w:val="00915AB5"/>
    <w:rsid w:val="00915F5A"/>
    <w:rsid w:val="00916265"/>
    <w:rsid w:val="009165EA"/>
    <w:rsid w:val="00916837"/>
    <w:rsid w:val="00916B8B"/>
    <w:rsid w:val="00916BD0"/>
    <w:rsid w:val="00916C4F"/>
    <w:rsid w:val="00916CE6"/>
    <w:rsid w:val="00917971"/>
    <w:rsid w:val="00917B07"/>
    <w:rsid w:val="00917B61"/>
    <w:rsid w:val="0092013B"/>
    <w:rsid w:val="00920484"/>
    <w:rsid w:val="00920550"/>
    <w:rsid w:val="00920738"/>
    <w:rsid w:val="009207E6"/>
    <w:rsid w:val="00920ED8"/>
    <w:rsid w:val="00921385"/>
    <w:rsid w:val="009213F6"/>
    <w:rsid w:val="00921A3F"/>
    <w:rsid w:val="00921B92"/>
    <w:rsid w:val="00921D2D"/>
    <w:rsid w:val="00921F72"/>
    <w:rsid w:val="00922592"/>
    <w:rsid w:val="00922A28"/>
    <w:rsid w:val="00922F98"/>
    <w:rsid w:val="00923149"/>
    <w:rsid w:val="009236F5"/>
    <w:rsid w:val="0092378B"/>
    <w:rsid w:val="00924387"/>
    <w:rsid w:val="0092440F"/>
    <w:rsid w:val="009245D2"/>
    <w:rsid w:val="009246B7"/>
    <w:rsid w:val="00925567"/>
    <w:rsid w:val="00925739"/>
    <w:rsid w:val="00925B34"/>
    <w:rsid w:val="00925C33"/>
    <w:rsid w:val="0092609D"/>
    <w:rsid w:val="00926532"/>
    <w:rsid w:val="00927241"/>
    <w:rsid w:val="009278FE"/>
    <w:rsid w:val="00930256"/>
    <w:rsid w:val="00930405"/>
    <w:rsid w:val="009307B5"/>
    <w:rsid w:val="00930D00"/>
    <w:rsid w:val="0093106B"/>
    <w:rsid w:val="00932143"/>
    <w:rsid w:val="00932309"/>
    <w:rsid w:val="00932398"/>
    <w:rsid w:val="00932908"/>
    <w:rsid w:val="00932CB1"/>
    <w:rsid w:val="00932F2D"/>
    <w:rsid w:val="00933509"/>
    <w:rsid w:val="00934318"/>
    <w:rsid w:val="0093447F"/>
    <w:rsid w:val="00934D40"/>
    <w:rsid w:val="00934D48"/>
    <w:rsid w:val="00934E54"/>
    <w:rsid w:val="0093568B"/>
    <w:rsid w:val="0093598A"/>
    <w:rsid w:val="00935EC3"/>
    <w:rsid w:val="00935FDE"/>
    <w:rsid w:val="009365DE"/>
    <w:rsid w:val="009370B4"/>
    <w:rsid w:val="009378FB"/>
    <w:rsid w:val="00937935"/>
    <w:rsid w:val="00937F44"/>
    <w:rsid w:val="00937F54"/>
    <w:rsid w:val="0094004D"/>
    <w:rsid w:val="00940726"/>
    <w:rsid w:val="0094106A"/>
    <w:rsid w:val="0094108B"/>
    <w:rsid w:val="00941880"/>
    <w:rsid w:val="00941DC4"/>
    <w:rsid w:val="00942073"/>
    <w:rsid w:val="0094237F"/>
    <w:rsid w:val="00942885"/>
    <w:rsid w:val="00942905"/>
    <w:rsid w:val="009429CD"/>
    <w:rsid w:val="00942C4D"/>
    <w:rsid w:val="009436AE"/>
    <w:rsid w:val="00943822"/>
    <w:rsid w:val="00944005"/>
    <w:rsid w:val="00944829"/>
    <w:rsid w:val="00944A55"/>
    <w:rsid w:val="00944F74"/>
    <w:rsid w:val="00945084"/>
    <w:rsid w:val="009457B1"/>
    <w:rsid w:val="009457F0"/>
    <w:rsid w:val="00945AB6"/>
    <w:rsid w:val="00945B06"/>
    <w:rsid w:val="009460F5"/>
    <w:rsid w:val="0094681A"/>
    <w:rsid w:val="00946B8D"/>
    <w:rsid w:val="00947385"/>
    <w:rsid w:val="00947923"/>
    <w:rsid w:val="00947B2A"/>
    <w:rsid w:val="00947D2A"/>
    <w:rsid w:val="00950815"/>
    <w:rsid w:val="00950891"/>
    <w:rsid w:val="00950AC2"/>
    <w:rsid w:val="00950E7D"/>
    <w:rsid w:val="0095120D"/>
    <w:rsid w:val="00951DAD"/>
    <w:rsid w:val="00951EF9"/>
    <w:rsid w:val="00952800"/>
    <w:rsid w:val="009529D7"/>
    <w:rsid w:val="00952DAD"/>
    <w:rsid w:val="009532A5"/>
    <w:rsid w:val="009537E2"/>
    <w:rsid w:val="009537F6"/>
    <w:rsid w:val="00953A61"/>
    <w:rsid w:val="00954B34"/>
    <w:rsid w:val="0095511D"/>
    <w:rsid w:val="00955CAC"/>
    <w:rsid w:val="00955EB5"/>
    <w:rsid w:val="0095629E"/>
    <w:rsid w:val="00956A29"/>
    <w:rsid w:val="00956F7F"/>
    <w:rsid w:val="0095715B"/>
    <w:rsid w:val="009577FA"/>
    <w:rsid w:val="009600A1"/>
    <w:rsid w:val="009600D1"/>
    <w:rsid w:val="00960CC9"/>
    <w:rsid w:val="009615A2"/>
    <w:rsid w:val="00961D44"/>
    <w:rsid w:val="00961D6B"/>
    <w:rsid w:val="0096256B"/>
    <w:rsid w:val="00962994"/>
    <w:rsid w:val="009633FA"/>
    <w:rsid w:val="00963586"/>
    <w:rsid w:val="0096372B"/>
    <w:rsid w:val="00963D6A"/>
    <w:rsid w:val="00963E5B"/>
    <w:rsid w:val="0096470E"/>
    <w:rsid w:val="00964768"/>
    <w:rsid w:val="009648CA"/>
    <w:rsid w:val="00965336"/>
    <w:rsid w:val="00965735"/>
    <w:rsid w:val="00965895"/>
    <w:rsid w:val="00965A35"/>
    <w:rsid w:val="009664D6"/>
    <w:rsid w:val="00966C67"/>
    <w:rsid w:val="00967C14"/>
    <w:rsid w:val="00967C9E"/>
    <w:rsid w:val="00967F23"/>
    <w:rsid w:val="0097005E"/>
    <w:rsid w:val="009716D0"/>
    <w:rsid w:val="009718DB"/>
    <w:rsid w:val="00971BAC"/>
    <w:rsid w:val="00971EDF"/>
    <w:rsid w:val="00972207"/>
    <w:rsid w:val="009724C5"/>
    <w:rsid w:val="00973337"/>
    <w:rsid w:val="00973343"/>
    <w:rsid w:val="00973C55"/>
    <w:rsid w:val="0097404A"/>
    <w:rsid w:val="009745A3"/>
    <w:rsid w:val="00974D0C"/>
    <w:rsid w:val="00975103"/>
    <w:rsid w:val="009755AF"/>
    <w:rsid w:val="009755B5"/>
    <w:rsid w:val="00975A18"/>
    <w:rsid w:val="00976013"/>
    <w:rsid w:val="00976C30"/>
    <w:rsid w:val="0097754F"/>
    <w:rsid w:val="00977E41"/>
    <w:rsid w:val="00977E81"/>
    <w:rsid w:val="009804EF"/>
    <w:rsid w:val="00980603"/>
    <w:rsid w:val="00980884"/>
    <w:rsid w:val="0098168A"/>
    <w:rsid w:val="00981DEB"/>
    <w:rsid w:val="00981ED8"/>
    <w:rsid w:val="009822A5"/>
    <w:rsid w:val="009823F4"/>
    <w:rsid w:val="00983772"/>
    <w:rsid w:val="0098382D"/>
    <w:rsid w:val="00983962"/>
    <w:rsid w:val="00983ED1"/>
    <w:rsid w:val="00984020"/>
    <w:rsid w:val="0098448F"/>
    <w:rsid w:val="00984A34"/>
    <w:rsid w:val="00984A42"/>
    <w:rsid w:val="00984C68"/>
    <w:rsid w:val="0098557A"/>
    <w:rsid w:val="009859D2"/>
    <w:rsid w:val="00985F98"/>
    <w:rsid w:val="00985FFA"/>
    <w:rsid w:val="00986335"/>
    <w:rsid w:val="009865B5"/>
    <w:rsid w:val="00986A3F"/>
    <w:rsid w:val="00986B78"/>
    <w:rsid w:val="009872A1"/>
    <w:rsid w:val="00987300"/>
    <w:rsid w:val="00987B51"/>
    <w:rsid w:val="009900F0"/>
    <w:rsid w:val="00990296"/>
    <w:rsid w:val="00990A0D"/>
    <w:rsid w:val="009916DB"/>
    <w:rsid w:val="009921E1"/>
    <w:rsid w:val="00992644"/>
    <w:rsid w:val="00992670"/>
    <w:rsid w:val="00992F21"/>
    <w:rsid w:val="00993805"/>
    <w:rsid w:val="00993F33"/>
    <w:rsid w:val="00993F35"/>
    <w:rsid w:val="009942DD"/>
    <w:rsid w:val="0099437F"/>
    <w:rsid w:val="00994557"/>
    <w:rsid w:val="00994759"/>
    <w:rsid w:val="00994D43"/>
    <w:rsid w:val="00995DB5"/>
    <w:rsid w:val="00995EEF"/>
    <w:rsid w:val="00996012"/>
    <w:rsid w:val="0099613D"/>
    <w:rsid w:val="00996657"/>
    <w:rsid w:val="009A0418"/>
    <w:rsid w:val="009A1001"/>
    <w:rsid w:val="009A121D"/>
    <w:rsid w:val="009A1717"/>
    <w:rsid w:val="009A2143"/>
    <w:rsid w:val="009A23C9"/>
    <w:rsid w:val="009A24A5"/>
    <w:rsid w:val="009A289A"/>
    <w:rsid w:val="009A2B2E"/>
    <w:rsid w:val="009A2CB2"/>
    <w:rsid w:val="009A3930"/>
    <w:rsid w:val="009A4754"/>
    <w:rsid w:val="009A55A8"/>
    <w:rsid w:val="009A5637"/>
    <w:rsid w:val="009A56D9"/>
    <w:rsid w:val="009A5E5F"/>
    <w:rsid w:val="009A6184"/>
    <w:rsid w:val="009A635D"/>
    <w:rsid w:val="009A653E"/>
    <w:rsid w:val="009A6EAF"/>
    <w:rsid w:val="009A7797"/>
    <w:rsid w:val="009A77F5"/>
    <w:rsid w:val="009A7B5A"/>
    <w:rsid w:val="009A7D8E"/>
    <w:rsid w:val="009B1BAF"/>
    <w:rsid w:val="009B26CD"/>
    <w:rsid w:val="009B2788"/>
    <w:rsid w:val="009B2DB5"/>
    <w:rsid w:val="009B30F7"/>
    <w:rsid w:val="009B31B8"/>
    <w:rsid w:val="009B3595"/>
    <w:rsid w:val="009B43B0"/>
    <w:rsid w:val="009B4662"/>
    <w:rsid w:val="009B5698"/>
    <w:rsid w:val="009B5C8D"/>
    <w:rsid w:val="009B6121"/>
    <w:rsid w:val="009B653A"/>
    <w:rsid w:val="009B6CD7"/>
    <w:rsid w:val="009B7420"/>
    <w:rsid w:val="009B7D9A"/>
    <w:rsid w:val="009B7FB5"/>
    <w:rsid w:val="009C0934"/>
    <w:rsid w:val="009C0947"/>
    <w:rsid w:val="009C0A0D"/>
    <w:rsid w:val="009C0CE1"/>
    <w:rsid w:val="009C0F04"/>
    <w:rsid w:val="009C15AF"/>
    <w:rsid w:val="009C1C81"/>
    <w:rsid w:val="009C1DE1"/>
    <w:rsid w:val="009C2237"/>
    <w:rsid w:val="009C26BC"/>
    <w:rsid w:val="009C2ABD"/>
    <w:rsid w:val="009C2C3A"/>
    <w:rsid w:val="009C387F"/>
    <w:rsid w:val="009C3A41"/>
    <w:rsid w:val="009C4F9F"/>
    <w:rsid w:val="009C56C8"/>
    <w:rsid w:val="009C5CF3"/>
    <w:rsid w:val="009C60CE"/>
    <w:rsid w:val="009C64D3"/>
    <w:rsid w:val="009C6C5F"/>
    <w:rsid w:val="009C6ECE"/>
    <w:rsid w:val="009C73EC"/>
    <w:rsid w:val="009C74B4"/>
    <w:rsid w:val="009C75AD"/>
    <w:rsid w:val="009C7638"/>
    <w:rsid w:val="009D0061"/>
    <w:rsid w:val="009D02D1"/>
    <w:rsid w:val="009D0499"/>
    <w:rsid w:val="009D0B88"/>
    <w:rsid w:val="009D0C7B"/>
    <w:rsid w:val="009D19E2"/>
    <w:rsid w:val="009D1CE2"/>
    <w:rsid w:val="009D2A23"/>
    <w:rsid w:val="009D2F6B"/>
    <w:rsid w:val="009D41C1"/>
    <w:rsid w:val="009D46B8"/>
    <w:rsid w:val="009D58FE"/>
    <w:rsid w:val="009D5ABE"/>
    <w:rsid w:val="009D5DCF"/>
    <w:rsid w:val="009D5FA5"/>
    <w:rsid w:val="009D5FC5"/>
    <w:rsid w:val="009D60E9"/>
    <w:rsid w:val="009D69C9"/>
    <w:rsid w:val="009D6D0B"/>
    <w:rsid w:val="009D7219"/>
    <w:rsid w:val="009D7616"/>
    <w:rsid w:val="009D794D"/>
    <w:rsid w:val="009D797A"/>
    <w:rsid w:val="009D7F1A"/>
    <w:rsid w:val="009E025B"/>
    <w:rsid w:val="009E0430"/>
    <w:rsid w:val="009E06D4"/>
    <w:rsid w:val="009E077D"/>
    <w:rsid w:val="009E0B67"/>
    <w:rsid w:val="009E0BB5"/>
    <w:rsid w:val="009E0E7F"/>
    <w:rsid w:val="009E0F74"/>
    <w:rsid w:val="009E1399"/>
    <w:rsid w:val="009E1969"/>
    <w:rsid w:val="009E1BAF"/>
    <w:rsid w:val="009E1E6A"/>
    <w:rsid w:val="009E22F6"/>
    <w:rsid w:val="009E2324"/>
    <w:rsid w:val="009E2852"/>
    <w:rsid w:val="009E2CC0"/>
    <w:rsid w:val="009E36DF"/>
    <w:rsid w:val="009E38D3"/>
    <w:rsid w:val="009E451B"/>
    <w:rsid w:val="009E47E3"/>
    <w:rsid w:val="009E50CE"/>
    <w:rsid w:val="009E5178"/>
    <w:rsid w:val="009E542B"/>
    <w:rsid w:val="009E55B0"/>
    <w:rsid w:val="009E58D6"/>
    <w:rsid w:val="009E75E9"/>
    <w:rsid w:val="009E7A53"/>
    <w:rsid w:val="009F0291"/>
    <w:rsid w:val="009F0452"/>
    <w:rsid w:val="009F0E9C"/>
    <w:rsid w:val="009F0FCF"/>
    <w:rsid w:val="009F1265"/>
    <w:rsid w:val="009F135A"/>
    <w:rsid w:val="009F1615"/>
    <w:rsid w:val="009F16F3"/>
    <w:rsid w:val="009F1721"/>
    <w:rsid w:val="009F1AD3"/>
    <w:rsid w:val="009F1AD7"/>
    <w:rsid w:val="009F1CC5"/>
    <w:rsid w:val="009F2322"/>
    <w:rsid w:val="009F2EA3"/>
    <w:rsid w:val="009F3106"/>
    <w:rsid w:val="009F3882"/>
    <w:rsid w:val="009F399A"/>
    <w:rsid w:val="009F3A35"/>
    <w:rsid w:val="009F4335"/>
    <w:rsid w:val="009F4945"/>
    <w:rsid w:val="009F4A31"/>
    <w:rsid w:val="009F4BF5"/>
    <w:rsid w:val="009F4FC2"/>
    <w:rsid w:val="009F507F"/>
    <w:rsid w:val="009F5534"/>
    <w:rsid w:val="009F69FE"/>
    <w:rsid w:val="009F7267"/>
    <w:rsid w:val="009F7B6A"/>
    <w:rsid w:val="009F7C2D"/>
    <w:rsid w:val="00A000FA"/>
    <w:rsid w:val="00A0021B"/>
    <w:rsid w:val="00A00246"/>
    <w:rsid w:val="00A00536"/>
    <w:rsid w:val="00A0069B"/>
    <w:rsid w:val="00A0086B"/>
    <w:rsid w:val="00A00B31"/>
    <w:rsid w:val="00A00C0B"/>
    <w:rsid w:val="00A01BA1"/>
    <w:rsid w:val="00A01FA5"/>
    <w:rsid w:val="00A02057"/>
    <w:rsid w:val="00A02794"/>
    <w:rsid w:val="00A02E21"/>
    <w:rsid w:val="00A0324B"/>
    <w:rsid w:val="00A03BB6"/>
    <w:rsid w:val="00A03D8E"/>
    <w:rsid w:val="00A04C66"/>
    <w:rsid w:val="00A04E04"/>
    <w:rsid w:val="00A05615"/>
    <w:rsid w:val="00A0592F"/>
    <w:rsid w:val="00A05AAB"/>
    <w:rsid w:val="00A066CB"/>
    <w:rsid w:val="00A068BC"/>
    <w:rsid w:val="00A06D9C"/>
    <w:rsid w:val="00A0717E"/>
    <w:rsid w:val="00A07208"/>
    <w:rsid w:val="00A0735A"/>
    <w:rsid w:val="00A07E35"/>
    <w:rsid w:val="00A10119"/>
    <w:rsid w:val="00A10C58"/>
    <w:rsid w:val="00A116FE"/>
    <w:rsid w:val="00A1185F"/>
    <w:rsid w:val="00A11971"/>
    <w:rsid w:val="00A1197A"/>
    <w:rsid w:val="00A12ABA"/>
    <w:rsid w:val="00A12DD4"/>
    <w:rsid w:val="00A12E9D"/>
    <w:rsid w:val="00A1323E"/>
    <w:rsid w:val="00A13292"/>
    <w:rsid w:val="00A133E2"/>
    <w:rsid w:val="00A13BA7"/>
    <w:rsid w:val="00A14038"/>
    <w:rsid w:val="00A145CC"/>
    <w:rsid w:val="00A14DD8"/>
    <w:rsid w:val="00A15231"/>
    <w:rsid w:val="00A153FD"/>
    <w:rsid w:val="00A159E9"/>
    <w:rsid w:val="00A16D91"/>
    <w:rsid w:val="00A1713C"/>
    <w:rsid w:val="00A178BB"/>
    <w:rsid w:val="00A179C1"/>
    <w:rsid w:val="00A20067"/>
    <w:rsid w:val="00A20472"/>
    <w:rsid w:val="00A20693"/>
    <w:rsid w:val="00A20945"/>
    <w:rsid w:val="00A2120E"/>
    <w:rsid w:val="00A2155A"/>
    <w:rsid w:val="00A21F49"/>
    <w:rsid w:val="00A22509"/>
    <w:rsid w:val="00A22CE6"/>
    <w:rsid w:val="00A22E90"/>
    <w:rsid w:val="00A23612"/>
    <w:rsid w:val="00A23D48"/>
    <w:rsid w:val="00A241F9"/>
    <w:rsid w:val="00A243D7"/>
    <w:rsid w:val="00A24554"/>
    <w:rsid w:val="00A245EB"/>
    <w:rsid w:val="00A24835"/>
    <w:rsid w:val="00A24B06"/>
    <w:rsid w:val="00A252B6"/>
    <w:rsid w:val="00A252BF"/>
    <w:rsid w:val="00A253FF"/>
    <w:rsid w:val="00A259B4"/>
    <w:rsid w:val="00A264AF"/>
    <w:rsid w:val="00A264FB"/>
    <w:rsid w:val="00A2659F"/>
    <w:rsid w:val="00A26FE4"/>
    <w:rsid w:val="00A27438"/>
    <w:rsid w:val="00A308A4"/>
    <w:rsid w:val="00A30A6D"/>
    <w:rsid w:val="00A311AA"/>
    <w:rsid w:val="00A3166D"/>
    <w:rsid w:val="00A3183A"/>
    <w:rsid w:val="00A324DC"/>
    <w:rsid w:val="00A32830"/>
    <w:rsid w:val="00A32A2C"/>
    <w:rsid w:val="00A32BFD"/>
    <w:rsid w:val="00A3305A"/>
    <w:rsid w:val="00A330C6"/>
    <w:rsid w:val="00A347C7"/>
    <w:rsid w:val="00A34D92"/>
    <w:rsid w:val="00A35554"/>
    <w:rsid w:val="00A36293"/>
    <w:rsid w:val="00A363C2"/>
    <w:rsid w:val="00A36DFC"/>
    <w:rsid w:val="00A37004"/>
    <w:rsid w:val="00A37131"/>
    <w:rsid w:val="00A375D8"/>
    <w:rsid w:val="00A3792C"/>
    <w:rsid w:val="00A37D8B"/>
    <w:rsid w:val="00A40A3E"/>
    <w:rsid w:val="00A40DFB"/>
    <w:rsid w:val="00A410C7"/>
    <w:rsid w:val="00A41503"/>
    <w:rsid w:val="00A41AC4"/>
    <w:rsid w:val="00A41C3E"/>
    <w:rsid w:val="00A4228F"/>
    <w:rsid w:val="00A42AD6"/>
    <w:rsid w:val="00A4382C"/>
    <w:rsid w:val="00A4384D"/>
    <w:rsid w:val="00A43B02"/>
    <w:rsid w:val="00A43C5B"/>
    <w:rsid w:val="00A43EC2"/>
    <w:rsid w:val="00A454A5"/>
    <w:rsid w:val="00A46309"/>
    <w:rsid w:val="00A46687"/>
    <w:rsid w:val="00A474AA"/>
    <w:rsid w:val="00A47540"/>
    <w:rsid w:val="00A47B41"/>
    <w:rsid w:val="00A47C8C"/>
    <w:rsid w:val="00A5034F"/>
    <w:rsid w:val="00A50DED"/>
    <w:rsid w:val="00A50EDE"/>
    <w:rsid w:val="00A50F3F"/>
    <w:rsid w:val="00A513D2"/>
    <w:rsid w:val="00A5149B"/>
    <w:rsid w:val="00A5154E"/>
    <w:rsid w:val="00A51D34"/>
    <w:rsid w:val="00A52533"/>
    <w:rsid w:val="00A5272A"/>
    <w:rsid w:val="00A5365C"/>
    <w:rsid w:val="00A537E0"/>
    <w:rsid w:val="00A53C40"/>
    <w:rsid w:val="00A542D4"/>
    <w:rsid w:val="00A54519"/>
    <w:rsid w:val="00A55627"/>
    <w:rsid w:val="00A5568B"/>
    <w:rsid w:val="00A55771"/>
    <w:rsid w:val="00A55E35"/>
    <w:rsid w:val="00A55F17"/>
    <w:rsid w:val="00A561C8"/>
    <w:rsid w:val="00A5634D"/>
    <w:rsid w:val="00A56679"/>
    <w:rsid w:val="00A5689C"/>
    <w:rsid w:val="00A56B59"/>
    <w:rsid w:val="00A56BAB"/>
    <w:rsid w:val="00A5729A"/>
    <w:rsid w:val="00A5752D"/>
    <w:rsid w:val="00A600F5"/>
    <w:rsid w:val="00A605B8"/>
    <w:rsid w:val="00A60DD1"/>
    <w:rsid w:val="00A60E79"/>
    <w:rsid w:val="00A612E5"/>
    <w:rsid w:val="00A61CF0"/>
    <w:rsid w:val="00A6284B"/>
    <w:rsid w:val="00A629D7"/>
    <w:rsid w:val="00A62CE8"/>
    <w:rsid w:val="00A62F99"/>
    <w:rsid w:val="00A63755"/>
    <w:rsid w:val="00A640CF"/>
    <w:rsid w:val="00A642B1"/>
    <w:rsid w:val="00A6447E"/>
    <w:rsid w:val="00A64572"/>
    <w:rsid w:val="00A645C0"/>
    <w:rsid w:val="00A64733"/>
    <w:rsid w:val="00A64CDF"/>
    <w:rsid w:val="00A6589A"/>
    <w:rsid w:val="00A65B30"/>
    <w:rsid w:val="00A65DFD"/>
    <w:rsid w:val="00A65F3D"/>
    <w:rsid w:val="00A660B6"/>
    <w:rsid w:val="00A66CA0"/>
    <w:rsid w:val="00A66D56"/>
    <w:rsid w:val="00A66D9E"/>
    <w:rsid w:val="00A67167"/>
    <w:rsid w:val="00A671BC"/>
    <w:rsid w:val="00A70848"/>
    <w:rsid w:val="00A708A7"/>
    <w:rsid w:val="00A71163"/>
    <w:rsid w:val="00A711CC"/>
    <w:rsid w:val="00A71878"/>
    <w:rsid w:val="00A71B39"/>
    <w:rsid w:val="00A72C0D"/>
    <w:rsid w:val="00A73596"/>
    <w:rsid w:val="00A737E1"/>
    <w:rsid w:val="00A73C85"/>
    <w:rsid w:val="00A73D73"/>
    <w:rsid w:val="00A741CD"/>
    <w:rsid w:val="00A7490A"/>
    <w:rsid w:val="00A7530E"/>
    <w:rsid w:val="00A753EB"/>
    <w:rsid w:val="00A75565"/>
    <w:rsid w:val="00A75F80"/>
    <w:rsid w:val="00A75FA9"/>
    <w:rsid w:val="00A763C0"/>
    <w:rsid w:val="00A76664"/>
    <w:rsid w:val="00A767D0"/>
    <w:rsid w:val="00A76FCB"/>
    <w:rsid w:val="00A7789E"/>
    <w:rsid w:val="00A77D39"/>
    <w:rsid w:val="00A804CA"/>
    <w:rsid w:val="00A80943"/>
    <w:rsid w:val="00A8171F"/>
    <w:rsid w:val="00A81849"/>
    <w:rsid w:val="00A81874"/>
    <w:rsid w:val="00A81A64"/>
    <w:rsid w:val="00A82911"/>
    <w:rsid w:val="00A8388B"/>
    <w:rsid w:val="00A838C0"/>
    <w:rsid w:val="00A83999"/>
    <w:rsid w:val="00A83CBC"/>
    <w:rsid w:val="00A84067"/>
    <w:rsid w:val="00A8415A"/>
    <w:rsid w:val="00A84246"/>
    <w:rsid w:val="00A8433D"/>
    <w:rsid w:val="00A849B2"/>
    <w:rsid w:val="00A84A9B"/>
    <w:rsid w:val="00A84DAB"/>
    <w:rsid w:val="00A8516E"/>
    <w:rsid w:val="00A852F8"/>
    <w:rsid w:val="00A857A3"/>
    <w:rsid w:val="00A857C1"/>
    <w:rsid w:val="00A8593C"/>
    <w:rsid w:val="00A85BC8"/>
    <w:rsid w:val="00A8627E"/>
    <w:rsid w:val="00A862D0"/>
    <w:rsid w:val="00A8650F"/>
    <w:rsid w:val="00A86E1D"/>
    <w:rsid w:val="00A87422"/>
    <w:rsid w:val="00A87A41"/>
    <w:rsid w:val="00A87C82"/>
    <w:rsid w:val="00A903CD"/>
    <w:rsid w:val="00A909FF"/>
    <w:rsid w:val="00A90B0A"/>
    <w:rsid w:val="00A90E57"/>
    <w:rsid w:val="00A9132A"/>
    <w:rsid w:val="00A92297"/>
    <w:rsid w:val="00A92532"/>
    <w:rsid w:val="00A92AD6"/>
    <w:rsid w:val="00A92CEB"/>
    <w:rsid w:val="00A93096"/>
    <w:rsid w:val="00A9329F"/>
    <w:rsid w:val="00A934C7"/>
    <w:rsid w:val="00A934DA"/>
    <w:rsid w:val="00A93AD8"/>
    <w:rsid w:val="00A93FBC"/>
    <w:rsid w:val="00A9488C"/>
    <w:rsid w:val="00A9494A"/>
    <w:rsid w:val="00A94ACF"/>
    <w:rsid w:val="00A95143"/>
    <w:rsid w:val="00A95190"/>
    <w:rsid w:val="00A951D5"/>
    <w:rsid w:val="00A95C78"/>
    <w:rsid w:val="00A962FD"/>
    <w:rsid w:val="00A968E3"/>
    <w:rsid w:val="00A96D2B"/>
    <w:rsid w:val="00A971BF"/>
    <w:rsid w:val="00A9786F"/>
    <w:rsid w:val="00A97EFD"/>
    <w:rsid w:val="00AA030E"/>
    <w:rsid w:val="00AA077F"/>
    <w:rsid w:val="00AA0847"/>
    <w:rsid w:val="00AA0A4A"/>
    <w:rsid w:val="00AA1087"/>
    <w:rsid w:val="00AA1442"/>
    <w:rsid w:val="00AA15A1"/>
    <w:rsid w:val="00AA16AA"/>
    <w:rsid w:val="00AA182C"/>
    <w:rsid w:val="00AA191B"/>
    <w:rsid w:val="00AA198D"/>
    <w:rsid w:val="00AA21F8"/>
    <w:rsid w:val="00AA22D1"/>
    <w:rsid w:val="00AA2B58"/>
    <w:rsid w:val="00AA3141"/>
    <w:rsid w:val="00AA3A6C"/>
    <w:rsid w:val="00AA3CD0"/>
    <w:rsid w:val="00AA3E3C"/>
    <w:rsid w:val="00AA3E5A"/>
    <w:rsid w:val="00AA42A4"/>
    <w:rsid w:val="00AA47E8"/>
    <w:rsid w:val="00AA5191"/>
    <w:rsid w:val="00AA5272"/>
    <w:rsid w:val="00AA5E7D"/>
    <w:rsid w:val="00AA5F23"/>
    <w:rsid w:val="00AA6281"/>
    <w:rsid w:val="00AA65DD"/>
    <w:rsid w:val="00AA6A81"/>
    <w:rsid w:val="00AA7398"/>
    <w:rsid w:val="00AA7534"/>
    <w:rsid w:val="00AA7C98"/>
    <w:rsid w:val="00AB0933"/>
    <w:rsid w:val="00AB0EFC"/>
    <w:rsid w:val="00AB17F7"/>
    <w:rsid w:val="00AB1B29"/>
    <w:rsid w:val="00AB1CB1"/>
    <w:rsid w:val="00AB2226"/>
    <w:rsid w:val="00AB2A22"/>
    <w:rsid w:val="00AB2AC1"/>
    <w:rsid w:val="00AB2C82"/>
    <w:rsid w:val="00AB2CFB"/>
    <w:rsid w:val="00AB3EEF"/>
    <w:rsid w:val="00AB44C5"/>
    <w:rsid w:val="00AB4DEA"/>
    <w:rsid w:val="00AB516E"/>
    <w:rsid w:val="00AB5B17"/>
    <w:rsid w:val="00AB5B84"/>
    <w:rsid w:val="00AB6152"/>
    <w:rsid w:val="00AB67A7"/>
    <w:rsid w:val="00AB687B"/>
    <w:rsid w:val="00AB72A3"/>
    <w:rsid w:val="00AB732C"/>
    <w:rsid w:val="00AB767A"/>
    <w:rsid w:val="00AB7787"/>
    <w:rsid w:val="00AB7887"/>
    <w:rsid w:val="00AB7960"/>
    <w:rsid w:val="00AB7A8F"/>
    <w:rsid w:val="00AB7F20"/>
    <w:rsid w:val="00AC035F"/>
    <w:rsid w:val="00AC053B"/>
    <w:rsid w:val="00AC12CD"/>
    <w:rsid w:val="00AC1531"/>
    <w:rsid w:val="00AC1A53"/>
    <w:rsid w:val="00AC1A65"/>
    <w:rsid w:val="00AC24F2"/>
    <w:rsid w:val="00AC254A"/>
    <w:rsid w:val="00AC2E2A"/>
    <w:rsid w:val="00AC329A"/>
    <w:rsid w:val="00AC3DC7"/>
    <w:rsid w:val="00AC430C"/>
    <w:rsid w:val="00AC47CF"/>
    <w:rsid w:val="00AC4EA1"/>
    <w:rsid w:val="00AC4F67"/>
    <w:rsid w:val="00AC510F"/>
    <w:rsid w:val="00AC53BC"/>
    <w:rsid w:val="00AC5CAC"/>
    <w:rsid w:val="00AC63DD"/>
    <w:rsid w:val="00AC6562"/>
    <w:rsid w:val="00AC757A"/>
    <w:rsid w:val="00AC75A5"/>
    <w:rsid w:val="00AC75AD"/>
    <w:rsid w:val="00AC7B10"/>
    <w:rsid w:val="00AC7CA8"/>
    <w:rsid w:val="00AD0016"/>
    <w:rsid w:val="00AD01A2"/>
    <w:rsid w:val="00AD0E96"/>
    <w:rsid w:val="00AD1046"/>
    <w:rsid w:val="00AD177A"/>
    <w:rsid w:val="00AD1CE8"/>
    <w:rsid w:val="00AD1DAC"/>
    <w:rsid w:val="00AD219F"/>
    <w:rsid w:val="00AD297C"/>
    <w:rsid w:val="00AD3394"/>
    <w:rsid w:val="00AD374C"/>
    <w:rsid w:val="00AD3CCB"/>
    <w:rsid w:val="00AD3F2A"/>
    <w:rsid w:val="00AD3FE8"/>
    <w:rsid w:val="00AD49CC"/>
    <w:rsid w:val="00AD545A"/>
    <w:rsid w:val="00AD561E"/>
    <w:rsid w:val="00AD5757"/>
    <w:rsid w:val="00AD5F6C"/>
    <w:rsid w:val="00AD6652"/>
    <w:rsid w:val="00AD67FD"/>
    <w:rsid w:val="00AD6DFB"/>
    <w:rsid w:val="00AD7763"/>
    <w:rsid w:val="00AD7E75"/>
    <w:rsid w:val="00AE04DD"/>
    <w:rsid w:val="00AE0883"/>
    <w:rsid w:val="00AE0A08"/>
    <w:rsid w:val="00AE0D0D"/>
    <w:rsid w:val="00AE186C"/>
    <w:rsid w:val="00AE1E62"/>
    <w:rsid w:val="00AE2005"/>
    <w:rsid w:val="00AE22D1"/>
    <w:rsid w:val="00AE233A"/>
    <w:rsid w:val="00AE2E0C"/>
    <w:rsid w:val="00AE2F8A"/>
    <w:rsid w:val="00AE32D5"/>
    <w:rsid w:val="00AE355E"/>
    <w:rsid w:val="00AE3D65"/>
    <w:rsid w:val="00AE3EB3"/>
    <w:rsid w:val="00AE3F18"/>
    <w:rsid w:val="00AE4758"/>
    <w:rsid w:val="00AE4779"/>
    <w:rsid w:val="00AE479D"/>
    <w:rsid w:val="00AE4ED0"/>
    <w:rsid w:val="00AE51C2"/>
    <w:rsid w:val="00AE53A1"/>
    <w:rsid w:val="00AE5B14"/>
    <w:rsid w:val="00AE6108"/>
    <w:rsid w:val="00AE6179"/>
    <w:rsid w:val="00AE68A9"/>
    <w:rsid w:val="00AE7508"/>
    <w:rsid w:val="00AE7936"/>
    <w:rsid w:val="00AE7D93"/>
    <w:rsid w:val="00AE7E90"/>
    <w:rsid w:val="00AE7F41"/>
    <w:rsid w:val="00AE7FDF"/>
    <w:rsid w:val="00AF0EFF"/>
    <w:rsid w:val="00AF10C3"/>
    <w:rsid w:val="00AF17E9"/>
    <w:rsid w:val="00AF254B"/>
    <w:rsid w:val="00AF2797"/>
    <w:rsid w:val="00AF28C8"/>
    <w:rsid w:val="00AF2952"/>
    <w:rsid w:val="00AF29BA"/>
    <w:rsid w:val="00AF2A3C"/>
    <w:rsid w:val="00AF2A54"/>
    <w:rsid w:val="00AF2F60"/>
    <w:rsid w:val="00AF31EC"/>
    <w:rsid w:val="00AF391D"/>
    <w:rsid w:val="00AF398A"/>
    <w:rsid w:val="00AF3D4A"/>
    <w:rsid w:val="00AF42C2"/>
    <w:rsid w:val="00AF48CC"/>
    <w:rsid w:val="00AF4A87"/>
    <w:rsid w:val="00AF4F7B"/>
    <w:rsid w:val="00AF5150"/>
    <w:rsid w:val="00AF56A2"/>
    <w:rsid w:val="00AF592F"/>
    <w:rsid w:val="00AF5A1C"/>
    <w:rsid w:val="00AF5AD6"/>
    <w:rsid w:val="00AF5FCF"/>
    <w:rsid w:val="00AF6180"/>
    <w:rsid w:val="00AF6459"/>
    <w:rsid w:val="00AF6AC7"/>
    <w:rsid w:val="00AF6DCD"/>
    <w:rsid w:val="00AF6E19"/>
    <w:rsid w:val="00AF71A4"/>
    <w:rsid w:val="00AF7257"/>
    <w:rsid w:val="00AF7CB2"/>
    <w:rsid w:val="00AF7FCB"/>
    <w:rsid w:val="00B00187"/>
    <w:rsid w:val="00B0083F"/>
    <w:rsid w:val="00B00886"/>
    <w:rsid w:val="00B0092F"/>
    <w:rsid w:val="00B00EFE"/>
    <w:rsid w:val="00B01B53"/>
    <w:rsid w:val="00B02242"/>
    <w:rsid w:val="00B02257"/>
    <w:rsid w:val="00B024D5"/>
    <w:rsid w:val="00B0264D"/>
    <w:rsid w:val="00B027A2"/>
    <w:rsid w:val="00B02846"/>
    <w:rsid w:val="00B028E8"/>
    <w:rsid w:val="00B02D99"/>
    <w:rsid w:val="00B032E7"/>
    <w:rsid w:val="00B0345C"/>
    <w:rsid w:val="00B03523"/>
    <w:rsid w:val="00B03576"/>
    <w:rsid w:val="00B035EC"/>
    <w:rsid w:val="00B0374D"/>
    <w:rsid w:val="00B03901"/>
    <w:rsid w:val="00B03EEF"/>
    <w:rsid w:val="00B04182"/>
    <w:rsid w:val="00B0443C"/>
    <w:rsid w:val="00B04F4D"/>
    <w:rsid w:val="00B05256"/>
    <w:rsid w:val="00B054FB"/>
    <w:rsid w:val="00B05C29"/>
    <w:rsid w:val="00B05C4E"/>
    <w:rsid w:val="00B06AD5"/>
    <w:rsid w:val="00B06E2B"/>
    <w:rsid w:val="00B0725A"/>
    <w:rsid w:val="00B0737F"/>
    <w:rsid w:val="00B07387"/>
    <w:rsid w:val="00B07931"/>
    <w:rsid w:val="00B07F8E"/>
    <w:rsid w:val="00B1059B"/>
    <w:rsid w:val="00B10984"/>
    <w:rsid w:val="00B10BC6"/>
    <w:rsid w:val="00B1150F"/>
    <w:rsid w:val="00B1153E"/>
    <w:rsid w:val="00B1165F"/>
    <w:rsid w:val="00B11988"/>
    <w:rsid w:val="00B121B7"/>
    <w:rsid w:val="00B12628"/>
    <w:rsid w:val="00B1269D"/>
    <w:rsid w:val="00B1302D"/>
    <w:rsid w:val="00B1319B"/>
    <w:rsid w:val="00B13A94"/>
    <w:rsid w:val="00B13B51"/>
    <w:rsid w:val="00B1402E"/>
    <w:rsid w:val="00B14045"/>
    <w:rsid w:val="00B140C8"/>
    <w:rsid w:val="00B14766"/>
    <w:rsid w:val="00B15581"/>
    <w:rsid w:val="00B15E4A"/>
    <w:rsid w:val="00B16021"/>
    <w:rsid w:val="00B162F4"/>
    <w:rsid w:val="00B16ABA"/>
    <w:rsid w:val="00B16DFD"/>
    <w:rsid w:val="00B16E4D"/>
    <w:rsid w:val="00B17087"/>
    <w:rsid w:val="00B17291"/>
    <w:rsid w:val="00B173CB"/>
    <w:rsid w:val="00B17912"/>
    <w:rsid w:val="00B20937"/>
    <w:rsid w:val="00B22AC9"/>
    <w:rsid w:val="00B22BB7"/>
    <w:rsid w:val="00B22BCF"/>
    <w:rsid w:val="00B22DD2"/>
    <w:rsid w:val="00B2367E"/>
    <w:rsid w:val="00B237BE"/>
    <w:rsid w:val="00B2393B"/>
    <w:rsid w:val="00B242AE"/>
    <w:rsid w:val="00B24515"/>
    <w:rsid w:val="00B249CC"/>
    <w:rsid w:val="00B25464"/>
    <w:rsid w:val="00B259EE"/>
    <w:rsid w:val="00B25BD7"/>
    <w:rsid w:val="00B261ED"/>
    <w:rsid w:val="00B2658E"/>
    <w:rsid w:val="00B268E1"/>
    <w:rsid w:val="00B26EC2"/>
    <w:rsid w:val="00B26FFB"/>
    <w:rsid w:val="00B2716B"/>
    <w:rsid w:val="00B2777C"/>
    <w:rsid w:val="00B2781C"/>
    <w:rsid w:val="00B2789C"/>
    <w:rsid w:val="00B27A17"/>
    <w:rsid w:val="00B27DC3"/>
    <w:rsid w:val="00B301B6"/>
    <w:rsid w:val="00B31175"/>
    <w:rsid w:val="00B311D0"/>
    <w:rsid w:val="00B315C0"/>
    <w:rsid w:val="00B32292"/>
    <w:rsid w:val="00B3229A"/>
    <w:rsid w:val="00B32A77"/>
    <w:rsid w:val="00B32AF6"/>
    <w:rsid w:val="00B3379E"/>
    <w:rsid w:val="00B33BC9"/>
    <w:rsid w:val="00B33C46"/>
    <w:rsid w:val="00B34AB2"/>
    <w:rsid w:val="00B34AFA"/>
    <w:rsid w:val="00B35546"/>
    <w:rsid w:val="00B35915"/>
    <w:rsid w:val="00B36631"/>
    <w:rsid w:val="00B3679A"/>
    <w:rsid w:val="00B374FE"/>
    <w:rsid w:val="00B37569"/>
    <w:rsid w:val="00B3762D"/>
    <w:rsid w:val="00B37831"/>
    <w:rsid w:val="00B37AF8"/>
    <w:rsid w:val="00B37C73"/>
    <w:rsid w:val="00B40083"/>
    <w:rsid w:val="00B400EB"/>
    <w:rsid w:val="00B404A7"/>
    <w:rsid w:val="00B404F3"/>
    <w:rsid w:val="00B405A3"/>
    <w:rsid w:val="00B4071F"/>
    <w:rsid w:val="00B410CA"/>
    <w:rsid w:val="00B419FC"/>
    <w:rsid w:val="00B41A70"/>
    <w:rsid w:val="00B41AB8"/>
    <w:rsid w:val="00B41E91"/>
    <w:rsid w:val="00B4240F"/>
    <w:rsid w:val="00B42580"/>
    <w:rsid w:val="00B4279E"/>
    <w:rsid w:val="00B42BDE"/>
    <w:rsid w:val="00B43880"/>
    <w:rsid w:val="00B443E8"/>
    <w:rsid w:val="00B444D3"/>
    <w:rsid w:val="00B4465C"/>
    <w:rsid w:val="00B44786"/>
    <w:rsid w:val="00B44ED6"/>
    <w:rsid w:val="00B45318"/>
    <w:rsid w:val="00B45564"/>
    <w:rsid w:val="00B45AFA"/>
    <w:rsid w:val="00B45F40"/>
    <w:rsid w:val="00B460DC"/>
    <w:rsid w:val="00B46E5D"/>
    <w:rsid w:val="00B472FF"/>
    <w:rsid w:val="00B47B82"/>
    <w:rsid w:val="00B47B8D"/>
    <w:rsid w:val="00B47E7D"/>
    <w:rsid w:val="00B50039"/>
    <w:rsid w:val="00B507CA"/>
    <w:rsid w:val="00B509DD"/>
    <w:rsid w:val="00B513FF"/>
    <w:rsid w:val="00B51D44"/>
    <w:rsid w:val="00B520AB"/>
    <w:rsid w:val="00B5237A"/>
    <w:rsid w:val="00B52C30"/>
    <w:rsid w:val="00B532F5"/>
    <w:rsid w:val="00B5347E"/>
    <w:rsid w:val="00B53E51"/>
    <w:rsid w:val="00B540F2"/>
    <w:rsid w:val="00B5413A"/>
    <w:rsid w:val="00B541E1"/>
    <w:rsid w:val="00B54942"/>
    <w:rsid w:val="00B5536D"/>
    <w:rsid w:val="00B5681F"/>
    <w:rsid w:val="00B56E63"/>
    <w:rsid w:val="00B574B3"/>
    <w:rsid w:val="00B579A1"/>
    <w:rsid w:val="00B57B94"/>
    <w:rsid w:val="00B57C93"/>
    <w:rsid w:val="00B57CFE"/>
    <w:rsid w:val="00B600F2"/>
    <w:rsid w:val="00B612AC"/>
    <w:rsid w:val="00B61B35"/>
    <w:rsid w:val="00B61C60"/>
    <w:rsid w:val="00B62D8F"/>
    <w:rsid w:val="00B630B7"/>
    <w:rsid w:val="00B63503"/>
    <w:rsid w:val="00B63F0A"/>
    <w:rsid w:val="00B646E0"/>
    <w:rsid w:val="00B65210"/>
    <w:rsid w:val="00B653B0"/>
    <w:rsid w:val="00B657BA"/>
    <w:rsid w:val="00B657E9"/>
    <w:rsid w:val="00B65807"/>
    <w:rsid w:val="00B6585F"/>
    <w:rsid w:val="00B6617E"/>
    <w:rsid w:val="00B66469"/>
    <w:rsid w:val="00B66C7C"/>
    <w:rsid w:val="00B67098"/>
    <w:rsid w:val="00B67C94"/>
    <w:rsid w:val="00B7022D"/>
    <w:rsid w:val="00B7057A"/>
    <w:rsid w:val="00B70638"/>
    <w:rsid w:val="00B70A65"/>
    <w:rsid w:val="00B70ACB"/>
    <w:rsid w:val="00B70BE3"/>
    <w:rsid w:val="00B70C1D"/>
    <w:rsid w:val="00B70C84"/>
    <w:rsid w:val="00B71266"/>
    <w:rsid w:val="00B7160A"/>
    <w:rsid w:val="00B71921"/>
    <w:rsid w:val="00B723AD"/>
    <w:rsid w:val="00B72B2A"/>
    <w:rsid w:val="00B72E85"/>
    <w:rsid w:val="00B73BD7"/>
    <w:rsid w:val="00B73CB6"/>
    <w:rsid w:val="00B74794"/>
    <w:rsid w:val="00B74C6C"/>
    <w:rsid w:val="00B74E27"/>
    <w:rsid w:val="00B74EF2"/>
    <w:rsid w:val="00B7528B"/>
    <w:rsid w:val="00B75754"/>
    <w:rsid w:val="00B759E5"/>
    <w:rsid w:val="00B75C46"/>
    <w:rsid w:val="00B76E18"/>
    <w:rsid w:val="00B7774F"/>
    <w:rsid w:val="00B77E84"/>
    <w:rsid w:val="00B80116"/>
    <w:rsid w:val="00B8029D"/>
    <w:rsid w:val="00B80C4F"/>
    <w:rsid w:val="00B813FA"/>
    <w:rsid w:val="00B814A1"/>
    <w:rsid w:val="00B81658"/>
    <w:rsid w:val="00B81740"/>
    <w:rsid w:val="00B81EC3"/>
    <w:rsid w:val="00B82047"/>
    <w:rsid w:val="00B8238F"/>
    <w:rsid w:val="00B82517"/>
    <w:rsid w:val="00B82EEC"/>
    <w:rsid w:val="00B8313B"/>
    <w:rsid w:val="00B83CB1"/>
    <w:rsid w:val="00B83D39"/>
    <w:rsid w:val="00B84226"/>
    <w:rsid w:val="00B850AA"/>
    <w:rsid w:val="00B8591D"/>
    <w:rsid w:val="00B85AC4"/>
    <w:rsid w:val="00B865C0"/>
    <w:rsid w:val="00B86A06"/>
    <w:rsid w:val="00B86C0B"/>
    <w:rsid w:val="00B86D67"/>
    <w:rsid w:val="00B8707C"/>
    <w:rsid w:val="00B8724E"/>
    <w:rsid w:val="00B87548"/>
    <w:rsid w:val="00B87792"/>
    <w:rsid w:val="00B90B0A"/>
    <w:rsid w:val="00B925C2"/>
    <w:rsid w:val="00B9264D"/>
    <w:rsid w:val="00B92912"/>
    <w:rsid w:val="00B92D51"/>
    <w:rsid w:val="00B92F12"/>
    <w:rsid w:val="00B93A72"/>
    <w:rsid w:val="00B93A87"/>
    <w:rsid w:val="00B93B02"/>
    <w:rsid w:val="00B93CA9"/>
    <w:rsid w:val="00B94491"/>
    <w:rsid w:val="00B94C1A"/>
    <w:rsid w:val="00B9535C"/>
    <w:rsid w:val="00B95BA7"/>
    <w:rsid w:val="00B95BD2"/>
    <w:rsid w:val="00B95C75"/>
    <w:rsid w:val="00B96609"/>
    <w:rsid w:val="00B966F2"/>
    <w:rsid w:val="00B96D99"/>
    <w:rsid w:val="00B96DC2"/>
    <w:rsid w:val="00B9721F"/>
    <w:rsid w:val="00B9762A"/>
    <w:rsid w:val="00BA083E"/>
    <w:rsid w:val="00BA0CE9"/>
    <w:rsid w:val="00BA0D11"/>
    <w:rsid w:val="00BA0EEB"/>
    <w:rsid w:val="00BA1789"/>
    <w:rsid w:val="00BA1CA9"/>
    <w:rsid w:val="00BA1D6A"/>
    <w:rsid w:val="00BA219C"/>
    <w:rsid w:val="00BA23C6"/>
    <w:rsid w:val="00BA2BFA"/>
    <w:rsid w:val="00BA37C6"/>
    <w:rsid w:val="00BA395E"/>
    <w:rsid w:val="00BA3AE0"/>
    <w:rsid w:val="00BA3EB7"/>
    <w:rsid w:val="00BA3F4A"/>
    <w:rsid w:val="00BA44EC"/>
    <w:rsid w:val="00BA4B8B"/>
    <w:rsid w:val="00BA4BC6"/>
    <w:rsid w:val="00BA4C7F"/>
    <w:rsid w:val="00BA5E84"/>
    <w:rsid w:val="00BA6356"/>
    <w:rsid w:val="00BA6E3E"/>
    <w:rsid w:val="00BA6F85"/>
    <w:rsid w:val="00BA70A7"/>
    <w:rsid w:val="00BB051C"/>
    <w:rsid w:val="00BB0945"/>
    <w:rsid w:val="00BB09F8"/>
    <w:rsid w:val="00BB0B42"/>
    <w:rsid w:val="00BB0B5C"/>
    <w:rsid w:val="00BB0BA7"/>
    <w:rsid w:val="00BB0BC7"/>
    <w:rsid w:val="00BB10B4"/>
    <w:rsid w:val="00BB11BA"/>
    <w:rsid w:val="00BB11CB"/>
    <w:rsid w:val="00BB1D9F"/>
    <w:rsid w:val="00BB2328"/>
    <w:rsid w:val="00BB2F36"/>
    <w:rsid w:val="00BB30DF"/>
    <w:rsid w:val="00BB3150"/>
    <w:rsid w:val="00BB33FD"/>
    <w:rsid w:val="00BB3679"/>
    <w:rsid w:val="00BB3BD9"/>
    <w:rsid w:val="00BB3D6D"/>
    <w:rsid w:val="00BB3E54"/>
    <w:rsid w:val="00BB42ED"/>
    <w:rsid w:val="00BB48F9"/>
    <w:rsid w:val="00BB49DD"/>
    <w:rsid w:val="00BB4BF7"/>
    <w:rsid w:val="00BB5527"/>
    <w:rsid w:val="00BB55A5"/>
    <w:rsid w:val="00BB5B83"/>
    <w:rsid w:val="00BB5E5B"/>
    <w:rsid w:val="00BB600D"/>
    <w:rsid w:val="00BB6333"/>
    <w:rsid w:val="00BB6473"/>
    <w:rsid w:val="00BB6833"/>
    <w:rsid w:val="00BB6A9E"/>
    <w:rsid w:val="00BB6C32"/>
    <w:rsid w:val="00BB6CE4"/>
    <w:rsid w:val="00BB7521"/>
    <w:rsid w:val="00BB7839"/>
    <w:rsid w:val="00BB7BFB"/>
    <w:rsid w:val="00BB7DF5"/>
    <w:rsid w:val="00BC050E"/>
    <w:rsid w:val="00BC0713"/>
    <w:rsid w:val="00BC0874"/>
    <w:rsid w:val="00BC0AD1"/>
    <w:rsid w:val="00BC0B74"/>
    <w:rsid w:val="00BC0DA0"/>
    <w:rsid w:val="00BC0E9C"/>
    <w:rsid w:val="00BC0F96"/>
    <w:rsid w:val="00BC162D"/>
    <w:rsid w:val="00BC1637"/>
    <w:rsid w:val="00BC204F"/>
    <w:rsid w:val="00BC2371"/>
    <w:rsid w:val="00BC25A1"/>
    <w:rsid w:val="00BC271B"/>
    <w:rsid w:val="00BC27F4"/>
    <w:rsid w:val="00BC2810"/>
    <w:rsid w:val="00BC31BD"/>
    <w:rsid w:val="00BC33D9"/>
    <w:rsid w:val="00BC3A2A"/>
    <w:rsid w:val="00BC3AD9"/>
    <w:rsid w:val="00BC3EB0"/>
    <w:rsid w:val="00BC3F75"/>
    <w:rsid w:val="00BC4459"/>
    <w:rsid w:val="00BC4B47"/>
    <w:rsid w:val="00BC4F5D"/>
    <w:rsid w:val="00BC5A89"/>
    <w:rsid w:val="00BC5B26"/>
    <w:rsid w:val="00BC6884"/>
    <w:rsid w:val="00BC6971"/>
    <w:rsid w:val="00BC6FEB"/>
    <w:rsid w:val="00BC7B32"/>
    <w:rsid w:val="00BD0DF9"/>
    <w:rsid w:val="00BD0F5A"/>
    <w:rsid w:val="00BD1483"/>
    <w:rsid w:val="00BD1DF5"/>
    <w:rsid w:val="00BD1F97"/>
    <w:rsid w:val="00BD20DA"/>
    <w:rsid w:val="00BD2501"/>
    <w:rsid w:val="00BD2698"/>
    <w:rsid w:val="00BD2834"/>
    <w:rsid w:val="00BD2B55"/>
    <w:rsid w:val="00BD2CE4"/>
    <w:rsid w:val="00BD4061"/>
    <w:rsid w:val="00BD4439"/>
    <w:rsid w:val="00BD4631"/>
    <w:rsid w:val="00BD4C6B"/>
    <w:rsid w:val="00BD52B6"/>
    <w:rsid w:val="00BD5BF4"/>
    <w:rsid w:val="00BD5CDB"/>
    <w:rsid w:val="00BD6458"/>
    <w:rsid w:val="00BD655A"/>
    <w:rsid w:val="00BD6912"/>
    <w:rsid w:val="00BD69E0"/>
    <w:rsid w:val="00BD6F56"/>
    <w:rsid w:val="00BD7560"/>
    <w:rsid w:val="00BD762A"/>
    <w:rsid w:val="00BD7C6E"/>
    <w:rsid w:val="00BE01F1"/>
    <w:rsid w:val="00BE1A2F"/>
    <w:rsid w:val="00BE220D"/>
    <w:rsid w:val="00BE2377"/>
    <w:rsid w:val="00BE2624"/>
    <w:rsid w:val="00BE288C"/>
    <w:rsid w:val="00BE2D35"/>
    <w:rsid w:val="00BE31B9"/>
    <w:rsid w:val="00BE33CA"/>
    <w:rsid w:val="00BE3D2D"/>
    <w:rsid w:val="00BE4B87"/>
    <w:rsid w:val="00BE4DCD"/>
    <w:rsid w:val="00BE4F09"/>
    <w:rsid w:val="00BE4F1A"/>
    <w:rsid w:val="00BE50B3"/>
    <w:rsid w:val="00BE569C"/>
    <w:rsid w:val="00BE6584"/>
    <w:rsid w:val="00BE6667"/>
    <w:rsid w:val="00BE6ABE"/>
    <w:rsid w:val="00BE6E41"/>
    <w:rsid w:val="00BE7676"/>
    <w:rsid w:val="00BE77A5"/>
    <w:rsid w:val="00BE7C55"/>
    <w:rsid w:val="00BE7D03"/>
    <w:rsid w:val="00BF0144"/>
    <w:rsid w:val="00BF0759"/>
    <w:rsid w:val="00BF083A"/>
    <w:rsid w:val="00BF0F78"/>
    <w:rsid w:val="00BF189E"/>
    <w:rsid w:val="00BF1C4F"/>
    <w:rsid w:val="00BF21C5"/>
    <w:rsid w:val="00BF26AA"/>
    <w:rsid w:val="00BF287B"/>
    <w:rsid w:val="00BF29F7"/>
    <w:rsid w:val="00BF2BB2"/>
    <w:rsid w:val="00BF2D5C"/>
    <w:rsid w:val="00BF391B"/>
    <w:rsid w:val="00BF3B55"/>
    <w:rsid w:val="00BF3BA5"/>
    <w:rsid w:val="00BF46B7"/>
    <w:rsid w:val="00BF4C13"/>
    <w:rsid w:val="00BF4DD6"/>
    <w:rsid w:val="00BF4F86"/>
    <w:rsid w:val="00BF52A7"/>
    <w:rsid w:val="00BF56EB"/>
    <w:rsid w:val="00BF5800"/>
    <w:rsid w:val="00BF5DB9"/>
    <w:rsid w:val="00BF607C"/>
    <w:rsid w:val="00BF6441"/>
    <w:rsid w:val="00BF69FB"/>
    <w:rsid w:val="00BF6D2F"/>
    <w:rsid w:val="00BF6DAE"/>
    <w:rsid w:val="00BF7512"/>
    <w:rsid w:val="00C00496"/>
    <w:rsid w:val="00C00660"/>
    <w:rsid w:val="00C0149C"/>
    <w:rsid w:val="00C0171B"/>
    <w:rsid w:val="00C018DB"/>
    <w:rsid w:val="00C01913"/>
    <w:rsid w:val="00C01D09"/>
    <w:rsid w:val="00C01DA5"/>
    <w:rsid w:val="00C020C7"/>
    <w:rsid w:val="00C02555"/>
    <w:rsid w:val="00C027C6"/>
    <w:rsid w:val="00C02D23"/>
    <w:rsid w:val="00C02D6A"/>
    <w:rsid w:val="00C02ED7"/>
    <w:rsid w:val="00C02FF5"/>
    <w:rsid w:val="00C03706"/>
    <w:rsid w:val="00C039A1"/>
    <w:rsid w:val="00C03CE4"/>
    <w:rsid w:val="00C03E44"/>
    <w:rsid w:val="00C043A3"/>
    <w:rsid w:val="00C0455E"/>
    <w:rsid w:val="00C04666"/>
    <w:rsid w:val="00C0496F"/>
    <w:rsid w:val="00C04C7E"/>
    <w:rsid w:val="00C04DCB"/>
    <w:rsid w:val="00C04E17"/>
    <w:rsid w:val="00C05014"/>
    <w:rsid w:val="00C0521E"/>
    <w:rsid w:val="00C05533"/>
    <w:rsid w:val="00C055FE"/>
    <w:rsid w:val="00C05FA3"/>
    <w:rsid w:val="00C0652D"/>
    <w:rsid w:val="00C065B9"/>
    <w:rsid w:val="00C0699A"/>
    <w:rsid w:val="00C070FF"/>
    <w:rsid w:val="00C071C5"/>
    <w:rsid w:val="00C07232"/>
    <w:rsid w:val="00C076E6"/>
    <w:rsid w:val="00C076F2"/>
    <w:rsid w:val="00C078C7"/>
    <w:rsid w:val="00C079D0"/>
    <w:rsid w:val="00C104A2"/>
    <w:rsid w:val="00C10984"/>
    <w:rsid w:val="00C11383"/>
    <w:rsid w:val="00C117A6"/>
    <w:rsid w:val="00C118A6"/>
    <w:rsid w:val="00C119BE"/>
    <w:rsid w:val="00C11CCE"/>
    <w:rsid w:val="00C11D36"/>
    <w:rsid w:val="00C11EE9"/>
    <w:rsid w:val="00C1264C"/>
    <w:rsid w:val="00C12830"/>
    <w:rsid w:val="00C1350A"/>
    <w:rsid w:val="00C143C2"/>
    <w:rsid w:val="00C14C09"/>
    <w:rsid w:val="00C1584E"/>
    <w:rsid w:val="00C15ADF"/>
    <w:rsid w:val="00C16265"/>
    <w:rsid w:val="00C16548"/>
    <w:rsid w:val="00C1655A"/>
    <w:rsid w:val="00C16581"/>
    <w:rsid w:val="00C16C3D"/>
    <w:rsid w:val="00C171EB"/>
    <w:rsid w:val="00C172CB"/>
    <w:rsid w:val="00C17403"/>
    <w:rsid w:val="00C17732"/>
    <w:rsid w:val="00C17DDE"/>
    <w:rsid w:val="00C20254"/>
    <w:rsid w:val="00C209D5"/>
    <w:rsid w:val="00C214AC"/>
    <w:rsid w:val="00C217F0"/>
    <w:rsid w:val="00C21A18"/>
    <w:rsid w:val="00C21EFA"/>
    <w:rsid w:val="00C2246A"/>
    <w:rsid w:val="00C22AB8"/>
    <w:rsid w:val="00C22CF1"/>
    <w:rsid w:val="00C23472"/>
    <w:rsid w:val="00C238C6"/>
    <w:rsid w:val="00C23E9C"/>
    <w:rsid w:val="00C243AC"/>
    <w:rsid w:val="00C247FA"/>
    <w:rsid w:val="00C24937"/>
    <w:rsid w:val="00C24940"/>
    <w:rsid w:val="00C250D2"/>
    <w:rsid w:val="00C2525D"/>
    <w:rsid w:val="00C25B77"/>
    <w:rsid w:val="00C25BE0"/>
    <w:rsid w:val="00C25CBE"/>
    <w:rsid w:val="00C25D37"/>
    <w:rsid w:val="00C26082"/>
    <w:rsid w:val="00C264AA"/>
    <w:rsid w:val="00C27D7B"/>
    <w:rsid w:val="00C30121"/>
    <w:rsid w:val="00C30162"/>
    <w:rsid w:val="00C301C9"/>
    <w:rsid w:val="00C301DB"/>
    <w:rsid w:val="00C30579"/>
    <w:rsid w:val="00C30AFF"/>
    <w:rsid w:val="00C30B0A"/>
    <w:rsid w:val="00C30CBF"/>
    <w:rsid w:val="00C31898"/>
    <w:rsid w:val="00C31A8D"/>
    <w:rsid w:val="00C32287"/>
    <w:rsid w:val="00C32897"/>
    <w:rsid w:val="00C32B16"/>
    <w:rsid w:val="00C32B39"/>
    <w:rsid w:val="00C33A28"/>
    <w:rsid w:val="00C33DCE"/>
    <w:rsid w:val="00C343F6"/>
    <w:rsid w:val="00C34E5E"/>
    <w:rsid w:val="00C34F2D"/>
    <w:rsid w:val="00C350C0"/>
    <w:rsid w:val="00C35149"/>
    <w:rsid w:val="00C35533"/>
    <w:rsid w:val="00C362C8"/>
    <w:rsid w:val="00C36453"/>
    <w:rsid w:val="00C36908"/>
    <w:rsid w:val="00C36D4B"/>
    <w:rsid w:val="00C374FC"/>
    <w:rsid w:val="00C37757"/>
    <w:rsid w:val="00C4054B"/>
    <w:rsid w:val="00C40B60"/>
    <w:rsid w:val="00C40DDD"/>
    <w:rsid w:val="00C40E64"/>
    <w:rsid w:val="00C413E6"/>
    <w:rsid w:val="00C41AB7"/>
    <w:rsid w:val="00C41F14"/>
    <w:rsid w:val="00C421B6"/>
    <w:rsid w:val="00C422CF"/>
    <w:rsid w:val="00C42358"/>
    <w:rsid w:val="00C423A4"/>
    <w:rsid w:val="00C4242A"/>
    <w:rsid w:val="00C42F5C"/>
    <w:rsid w:val="00C4315E"/>
    <w:rsid w:val="00C433CE"/>
    <w:rsid w:val="00C44213"/>
    <w:rsid w:val="00C44549"/>
    <w:rsid w:val="00C44715"/>
    <w:rsid w:val="00C4471C"/>
    <w:rsid w:val="00C447FC"/>
    <w:rsid w:val="00C44817"/>
    <w:rsid w:val="00C448B3"/>
    <w:rsid w:val="00C448EB"/>
    <w:rsid w:val="00C44B86"/>
    <w:rsid w:val="00C450D7"/>
    <w:rsid w:val="00C4556B"/>
    <w:rsid w:val="00C457B5"/>
    <w:rsid w:val="00C45C15"/>
    <w:rsid w:val="00C45FB8"/>
    <w:rsid w:val="00C465BD"/>
    <w:rsid w:val="00C46AAD"/>
    <w:rsid w:val="00C470C2"/>
    <w:rsid w:val="00C47753"/>
    <w:rsid w:val="00C4789A"/>
    <w:rsid w:val="00C47921"/>
    <w:rsid w:val="00C47D3B"/>
    <w:rsid w:val="00C50B9D"/>
    <w:rsid w:val="00C51037"/>
    <w:rsid w:val="00C51E84"/>
    <w:rsid w:val="00C521D8"/>
    <w:rsid w:val="00C527A1"/>
    <w:rsid w:val="00C527BF"/>
    <w:rsid w:val="00C52D68"/>
    <w:rsid w:val="00C53474"/>
    <w:rsid w:val="00C53811"/>
    <w:rsid w:val="00C539CA"/>
    <w:rsid w:val="00C54153"/>
    <w:rsid w:val="00C551CC"/>
    <w:rsid w:val="00C55311"/>
    <w:rsid w:val="00C557DE"/>
    <w:rsid w:val="00C55B48"/>
    <w:rsid w:val="00C55ED0"/>
    <w:rsid w:val="00C56AF7"/>
    <w:rsid w:val="00C56CF0"/>
    <w:rsid w:val="00C57B08"/>
    <w:rsid w:val="00C6003B"/>
    <w:rsid w:val="00C60162"/>
    <w:rsid w:val="00C6026E"/>
    <w:rsid w:val="00C60404"/>
    <w:rsid w:val="00C6124C"/>
    <w:rsid w:val="00C61DF9"/>
    <w:rsid w:val="00C627B0"/>
    <w:rsid w:val="00C62A7E"/>
    <w:rsid w:val="00C62B5B"/>
    <w:rsid w:val="00C62DF2"/>
    <w:rsid w:val="00C62FFA"/>
    <w:rsid w:val="00C63F68"/>
    <w:rsid w:val="00C64241"/>
    <w:rsid w:val="00C6435F"/>
    <w:rsid w:val="00C644A8"/>
    <w:rsid w:val="00C646AD"/>
    <w:rsid w:val="00C64734"/>
    <w:rsid w:val="00C647CD"/>
    <w:rsid w:val="00C64CA8"/>
    <w:rsid w:val="00C64F58"/>
    <w:rsid w:val="00C65527"/>
    <w:rsid w:val="00C65742"/>
    <w:rsid w:val="00C6678E"/>
    <w:rsid w:val="00C66826"/>
    <w:rsid w:val="00C66935"/>
    <w:rsid w:val="00C6698D"/>
    <w:rsid w:val="00C66DBB"/>
    <w:rsid w:val="00C67134"/>
    <w:rsid w:val="00C675BA"/>
    <w:rsid w:val="00C677B0"/>
    <w:rsid w:val="00C678FA"/>
    <w:rsid w:val="00C679D8"/>
    <w:rsid w:val="00C67E42"/>
    <w:rsid w:val="00C67F74"/>
    <w:rsid w:val="00C7010A"/>
    <w:rsid w:val="00C70121"/>
    <w:rsid w:val="00C70266"/>
    <w:rsid w:val="00C706BB"/>
    <w:rsid w:val="00C7098F"/>
    <w:rsid w:val="00C70D62"/>
    <w:rsid w:val="00C70F86"/>
    <w:rsid w:val="00C7114C"/>
    <w:rsid w:val="00C714DF"/>
    <w:rsid w:val="00C71E7F"/>
    <w:rsid w:val="00C71EA0"/>
    <w:rsid w:val="00C71F0A"/>
    <w:rsid w:val="00C72137"/>
    <w:rsid w:val="00C7227D"/>
    <w:rsid w:val="00C723B2"/>
    <w:rsid w:val="00C7255E"/>
    <w:rsid w:val="00C72B9A"/>
    <w:rsid w:val="00C74126"/>
    <w:rsid w:val="00C7421C"/>
    <w:rsid w:val="00C743AB"/>
    <w:rsid w:val="00C74448"/>
    <w:rsid w:val="00C74CD4"/>
    <w:rsid w:val="00C75043"/>
    <w:rsid w:val="00C75730"/>
    <w:rsid w:val="00C75E56"/>
    <w:rsid w:val="00C75F6C"/>
    <w:rsid w:val="00C76A0E"/>
    <w:rsid w:val="00C76EC8"/>
    <w:rsid w:val="00C770A5"/>
    <w:rsid w:val="00C77161"/>
    <w:rsid w:val="00C77994"/>
    <w:rsid w:val="00C80BAF"/>
    <w:rsid w:val="00C80C34"/>
    <w:rsid w:val="00C80C38"/>
    <w:rsid w:val="00C810D4"/>
    <w:rsid w:val="00C81762"/>
    <w:rsid w:val="00C81793"/>
    <w:rsid w:val="00C81C16"/>
    <w:rsid w:val="00C8229D"/>
    <w:rsid w:val="00C82370"/>
    <w:rsid w:val="00C82481"/>
    <w:rsid w:val="00C825BC"/>
    <w:rsid w:val="00C82E95"/>
    <w:rsid w:val="00C82F49"/>
    <w:rsid w:val="00C84160"/>
    <w:rsid w:val="00C841D2"/>
    <w:rsid w:val="00C84A4A"/>
    <w:rsid w:val="00C84C96"/>
    <w:rsid w:val="00C86495"/>
    <w:rsid w:val="00C86763"/>
    <w:rsid w:val="00C86E06"/>
    <w:rsid w:val="00C86EE3"/>
    <w:rsid w:val="00C8789F"/>
    <w:rsid w:val="00C87A79"/>
    <w:rsid w:val="00C9006F"/>
    <w:rsid w:val="00C907E4"/>
    <w:rsid w:val="00C911E8"/>
    <w:rsid w:val="00C9142E"/>
    <w:rsid w:val="00C917DC"/>
    <w:rsid w:val="00C91846"/>
    <w:rsid w:val="00C92517"/>
    <w:rsid w:val="00C9258C"/>
    <w:rsid w:val="00C927D1"/>
    <w:rsid w:val="00C92AD8"/>
    <w:rsid w:val="00C92E8B"/>
    <w:rsid w:val="00C92F55"/>
    <w:rsid w:val="00C9354F"/>
    <w:rsid w:val="00C9379F"/>
    <w:rsid w:val="00C94102"/>
    <w:rsid w:val="00C94367"/>
    <w:rsid w:val="00C94531"/>
    <w:rsid w:val="00C947E7"/>
    <w:rsid w:val="00C94D42"/>
    <w:rsid w:val="00C94E11"/>
    <w:rsid w:val="00C9542D"/>
    <w:rsid w:val="00C96DBC"/>
    <w:rsid w:val="00C972A4"/>
    <w:rsid w:val="00C97C9D"/>
    <w:rsid w:val="00CA0C8F"/>
    <w:rsid w:val="00CA12CB"/>
    <w:rsid w:val="00CA12EC"/>
    <w:rsid w:val="00CA14EA"/>
    <w:rsid w:val="00CA15FB"/>
    <w:rsid w:val="00CA1BE7"/>
    <w:rsid w:val="00CA1C0D"/>
    <w:rsid w:val="00CA23EA"/>
    <w:rsid w:val="00CA263A"/>
    <w:rsid w:val="00CA2DC2"/>
    <w:rsid w:val="00CA2F87"/>
    <w:rsid w:val="00CA3152"/>
    <w:rsid w:val="00CA3B1B"/>
    <w:rsid w:val="00CA3BAB"/>
    <w:rsid w:val="00CA3BC1"/>
    <w:rsid w:val="00CA4044"/>
    <w:rsid w:val="00CA40CE"/>
    <w:rsid w:val="00CA4D17"/>
    <w:rsid w:val="00CA51CA"/>
    <w:rsid w:val="00CA542E"/>
    <w:rsid w:val="00CA55DB"/>
    <w:rsid w:val="00CA5A5A"/>
    <w:rsid w:val="00CA5E51"/>
    <w:rsid w:val="00CA6083"/>
    <w:rsid w:val="00CA665D"/>
    <w:rsid w:val="00CA683C"/>
    <w:rsid w:val="00CA692E"/>
    <w:rsid w:val="00CA711C"/>
    <w:rsid w:val="00CA72FD"/>
    <w:rsid w:val="00CA7511"/>
    <w:rsid w:val="00CB0AB2"/>
    <w:rsid w:val="00CB0B62"/>
    <w:rsid w:val="00CB0E68"/>
    <w:rsid w:val="00CB10C7"/>
    <w:rsid w:val="00CB14D6"/>
    <w:rsid w:val="00CB1AF3"/>
    <w:rsid w:val="00CB1BEB"/>
    <w:rsid w:val="00CB21C6"/>
    <w:rsid w:val="00CB2668"/>
    <w:rsid w:val="00CB2A0B"/>
    <w:rsid w:val="00CB2BC2"/>
    <w:rsid w:val="00CB3507"/>
    <w:rsid w:val="00CB37FB"/>
    <w:rsid w:val="00CB38CD"/>
    <w:rsid w:val="00CB3E2D"/>
    <w:rsid w:val="00CB3F5C"/>
    <w:rsid w:val="00CB4060"/>
    <w:rsid w:val="00CB4253"/>
    <w:rsid w:val="00CB5E71"/>
    <w:rsid w:val="00CB6D64"/>
    <w:rsid w:val="00CB704D"/>
    <w:rsid w:val="00CB7240"/>
    <w:rsid w:val="00CB7353"/>
    <w:rsid w:val="00CC029C"/>
    <w:rsid w:val="00CC1172"/>
    <w:rsid w:val="00CC217A"/>
    <w:rsid w:val="00CC2C53"/>
    <w:rsid w:val="00CC2C61"/>
    <w:rsid w:val="00CC2D78"/>
    <w:rsid w:val="00CC2EFF"/>
    <w:rsid w:val="00CC32A7"/>
    <w:rsid w:val="00CC3498"/>
    <w:rsid w:val="00CC36F2"/>
    <w:rsid w:val="00CC3781"/>
    <w:rsid w:val="00CC3922"/>
    <w:rsid w:val="00CC3C0E"/>
    <w:rsid w:val="00CC3EE2"/>
    <w:rsid w:val="00CC3F3E"/>
    <w:rsid w:val="00CC472D"/>
    <w:rsid w:val="00CC4F7B"/>
    <w:rsid w:val="00CC50E6"/>
    <w:rsid w:val="00CC639B"/>
    <w:rsid w:val="00CC6927"/>
    <w:rsid w:val="00CC6C42"/>
    <w:rsid w:val="00CC6DC6"/>
    <w:rsid w:val="00CC7881"/>
    <w:rsid w:val="00CC7AEB"/>
    <w:rsid w:val="00CC7C4B"/>
    <w:rsid w:val="00CC7E4B"/>
    <w:rsid w:val="00CD032B"/>
    <w:rsid w:val="00CD0A0B"/>
    <w:rsid w:val="00CD0D40"/>
    <w:rsid w:val="00CD14CB"/>
    <w:rsid w:val="00CD157A"/>
    <w:rsid w:val="00CD183E"/>
    <w:rsid w:val="00CD1F7A"/>
    <w:rsid w:val="00CD22AB"/>
    <w:rsid w:val="00CD2B97"/>
    <w:rsid w:val="00CD2C37"/>
    <w:rsid w:val="00CD2CAC"/>
    <w:rsid w:val="00CD2F53"/>
    <w:rsid w:val="00CD3591"/>
    <w:rsid w:val="00CD3676"/>
    <w:rsid w:val="00CD3D85"/>
    <w:rsid w:val="00CD3DDD"/>
    <w:rsid w:val="00CD3ECC"/>
    <w:rsid w:val="00CD43AD"/>
    <w:rsid w:val="00CD498F"/>
    <w:rsid w:val="00CD4AB8"/>
    <w:rsid w:val="00CD5BB9"/>
    <w:rsid w:val="00CD5BDC"/>
    <w:rsid w:val="00CD5DD7"/>
    <w:rsid w:val="00CD5EEA"/>
    <w:rsid w:val="00CD69A3"/>
    <w:rsid w:val="00CD6DBD"/>
    <w:rsid w:val="00CD7079"/>
    <w:rsid w:val="00CD7086"/>
    <w:rsid w:val="00CD7D27"/>
    <w:rsid w:val="00CE01A6"/>
    <w:rsid w:val="00CE08D6"/>
    <w:rsid w:val="00CE093F"/>
    <w:rsid w:val="00CE0D76"/>
    <w:rsid w:val="00CE1716"/>
    <w:rsid w:val="00CE18E8"/>
    <w:rsid w:val="00CE1E20"/>
    <w:rsid w:val="00CE22B7"/>
    <w:rsid w:val="00CE2BF1"/>
    <w:rsid w:val="00CE2BFE"/>
    <w:rsid w:val="00CE31C1"/>
    <w:rsid w:val="00CE3387"/>
    <w:rsid w:val="00CE3884"/>
    <w:rsid w:val="00CE3C5C"/>
    <w:rsid w:val="00CE43A9"/>
    <w:rsid w:val="00CE497B"/>
    <w:rsid w:val="00CE49DE"/>
    <w:rsid w:val="00CE4C3C"/>
    <w:rsid w:val="00CE4C58"/>
    <w:rsid w:val="00CE4C94"/>
    <w:rsid w:val="00CE5035"/>
    <w:rsid w:val="00CE50F8"/>
    <w:rsid w:val="00CE5217"/>
    <w:rsid w:val="00CE5801"/>
    <w:rsid w:val="00CE5C24"/>
    <w:rsid w:val="00CE5E6C"/>
    <w:rsid w:val="00CE62BB"/>
    <w:rsid w:val="00CE62C0"/>
    <w:rsid w:val="00CE6317"/>
    <w:rsid w:val="00CE72EB"/>
    <w:rsid w:val="00CE7771"/>
    <w:rsid w:val="00CE7C7B"/>
    <w:rsid w:val="00CF0300"/>
    <w:rsid w:val="00CF05A6"/>
    <w:rsid w:val="00CF0BCC"/>
    <w:rsid w:val="00CF10BC"/>
    <w:rsid w:val="00CF12FE"/>
    <w:rsid w:val="00CF17FD"/>
    <w:rsid w:val="00CF28F3"/>
    <w:rsid w:val="00CF296B"/>
    <w:rsid w:val="00CF2992"/>
    <w:rsid w:val="00CF3099"/>
    <w:rsid w:val="00CF3142"/>
    <w:rsid w:val="00CF39F9"/>
    <w:rsid w:val="00CF4126"/>
    <w:rsid w:val="00CF4938"/>
    <w:rsid w:val="00CF4AFF"/>
    <w:rsid w:val="00CF4E3A"/>
    <w:rsid w:val="00CF4EA6"/>
    <w:rsid w:val="00CF52F9"/>
    <w:rsid w:val="00CF54BB"/>
    <w:rsid w:val="00CF56CD"/>
    <w:rsid w:val="00CF59C7"/>
    <w:rsid w:val="00CF5DC3"/>
    <w:rsid w:val="00CF5ED2"/>
    <w:rsid w:val="00CF633B"/>
    <w:rsid w:val="00CF6B93"/>
    <w:rsid w:val="00CF6F77"/>
    <w:rsid w:val="00CF73C6"/>
    <w:rsid w:val="00D009A9"/>
    <w:rsid w:val="00D009FC"/>
    <w:rsid w:val="00D00FF9"/>
    <w:rsid w:val="00D012CD"/>
    <w:rsid w:val="00D019A4"/>
    <w:rsid w:val="00D0207E"/>
    <w:rsid w:val="00D02961"/>
    <w:rsid w:val="00D02ED0"/>
    <w:rsid w:val="00D02F02"/>
    <w:rsid w:val="00D03149"/>
    <w:rsid w:val="00D03152"/>
    <w:rsid w:val="00D03205"/>
    <w:rsid w:val="00D033EB"/>
    <w:rsid w:val="00D0416C"/>
    <w:rsid w:val="00D04224"/>
    <w:rsid w:val="00D046E8"/>
    <w:rsid w:val="00D04D95"/>
    <w:rsid w:val="00D04DE8"/>
    <w:rsid w:val="00D04F9C"/>
    <w:rsid w:val="00D05105"/>
    <w:rsid w:val="00D05957"/>
    <w:rsid w:val="00D05AA1"/>
    <w:rsid w:val="00D05AE0"/>
    <w:rsid w:val="00D063B4"/>
    <w:rsid w:val="00D0641F"/>
    <w:rsid w:val="00D06510"/>
    <w:rsid w:val="00D067AF"/>
    <w:rsid w:val="00D06A90"/>
    <w:rsid w:val="00D07DDC"/>
    <w:rsid w:val="00D07DF7"/>
    <w:rsid w:val="00D07F17"/>
    <w:rsid w:val="00D07FE7"/>
    <w:rsid w:val="00D105C7"/>
    <w:rsid w:val="00D11063"/>
    <w:rsid w:val="00D116E0"/>
    <w:rsid w:val="00D12145"/>
    <w:rsid w:val="00D12622"/>
    <w:rsid w:val="00D12B21"/>
    <w:rsid w:val="00D12BA8"/>
    <w:rsid w:val="00D12D21"/>
    <w:rsid w:val="00D132C4"/>
    <w:rsid w:val="00D137E4"/>
    <w:rsid w:val="00D1382B"/>
    <w:rsid w:val="00D13AF1"/>
    <w:rsid w:val="00D13D3E"/>
    <w:rsid w:val="00D13E94"/>
    <w:rsid w:val="00D1464A"/>
    <w:rsid w:val="00D149B7"/>
    <w:rsid w:val="00D14BBE"/>
    <w:rsid w:val="00D15258"/>
    <w:rsid w:val="00D1529B"/>
    <w:rsid w:val="00D15640"/>
    <w:rsid w:val="00D15BE9"/>
    <w:rsid w:val="00D15F44"/>
    <w:rsid w:val="00D160D1"/>
    <w:rsid w:val="00D16106"/>
    <w:rsid w:val="00D16608"/>
    <w:rsid w:val="00D16E45"/>
    <w:rsid w:val="00D1773A"/>
    <w:rsid w:val="00D178B8"/>
    <w:rsid w:val="00D17E95"/>
    <w:rsid w:val="00D211AC"/>
    <w:rsid w:val="00D213C0"/>
    <w:rsid w:val="00D2191F"/>
    <w:rsid w:val="00D21B5D"/>
    <w:rsid w:val="00D21E25"/>
    <w:rsid w:val="00D224F8"/>
    <w:rsid w:val="00D22904"/>
    <w:rsid w:val="00D22919"/>
    <w:rsid w:val="00D22972"/>
    <w:rsid w:val="00D22DA1"/>
    <w:rsid w:val="00D22DF0"/>
    <w:rsid w:val="00D23B1B"/>
    <w:rsid w:val="00D23BD5"/>
    <w:rsid w:val="00D23CB4"/>
    <w:rsid w:val="00D24A28"/>
    <w:rsid w:val="00D252CD"/>
    <w:rsid w:val="00D2554F"/>
    <w:rsid w:val="00D257BD"/>
    <w:rsid w:val="00D25FE0"/>
    <w:rsid w:val="00D2648D"/>
    <w:rsid w:val="00D265D8"/>
    <w:rsid w:val="00D26694"/>
    <w:rsid w:val="00D26781"/>
    <w:rsid w:val="00D26958"/>
    <w:rsid w:val="00D26C99"/>
    <w:rsid w:val="00D2741D"/>
    <w:rsid w:val="00D27819"/>
    <w:rsid w:val="00D2786F"/>
    <w:rsid w:val="00D27A6D"/>
    <w:rsid w:val="00D27E4B"/>
    <w:rsid w:val="00D30914"/>
    <w:rsid w:val="00D309C8"/>
    <w:rsid w:val="00D30C9B"/>
    <w:rsid w:val="00D30DCC"/>
    <w:rsid w:val="00D31400"/>
    <w:rsid w:val="00D3174D"/>
    <w:rsid w:val="00D31E24"/>
    <w:rsid w:val="00D32E82"/>
    <w:rsid w:val="00D3333D"/>
    <w:rsid w:val="00D341D0"/>
    <w:rsid w:val="00D3461B"/>
    <w:rsid w:val="00D34CAE"/>
    <w:rsid w:val="00D34D36"/>
    <w:rsid w:val="00D34F85"/>
    <w:rsid w:val="00D3525B"/>
    <w:rsid w:val="00D354D8"/>
    <w:rsid w:val="00D35B4F"/>
    <w:rsid w:val="00D36360"/>
    <w:rsid w:val="00D36723"/>
    <w:rsid w:val="00D36B92"/>
    <w:rsid w:val="00D36F8F"/>
    <w:rsid w:val="00D37A7B"/>
    <w:rsid w:val="00D403CC"/>
    <w:rsid w:val="00D409FB"/>
    <w:rsid w:val="00D40FDA"/>
    <w:rsid w:val="00D41510"/>
    <w:rsid w:val="00D41689"/>
    <w:rsid w:val="00D4214E"/>
    <w:rsid w:val="00D42332"/>
    <w:rsid w:val="00D423BA"/>
    <w:rsid w:val="00D42721"/>
    <w:rsid w:val="00D43315"/>
    <w:rsid w:val="00D436D9"/>
    <w:rsid w:val="00D439D1"/>
    <w:rsid w:val="00D43C14"/>
    <w:rsid w:val="00D44803"/>
    <w:rsid w:val="00D44EDA"/>
    <w:rsid w:val="00D457BA"/>
    <w:rsid w:val="00D45FF1"/>
    <w:rsid w:val="00D46F64"/>
    <w:rsid w:val="00D47406"/>
    <w:rsid w:val="00D4757B"/>
    <w:rsid w:val="00D4794B"/>
    <w:rsid w:val="00D47AD6"/>
    <w:rsid w:val="00D47ADE"/>
    <w:rsid w:val="00D47C6D"/>
    <w:rsid w:val="00D50007"/>
    <w:rsid w:val="00D50190"/>
    <w:rsid w:val="00D50444"/>
    <w:rsid w:val="00D50E3D"/>
    <w:rsid w:val="00D51641"/>
    <w:rsid w:val="00D51B3E"/>
    <w:rsid w:val="00D51BF0"/>
    <w:rsid w:val="00D52633"/>
    <w:rsid w:val="00D52C5E"/>
    <w:rsid w:val="00D53BB6"/>
    <w:rsid w:val="00D54161"/>
    <w:rsid w:val="00D54A1F"/>
    <w:rsid w:val="00D54E96"/>
    <w:rsid w:val="00D54EA9"/>
    <w:rsid w:val="00D551FA"/>
    <w:rsid w:val="00D5544B"/>
    <w:rsid w:val="00D55F64"/>
    <w:rsid w:val="00D5672C"/>
    <w:rsid w:val="00D56B9C"/>
    <w:rsid w:val="00D5704D"/>
    <w:rsid w:val="00D57631"/>
    <w:rsid w:val="00D57D96"/>
    <w:rsid w:val="00D57EB5"/>
    <w:rsid w:val="00D6047F"/>
    <w:rsid w:val="00D608ED"/>
    <w:rsid w:val="00D60B68"/>
    <w:rsid w:val="00D60EF6"/>
    <w:rsid w:val="00D61190"/>
    <w:rsid w:val="00D6183A"/>
    <w:rsid w:val="00D61CBF"/>
    <w:rsid w:val="00D6214B"/>
    <w:rsid w:val="00D62308"/>
    <w:rsid w:val="00D629EF"/>
    <w:rsid w:val="00D62A0F"/>
    <w:rsid w:val="00D62C6F"/>
    <w:rsid w:val="00D637D2"/>
    <w:rsid w:val="00D6433C"/>
    <w:rsid w:val="00D646B3"/>
    <w:rsid w:val="00D64A1C"/>
    <w:rsid w:val="00D64DD1"/>
    <w:rsid w:val="00D64FCD"/>
    <w:rsid w:val="00D6536F"/>
    <w:rsid w:val="00D65684"/>
    <w:rsid w:val="00D65BE4"/>
    <w:rsid w:val="00D65FB2"/>
    <w:rsid w:val="00D664D8"/>
    <w:rsid w:val="00D66A43"/>
    <w:rsid w:val="00D66E42"/>
    <w:rsid w:val="00D66FEA"/>
    <w:rsid w:val="00D67497"/>
    <w:rsid w:val="00D674ED"/>
    <w:rsid w:val="00D67555"/>
    <w:rsid w:val="00D6783C"/>
    <w:rsid w:val="00D67A52"/>
    <w:rsid w:val="00D702FD"/>
    <w:rsid w:val="00D70385"/>
    <w:rsid w:val="00D7072A"/>
    <w:rsid w:val="00D70E74"/>
    <w:rsid w:val="00D713E2"/>
    <w:rsid w:val="00D717EE"/>
    <w:rsid w:val="00D72356"/>
    <w:rsid w:val="00D72542"/>
    <w:rsid w:val="00D72999"/>
    <w:rsid w:val="00D729D4"/>
    <w:rsid w:val="00D72C75"/>
    <w:rsid w:val="00D72E88"/>
    <w:rsid w:val="00D737DF"/>
    <w:rsid w:val="00D738D6"/>
    <w:rsid w:val="00D73A37"/>
    <w:rsid w:val="00D74D81"/>
    <w:rsid w:val="00D74F0F"/>
    <w:rsid w:val="00D751D0"/>
    <w:rsid w:val="00D75230"/>
    <w:rsid w:val="00D75549"/>
    <w:rsid w:val="00D759EA"/>
    <w:rsid w:val="00D75F08"/>
    <w:rsid w:val="00D76EB3"/>
    <w:rsid w:val="00D77847"/>
    <w:rsid w:val="00D77CF7"/>
    <w:rsid w:val="00D80377"/>
    <w:rsid w:val="00D814C1"/>
    <w:rsid w:val="00D81FEE"/>
    <w:rsid w:val="00D8227C"/>
    <w:rsid w:val="00D82497"/>
    <w:rsid w:val="00D82888"/>
    <w:rsid w:val="00D82FE1"/>
    <w:rsid w:val="00D831A4"/>
    <w:rsid w:val="00D833CB"/>
    <w:rsid w:val="00D8375E"/>
    <w:rsid w:val="00D838AB"/>
    <w:rsid w:val="00D8416F"/>
    <w:rsid w:val="00D8445B"/>
    <w:rsid w:val="00D85715"/>
    <w:rsid w:val="00D8583A"/>
    <w:rsid w:val="00D85E54"/>
    <w:rsid w:val="00D86542"/>
    <w:rsid w:val="00D8669C"/>
    <w:rsid w:val="00D8682C"/>
    <w:rsid w:val="00D86944"/>
    <w:rsid w:val="00D86A29"/>
    <w:rsid w:val="00D875D7"/>
    <w:rsid w:val="00D878B4"/>
    <w:rsid w:val="00D903F6"/>
    <w:rsid w:val="00D90488"/>
    <w:rsid w:val="00D9095C"/>
    <w:rsid w:val="00D915A3"/>
    <w:rsid w:val="00D91D26"/>
    <w:rsid w:val="00D91E95"/>
    <w:rsid w:val="00D92015"/>
    <w:rsid w:val="00D9228A"/>
    <w:rsid w:val="00D927AA"/>
    <w:rsid w:val="00D927C8"/>
    <w:rsid w:val="00D92C9D"/>
    <w:rsid w:val="00D93223"/>
    <w:rsid w:val="00D93A43"/>
    <w:rsid w:val="00D93F17"/>
    <w:rsid w:val="00D9435D"/>
    <w:rsid w:val="00D9449E"/>
    <w:rsid w:val="00D944C6"/>
    <w:rsid w:val="00D94804"/>
    <w:rsid w:val="00D949B8"/>
    <w:rsid w:val="00D94C13"/>
    <w:rsid w:val="00D959CF"/>
    <w:rsid w:val="00D95C5F"/>
    <w:rsid w:val="00D96223"/>
    <w:rsid w:val="00D96879"/>
    <w:rsid w:val="00D97810"/>
    <w:rsid w:val="00DA2682"/>
    <w:rsid w:val="00DA28F3"/>
    <w:rsid w:val="00DA290A"/>
    <w:rsid w:val="00DA2EFF"/>
    <w:rsid w:val="00DA3F74"/>
    <w:rsid w:val="00DA49F4"/>
    <w:rsid w:val="00DA5048"/>
    <w:rsid w:val="00DA5EDF"/>
    <w:rsid w:val="00DA6589"/>
    <w:rsid w:val="00DA658F"/>
    <w:rsid w:val="00DA74C8"/>
    <w:rsid w:val="00DA7953"/>
    <w:rsid w:val="00DA7A13"/>
    <w:rsid w:val="00DA7A5E"/>
    <w:rsid w:val="00DB0A3A"/>
    <w:rsid w:val="00DB0A40"/>
    <w:rsid w:val="00DB10F4"/>
    <w:rsid w:val="00DB1210"/>
    <w:rsid w:val="00DB1443"/>
    <w:rsid w:val="00DB1526"/>
    <w:rsid w:val="00DB1882"/>
    <w:rsid w:val="00DB1C5F"/>
    <w:rsid w:val="00DB1CD3"/>
    <w:rsid w:val="00DB1EFF"/>
    <w:rsid w:val="00DB1FB6"/>
    <w:rsid w:val="00DB1FC1"/>
    <w:rsid w:val="00DB2169"/>
    <w:rsid w:val="00DB21B0"/>
    <w:rsid w:val="00DB24C5"/>
    <w:rsid w:val="00DB2D4D"/>
    <w:rsid w:val="00DB2F21"/>
    <w:rsid w:val="00DB399E"/>
    <w:rsid w:val="00DB3D21"/>
    <w:rsid w:val="00DB3FBE"/>
    <w:rsid w:val="00DB3FF2"/>
    <w:rsid w:val="00DB40C9"/>
    <w:rsid w:val="00DB4718"/>
    <w:rsid w:val="00DB4CA1"/>
    <w:rsid w:val="00DB4E44"/>
    <w:rsid w:val="00DB4E58"/>
    <w:rsid w:val="00DB567B"/>
    <w:rsid w:val="00DB57D3"/>
    <w:rsid w:val="00DB5A7E"/>
    <w:rsid w:val="00DB61E5"/>
    <w:rsid w:val="00DB6BE4"/>
    <w:rsid w:val="00DB6E93"/>
    <w:rsid w:val="00DB7041"/>
    <w:rsid w:val="00DB78CB"/>
    <w:rsid w:val="00DC095D"/>
    <w:rsid w:val="00DC0E20"/>
    <w:rsid w:val="00DC1995"/>
    <w:rsid w:val="00DC1B0F"/>
    <w:rsid w:val="00DC2344"/>
    <w:rsid w:val="00DC269F"/>
    <w:rsid w:val="00DC2D7C"/>
    <w:rsid w:val="00DC2DFD"/>
    <w:rsid w:val="00DC30B6"/>
    <w:rsid w:val="00DC346D"/>
    <w:rsid w:val="00DC3932"/>
    <w:rsid w:val="00DC3D25"/>
    <w:rsid w:val="00DC4045"/>
    <w:rsid w:val="00DC4300"/>
    <w:rsid w:val="00DC4507"/>
    <w:rsid w:val="00DC50CE"/>
    <w:rsid w:val="00DC50D7"/>
    <w:rsid w:val="00DC5166"/>
    <w:rsid w:val="00DC543A"/>
    <w:rsid w:val="00DC5588"/>
    <w:rsid w:val="00DC5AA3"/>
    <w:rsid w:val="00DC6C1B"/>
    <w:rsid w:val="00DC79AF"/>
    <w:rsid w:val="00DC7D8C"/>
    <w:rsid w:val="00DC7F23"/>
    <w:rsid w:val="00DD09A5"/>
    <w:rsid w:val="00DD0AD1"/>
    <w:rsid w:val="00DD0BED"/>
    <w:rsid w:val="00DD1FA8"/>
    <w:rsid w:val="00DD29C2"/>
    <w:rsid w:val="00DD2AEF"/>
    <w:rsid w:val="00DD3289"/>
    <w:rsid w:val="00DD33C6"/>
    <w:rsid w:val="00DD3535"/>
    <w:rsid w:val="00DD3ACA"/>
    <w:rsid w:val="00DD426D"/>
    <w:rsid w:val="00DD4271"/>
    <w:rsid w:val="00DD42B7"/>
    <w:rsid w:val="00DD4B8E"/>
    <w:rsid w:val="00DD4FAC"/>
    <w:rsid w:val="00DD5265"/>
    <w:rsid w:val="00DD66ED"/>
    <w:rsid w:val="00DD7FF4"/>
    <w:rsid w:val="00DE0C84"/>
    <w:rsid w:val="00DE106E"/>
    <w:rsid w:val="00DE11A5"/>
    <w:rsid w:val="00DE13FA"/>
    <w:rsid w:val="00DE1B01"/>
    <w:rsid w:val="00DE2D0E"/>
    <w:rsid w:val="00DE2DC4"/>
    <w:rsid w:val="00DE5199"/>
    <w:rsid w:val="00DE522A"/>
    <w:rsid w:val="00DE5609"/>
    <w:rsid w:val="00DE5DBF"/>
    <w:rsid w:val="00DE5E66"/>
    <w:rsid w:val="00DE5ED7"/>
    <w:rsid w:val="00DE724F"/>
    <w:rsid w:val="00DE7698"/>
    <w:rsid w:val="00DE7728"/>
    <w:rsid w:val="00DE7D11"/>
    <w:rsid w:val="00DE7E74"/>
    <w:rsid w:val="00DF0040"/>
    <w:rsid w:val="00DF0CCA"/>
    <w:rsid w:val="00DF0CE3"/>
    <w:rsid w:val="00DF0E41"/>
    <w:rsid w:val="00DF0F2B"/>
    <w:rsid w:val="00DF0FFB"/>
    <w:rsid w:val="00DF109B"/>
    <w:rsid w:val="00DF1577"/>
    <w:rsid w:val="00DF1D31"/>
    <w:rsid w:val="00DF1E7A"/>
    <w:rsid w:val="00DF242F"/>
    <w:rsid w:val="00DF27B1"/>
    <w:rsid w:val="00DF2914"/>
    <w:rsid w:val="00DF291C"/>
    <w:rsid w:val="00DF3067"/>
    <w:rsid w:val="00DF320A"/>
    <w:rsid w:val="00DF333A"/>
    <w:rsid w:val="00DF3416"/>
    <w:rsid w:val="00DF3F59"/>
    <w:rsid w:val="00DF4192"/>
    <w:rsid w:val="00DF4297"/>
    <w:rsid w:val="00DF470D"/>
    <w:rsid w:val="00DF4ACD"/>
    <w:rsid w:val="00DF4C76"/>
    <w:rsid w:val="00DF5332"/>
    <w:rsid w:val="00DF5CBF"/>
    <w:rsid w:val="00DF610B"/>
    <w:rsid w:val="00DF661A"/>
    <w:rsid w:val="00DF6714"/>
    <w:rsid w:val="00DF687C"/>
    <w:rsid w:val="00DF68F1"/>
    <w:rsid w:val="00DF7587"/>
    <w:rsid w:val="00DF7B54"/>
    <w:rsid w:val="00DF7C69"/>
    <w:rsid w:val="00E0017F"/>
    <w:rsid w:val="00E00715"/>
    <w:rsid w:val="00E00A94"/>
    <w:rsid w:val="00E00AF4"/>
    <w:rsid w:val="00E00FA4"/>
    <w:rsid w:val="00E0190C"/>
    <w:rsid w:val="00E01AE8"/>
    <w:rsid w:val="00E01EB3"/>
    <w:rsid w:val="00E01F98"/>
    <w:rsid w:val="00E01FFE"/>
    <w:rsid w:val="00E02799"/>
    <w:rsid w:val="00E03383"/>
    <w:rsid w:val="00E03710"/>
    <w:rsid w:val="00E03755"/>
    <w:rsid w:val="00E03F36"/>
    <w:rsid w:val="00E0439D"/>
    <w:rsid w:val="00E044BA"/>
    <w:rsid w:val="00E04AEF"/>
    <w:rsid w:val="00E04E29"/>
    <w:rsid w:val="00E05393"/>
    <w:rsid w:val="00E06288"/>
    <w:rsid w:val="00E06FF1"/>
    <w:rsid w:val="00E070FC"/>
    <w:rsid w:val="00E07B74"/>
    <w:rsid w:val="00E105BF"/>
    <w:rsid w:val="00E113C0"/>
    <w:rsid w:val="00E11F8B"/>
    <w:rsid w:val="00E120BE"/>
    <w:rsid w:val="00E126B0"/>
    <w:rsid w:val="00E12B74"/>
    <w:rsid w:val="00E12C8E"/>
    <w:rsid w:val="00E14657"/>
    <w:rsid w:val="00E14753"/>
    <w:rsid w:val="00E14E43"/>
    <w:rsid w:val="00E15146"/>
    <w:rsid w:val="00E15258"/>
    <w:rsid w:val="00E15596"/>
    <w:rsid w:val="00E15FCF"/>
    <w:rsid w:val="00E15FF6"/>
    <w:rsid w:val="00E16264"/>
    <w:rsid w:val="00E166E8"/>
    <w:rsid w:val="00E16BC8"/>
    <w:rsid w:val="00E16EFF"/>
    <w:rsid w:val="00E17803"/>
    <w:rsid w:val="00E207E2"/>
    <w:rsid w:val="00E207F1"/>
    <w:rsid w:val="00E216BA"/>
    <w:rsid w:val="00E21AF3"/>
    <w:rsid w:val="00E21DEC"/>
    <w:rsid w:val="00E22BFB"/>
    <w:rsid w:val="00E22C46"/>
    <w:rsid w:val="00E22E6F"/>
    <w:rsid w:val="00E22E88"/>
    <w:rsid w:val="00E22FA9"/>
    <w:rsid w:val="00E231D4"/>
    <w:rsid w:val="00E233C9"/>
    <w:rsid w:val="00E23DAD"/>
    <w:rsid w:val="00E244AF"/>
    <w:rsid w:val="00E2497C"/>
    <w:rsid w:val="00E24DA9"/>
    <w:rsid w:val="00E254CD"/>
    <w:rsid w:val="00E256D1"/>
    <w:rsid w:val="00E25B4C"/>
    <w:rsid w:val="00E25B52"/>
    <w:rsid w:val="00E25E54"/>
    <w:rsid w:val="00E26036"/>
    <w:rsid w:val="00E26602"/>
    <w:rsid w:val="00E266BC"/>
    <w:rsid w:val="00E26A8B"/>
    <w:rsid w:val="00E26B29"/>
    <w:rsid w:val="00E26D26"/>
    <w:rsid w:val="00E271AB"/>
    <w:rsid w:val="00E27298"/>
    <w:rsid w:val="00E27684"/>
    <w:rsid w:val="00E2773F"/>
    <w:rsid w:val="00E27934"/>
    <w:rsid w:val="00E30308"/>
    <w:rsid w:val="00E304F5"/>
    <w:rsid w:val="00E307AE"/>
    <w:rsid w:val="00E310AC"/>
    <w:rsid w:val="00E31168"/>
    <w:rsid w:val="00E3141F"/>
    <w:rsid w:val="00E31767"/>
    <w:rsid w:val="00E3248B"/>
    <w:rsid w:val="00E32CA2"/>
    <w:rsid w:val="00E33981"/>
    <w:rsid w:val="00E33AD6"/>
    <w:rsid w:val="00E33C3A"/>
    <w:rsid w:val="00E33FAA"/>
    <w:rsid w:val="00E34549"/>
    <w:rsid w:val="00E34CD8"/>
    <w:rsid w:val="00E34FDA"/>
    <w:rsid w:val="00E3564D"/>
    <w:rsid w:val="00E35AF0"/>
    <w:rsid w:val="00E360F6"/>
    <w:rsid w:val="00E36A72"/>
    <w:rsid w:val="00E36C98"/>
    <w:rsid w:val="00E36CA0"/>
    <w:rsid w:val="00E370A5"/>
    <w:rsid w:val="00E37118"/>
    <w:rsid w:val="00E3715C"/>
    <w:rsid w:val="00E371BF"/>
    <w:rsid w:val="00E373B0"/>
    <w:rsid w:val="00E37B59"/>
    <w:rsid w:val="00E37C51"/>
    <w:rsid w:val="00E37D06"/>
    <w:rsid w:val="00E37D5F"/>
    <w:rsid w:val="00E37E7A"/>
    <w:rsid w:val="00E403FE"/>
    <w:rsid w:val="00E40998"/>
    <w:rsid w:val="00E40F95"/>
    <w:rsid w:val="00E4193E"/>
    <w:rsid w:val="00E4199A"/>
    <w:rsid w:val="00E41BD7"/>
    <w:rsid w:val="00E41DB5"/>
    <w:rsid w:val="00E41DE2"/>
    <w:rsid w:val="00E41ED1"/>
    <w:rsid w:val="00E4214C"/>
    <w:rsid w:val="00E4242F"/>
    <w:rsid w:val="00E426D3"/>
    <w:rsid w:val="00E42739"/>
    <w:rsid w:val="00E429D9"/>
    <w:rsid w:val="00E42B82"/>
    <w:rsid w:val="00E43EA0"/>
    <w:rsid w:val="00E44317"/>
    <w:rsid w:val="00E444C7"/>
    <w:rsid w:val="00E447E4"/>
    <w:rsid w:val="00E44DD9"/>
    <w:rsid w:val="00E450CE"/>
    <w:rsid w:val="00E45255"/>
    <w:rsid w:val="00E4583C"/>
    <w:rsid w:val="00E45C2A"/>
    <w:rsid w:val="00E45DCF"/>
    <w:rsid w:val="00E45E09"/>
    <w:rsid w:val="00E465A8"/>
    <w:rsid w:val="00E46707"/>
    <w:rsid w:val="00E46D73"/>
    <w:rsid w:val="00E47445"/>
    <w:rsid w:val="00E47AB4"/>
    <w:rsid w:val="00E47E5F"/>
    <w:rsid w:val="00E5009B"/>
    <w:rsid w:val="00E50444"/>
    <w:rsid w:val="00E504CF"/>
    <w:rsid w:val="00E50BF4"/>
    <w:rsid w:val="00E50C50"/>
    <w:rsid w:val="00E50F98"/>
    <w:rsid w:val="00E51BA9"/>
    <w:rsid w:val="00E51C60"/>
    <w:rsid w:val="00E51CB2"/>
    <w:rsid w:val="00E52355"/>
    <w:rsid w:val="00E52454"/>
    <w:rsid w:val="00E52884"/>
    <w:rsid w:val="00E52947"/>
    <w:rsid w:val="00E529A8"/>
    <w:rsid w:val="00E5317C"/>
    <w:rsid w:val="00E536DC"/>
    <w:rsid w:val="00E53EDA"/>
    <w:rsid w:val="00E53FBA"/>
    <w:rsid w:val="00E540A0"/>
    <w:rsid w:val="00E54232"/>
    <w:rsid w:val="00E542B2"/>
    <w:rsid w:val="00E54BF6"/>
    <w:rsid w:val="00E54E04"/>
    <w:rsid w:val="00E5596F"/>
    <w:rsid w:val="00E56067"/>
    <w:rsid w:val="00E561EF"/>
    <w:rsid w:val="00E564D2"/>
    <w:rsid w:val="00E564D5"/>
    <w:rsid w:val="00E567C0"/>
    <w:rsid w:val="00E56CBF"/>
    <w:rsid w:val="00E56EFB"/>
    <w:rsid w:val="00E57442"/>
    <w:rsid w:val="00E577D4"/>
    <w:rsid w:val="00E57EF3"/>
    <w:rsid w:val="00E60371"/>
    <w:rsid w:val="00E607C0"/>
    <w:rsid w:val="00E60A61"/>
    <w:rsid w:val="00E60BFB"/>
    <w:rsid w:val="00E60D35"/>
    <w:rsid w:val="00E6101C"/>
    <w:rsid w:val="00E61B49"/>
    <w:rsid w:val="00E6224D"/>
    <w:rsid w:val="00E62257"/>
    <w:rsid w:val="00E62504"/>
    <w:rsid w:val="00E62FAF"/>
    <w:rsid w:val="00E631A9"/>
    <w:rsid w:val="00E6438B"/>
    <w:rsid w:val="00E647BA"/>
    <w:rsid w:val="00E6485C"/>
    <w:rsid w:val="00E64898"/>
    <w:rsid w:val="00E655A1"/>
    <w:rsid w:val="00E65D9C"/>
    <w:rsid w:val="00E663F8"/>
    <w:rsid w:val="00E6641B"/>
    <w:rsid w:val="00E66521"/>
    <w:rsid w:val="00E66EC2"/>
    <w:rsid w:val="00E67156"/>
    <w:rsid w:val="00E671EA"/>
    <w:rsid w:val="00E6741F"/>
    <w:rsid w:val="00E67626"/>
    <w:rsid w:val="00E67718"/>
    <w:rsid w:val="00E67BB4"/>
    <w:rsid w:val="00E67D41"/>
    <w:rsid w:val="00E7196C"/>
    <w:rsid w:val="00E72956"/>
    <w:rsid w:val="00E73025"/>
    <w:rsid w:val="00E7311A"/>
    <w:rsid w:val="00E73279"/>
    <w:rsid w:val="00E737B8"/>
    <w:rsid w:val="00E75927"/>
    <w:rsid w:val="00E75DF2"/>
    <w:rsid w:val="00E761A6"/>
    <w:rsid w:val="00E761B3"/>
    <w:rsid w:val="00E77767"/>
    <w:rsid w:val="00E77A21"/>
    <w:rsid w:val="00E80215"/>
    <w:rsid w:val="00E8030C"/>
    <w:rsid w:val="00E80C39"/>
    <w:rsid w:val="00E80C4E"/>
    <w:rsid w:val="00E81AEC"/>
    <w:rsid w:val="00E820C8"/>
    <w:rsid w:val="00E83C72"/>
    <w:rsid w:val="00E83F81"/>
    <w:rsid w:val="00E84315"/>
    <w:rsid w:val="00E8455C"/>
    <w:rsid w:val="00E84568"/>
    <w:rsid w:val="00E8484A"/>
    <w:rsid w:val="00E8492A"/>
    <w:rsid w:val="00E84F47"/>
    <w:rsid w:val="00E85132"/>
    <w:rsid w:val="00E851D1"/>
    <w:rsid w:val="00E854DD"/>
    <w:rsid w:val="00E856E9"/>
    <w:rsid w:val="00E85D82"/>
    <w:rsid w:val="00E85F66"/>
    <w:rsid w:val="00E8686F"/>
    <w:rsid w:val="00E86876"/>
    <w:rsid w:val="00E86A7A"/>
    <w:rsid w:val="00E86B82"/>
    <w:rsid w:val="00E86DBF"/>
    <w:rsid w:val="00E86E50"/>
    <w:rsid w:val="00E8712C"/>
    <w:rsid w:val="00E874AC"/>
    <w:rsid w:val="00E876C4"/>
    <w:rsid w:val="00E8782F"/>
    <w:rsid w:val="00E8794E"/>
    <w:rsid w:val="00E87961"/>
    <w:rsid w:val="00E87C7D"/>
    <w:rsid w:val="00E87DB3"/>
    <w:rsid w:val="00E90032"/>
    <w:rsid w:val="00E90FAD"/>
    <w:rsid w:val="00E91332"/>
    <w:rsid w:val="00E919D1"/>
    <w:rsid w:val="00E92854"/>
    <w:rsid w:val="00E929E6"/>
    <w:rsid w:val="00E92DD9"/>
    <w:rsid w:val="00E92E29"/>
    <w:rsid w:val="00E93B37"/>
    <w:rsid w:val="00E93EED"/>
    <w:rsid w:val="00E94479"/>
    <w:rsid w:val="00E947C6"/>
    <w:rsid w:val="00E95062"/>
    <w:rsid w:val="00E95145"/>
    <w:rsid w:val="00E952A4"/>
    <w:rsid w:val="00E96516"/>
    <w:rsid w:val="00E9673D"/>
    <w:rsid w:val="00E976F4"/>
    <w:rsid w:val="00E978B2"/>
    <w:rsid w:val="00EA11DC"/>
    <w:rsid w:val="00EA17F5"/>
    <w:rsid w:val="00EA231E"/>
    <w:rsid w:val="00EA264A"/>
    <w:rsid w:val="00EA29D8"/>
    <w:rsid w:val="00EA29DE"/>
    <w:rsid w:val="00EA2B81"/>
    <w:rsid w:val="00EA3329"/>
    <w:rsid w:val="00EA4A3A"/>
    <w:rsid w:val="00EA4D0C"/>
    <w:rsid w:val="00EA5256"/>
    <w:rsid w:val="00EA598D"/>
    <w:rsid w:val="00EA5D7A"/>
    <w:rsid w:val="00EA627A"/>
    <w:rsid w:val="00EA6CF3"/>
    <w:rsid w:val="00EA72B1"/>
    <w:rsid w:val="00EA74D4"/>
    <w:rsid w:val="00EB002F"/>
    <w:rsid w:val="00EB1219"/>
    <w:rsid w:val="00EB1220"/>
    <w:rsid w:val="00EB15B6"/>
    <w:rsid w:val="00EB188C"/>
    <w:rsid w:val="00EB1B06"/>
    <w:rsid w:val="00EB1D57"/>
    <w:rsid w:val="00EB2B6D"/>
    <w:rsid w:val="00EB3274"/>
    <w:rsid w:val="00EB35D8"/>
    <w:rsid w:val="00EB3861"/>
    <w:rsid w:val="00EB3934"/>
    <w:rsid w:val="00EB3AE8"/>
    <w:rsid w:val="00EB467A"/>
    <w:rsid w:val="00EB4E8E"/>
    <w:rsid w:val="00EB5889"/>
    <w:rsid w:val="00EB591A"/>
    <w:rsid w:val="00EB5D78"/>
    <w:rsid w:val="00EB6003"/>
    <w:rsid w:val="00EB6F64"/>
    <w:rsid w:val="00EB777D"/>
    <w:rsid w:val="00EB77CD"/>
    <w:rsid w:val="00EB7B45"/>
    <w:rsid w:val="00EB7BE7"/>
    <w:rsid w:val="00EC0130"/>
    <w:rsid w:val="00EC0239"/>
    <w:rsid w:val="00EC0295"/>
    <w:rsid w:val="00EC03A5"/>
    <w:rsid w:val="00EC083E"/>
    <w:rsid w:val="00EC0E40"/>
    <w:rsid w:val="00EC1C93"/>
    <w:rsid w:val="00EC21BB"/>
    <w:rsid w:val="00EC320B"/>
    <w:rsid w:val="00EC393A"/>
    <w:rsid w:val="00EC40F7"/>
    <w:rsid w:val="00EC46CB"/>
    <w:rsid w:val="00EC4C9A"/>
    <w:rsid w:val="00EC4F28"/>
    <w:rsid w:val="00EC5014"/>
    <w:rsid w:val="00EC501A"/>
    <w:rsid w:val="00EC5051"/>
    <w:rsid w:val="00EC56F4"/>
    <w:rsid w:val="00EC5815"/>
    <w:rsid w:val="00EC5C63"/>
    <w:rsid w:val="00EC5E27"/>
    <w:rsid w:val="00EC5F21"/>
    <w:rsid w:val="00EC680F"/>
    <w:rsid w:val="00EC768F"/>
    <w:rsid w:val="00EC7A5C"/>
    <w:rsid w:val="00EC7A90"/>
    <w:rsid w:val="00EC7ED9"/>
    <w:rsid w:val="00ED0D93"/>
    <w:rsid w:val="00ED12A5"/>
    <w:rsid w:val="00ED15AE"/>
    <w:rsid w:val="00ED15DE"/>
    <w:rsid w:val="00ED1F61"/>
    <w:rsid w:val="00ED23FD"/>
    <w:rsid w:val="00ED25E2"/>
    <w:rsid w:val="00ED2B8D"/>
    <w:rsid w:val="00ED2FF6"/>
    <w:rsid w:val="00ED3513"/>
    <w:rsid w:val="00ED36A8"/>
    <w:rsid w:val="00ED3716"/>
    <w:rsid w:val="00ED399F"/>
    <w:rsid w:val="00ED3E1D"/>
    <w:rsid w:val="00ED408F"/>
    <w:rsid w:val="00ED4106"/>
    <w:rsid w:val="00ED46A1"/>
    <w:rsid w:val="00ED5CBE"/>
    <w:rsid w:val="00ED5D31"/>
    <w:rsid w:val="00ED62C8"/>
    <w:rsid w:val="00ED6477"/>
    <w:rsid w:val="00ED690E"/>
    <w:rsid w:val="00ED69D6"/>
    <w:rsid w:val="00EE0ADF"/>
    <w:rsid w:val="00EE1705"/>
    <w:rsid w:val="00EE194F"/>
    <w:rsid w:val="00EE1986"/>
    <w:rsid w:val="00EE1E64"/>
    <w:rsid w:val="00EE20BC"/>
    <w:rsid w:val="00EE20F3"/>
    <w:rsid w:val="00EE2DEA"/>
    <w:rsid w:val="00EE355E"/>
    <w:rsid w:val="00EE3561"/>
    <w:rsid w:val="00EE38E6"/>
    <w:rsid w:val="00EE499B"/>
    <w:rsid w:val="00EE49DF"/>
    <w:rsid w:val="00EE4A17"/>
    <w:rsid w:val="00EE4BE8"/>
    <w:rsid w:val="00EE4C80"/>
    <w:rsid w:val="00EE50D8"/>
    <w:rsid w:val="00EE5280"/>
    <w:rsid w:val="00EE5C5D"/>
    <w:rsid w:val="00EE5EDD"/>
    <w:rsid w:val="00EE6128"/>
    <w:rsid w:val="00EE637A"/>
    <w:rsid w:val="00EE6BC0"/>
    <w:rsid w:val="00EE70D7"/>
    <w:rsid w:val="00EE7944"/>
    <w:rsid w:val="00EE7BC1"/>
    <w:rsid w:val="00EE7CE0"/>
    <w:rsid w:val="00EF013F"/>
    <w:rsid w:val="00EF0A70"/>
    <w:rsid w:val="00EF0DA3"/>
    <w:rsid w:val="00EF136F"/>
    <w:rsid w:val="00EF1630"/>
    <w:rsid w:val="00EF16FA"/>
    <w:rsid w:val="00EF193D"/>
    <w:rsid w:val="00EF1947"/>
    <w:rsid w:val="00EF197E"/>
    <w:rsid w:val="00EF1AFE"/>
    <w:rsid w:val="00EF1D48"/>
    <w:rsid w:val="00EF26EF"/>
    <w:rsid w:val="00EF2934"/>
    <w:rsid w:val="00EF2BC9"/>
    <w:rsid w:val="00EF2D3E"/>
    <w:rsid w:val="00EF3175"/>
    <w:rsid w:val="00EF3838"/>
    <w:rsid w:val="00EF38B4"/>
    <w:rsid w:val="00EF3F45"/>
    <w:rsid w:val="00EF43AB"/>
    <w:rsid w:val="00EF4973"/>
    <w:rsid w:val="00EF4B7D"/>
    <w:rsid w:val="00EF504C"/>
    <w:rsid w:val="00EF57B7"/>
    <w:rsid w:val="00EF5AC9"/>
    <w:rsid w:val="00EF5BAE"/>
    <w:rsid w:val="00EF6A45"/>
    <w:rsid w:val="00EF6A46"/>
    <w:rsid w:val="00EF6E97"/>
    <w:rsid w:val="00EF7102"/>
    <w:rsid w:val="00EF72B4"/>
    <w:rsid w:val="00EF7E92"/>
    <w:rsid w:val="00F00589"/>
    <w:rsid w:val="00F00847"/>
    <w:rsid w:val="00F008FD"/>
    <w:rsid w:val="00F0096C"/>
    <w:rsid w:val="00F011F0"/>
    <w:rsid w:val="00F011FD"/>
    <w:rsid w:val="00F01684"/>
    <w:rsid w:val="00F01C31"/>
    <w:rsid w:val="00F01D03"/>
    <w:rsid w:val="00F02128"/>
    <w:rsid w:val="00F025EC"/>
    <w:rsid w:val="00F0398B"/>
    <w:rsid w:val="00F040BA"/>
    <w:rsid w:val="00F04517"/>
    <w:rsid w:val="00F04591"/>
    <w:rsid w:val="00F05025"/>
    <w:rsid w:val="00F05C53"/>
    <w:rsid w:val="00F0605E"/>
    <w:rsid w:val="00F060F8"/>
    <w:rsid w:val="00F069F3"/>
    <w:rsid w:val="00F072D9"/>
    <w:rsid w:val="00F0787F"/>
    <w:rsid w:val="00F11028"/>
    <w:rsid w:val="00F11266"/>
    <w:rsid w:val="00F11377"/>
    <w:rsid w:val="00F11D9A"/>
    <w:rsid w:val="00F1211B"/>
    <w:rsid w:val="00F1435C"/>
    <w:rsid w:val="00F14A17"/>
    <w:rsid w:val="00F14F50"/>
    <w:rsid w:val="00F15198"/>
    <w:rsid w:val="00F153C2"/>
    <w:rsid w:val="00F15B3E"/>
    <w:rsid w:val="00F16719"/>
    <w:rsid w:val="00F16A00"/>
    <w:rsid w:val="00F16CCB"/>
    <w:rsid w:val="00F16D92"/>
    <w:rsid w:val="00F16F48"/>
    <w:rsid w:val="00F17160"/>
    <w:rsid w:val="00F17717"/>
    <w:rsid w:val="00F20AE3"/>
    <w:rsid w:val="00F222F3"/>
    <w:rsid w:val="00F22DF3"/>
    <w:rsid w:val="00F23909"/>
    <w:rsid w:val="00F23B8C"/>
    <w:rsid w:val="00F24147"/>
    <w:rsid w:val="00F24716"/>
    <w:rsid w:val="00F248F8"/>
    <w:rsid w:val="00F24E5E"/>
    <w:rsid w:val="00F250FF"/>
    <w:rsid w:val="00F2533C"/>
    <w:rsid w:val="00F254CA"/>
    <w:rsid w:val="00F25A5A"/>
    <w:rsid w:val="00F25B97"/>
    <w:rsid w:val="00F25C91"/>
    <w:rsid w:val="00F266D7"/>
    <w:rsid w:val="00F26BC0"/>
    <w:rsid w:val="00F26D83"/>
    <w:rsid w:val="00F26EA3"/>
    <w:rsid w:val="00F26FBF"/>
    <w:rsid w:val="00F276DF"/>
    <w:rsid w:val="00F27E9F"/>
    <w:rsid w:val="00F30285"/>
    <w:rsid w:val="00F30429"/>
    <w:rsid w:val="00F3054B"/>
    <w:rsid w:val="00F306A7"/>
    <w:rsid w:val="00F30AAE"/>
    <w:rsid w:val="00F30C32"/>
    <w:rsid w:val="00F3130E"/>
    <w:rsid w:val="00F317E6"/>
    <w:rsid w:val="00F31B22"/>
    <w:rsid w:val="00F32015"/>
    <w:rsid w:val="00F321FC"/>
    <w:rsid w:val="00F322A2"/>
    <w:rsid w:val="00F32A7D"/>
    <w:rsid w:val="00F338E4"/>
    <w:rsid w:val="00F33C66"/>
    <w:rsid w:val="00F33DCE"/>
    <w:rsid w:val="00F3419A"/>
    <w:rsid w:val="00F34882"/>
    <w:rsid w:val="00F34B96"/>
    <w:rsid w:val="00F35EC4"/>
    <w:rsid w:val="00F36185"/>
    <w:rsid w:val="00F368AA"/>
    <w:rsid w:val="00F36A35"/>
    <w:rsid w:val="00F36B7E"/>
    <w:rsid w:val="00F37511"/>
    <w:rsid w:val="00F37755"/>
    <w:rsid w:val="00F3786F"/>
    <w:rsid w:val="00F37970"/>
    <w:rsid w:val="00F37CC1"/>
    <w:rsid w:val="00F37DCE"/>
    <w:rsid w:val="00F400A8"/>
    <w:rsid w:val="00F40C83"/>
    <w:rsid w:val="00F40CB5"/>
    <w:rsid w:val="00F410BF"/>
    <w:rsid w:val="00F41B13"/>
    <w:rsid w:val="00F41C0A"/>
    <w:rsid w:val="00F41CDB"/>
    <w:rsid w:val="00F41D3E"/>
    <w:rsid w:val="00F41E96"/>
    <w:rsid w:val="00F420DA"/>
    <w:rsid w:val="00F4225D"/>
    <w:rsid w:val="00F42CB9"/>
    <w:rsid w:val="00F43A36"/>
    <w:rsid w:val="00F43B46"/>
    <w:rsid w:val="00F43F00"/>
    <w:rsid w:val="00F44063"/>
    <w:rsid w:val="00F442BA"/>
    <w:rsid w:val="00F44892"/>
    <w:rsid w:val="00F449B5"/>
    <w:rsid w:val="00F44A9D"/>
    <w:rsid w:val="00F44DD0"/>
    <w:rsid w:val="00F44E53"/>
    <w:rsid w:val="00F44F57"/>
    <w:rsid w:val="00F45375"/>
    <w:rsid w:val="00F45420"/>
    <w:rsid w:val="00F45911"/>
    <w:rsid w:val="00F45ACA"/>
    <w:rsid w:val="00F45F63"/>
    <w:rsid w:val="00F461CD"/>
    <w:rsid w:val="00F46DF7"/>
    <w:rsid w:val="00F47659"/>
    <w:rsid w:val="00F47B2A"/>
    <w:rsid w:val="00F504AA"/>
    <w:rsid w:val="00F5092B"/>
    <w:rsid w:val="00F50DCF"/>
    <w:rsid w:val="00F50ECC"/>
    <w:rsid w:val="00F50EFD"/>
    <w:rsid w:val="00F50F91"/>
    <w:rsid w:val="00F51088"/>
    <w:rsid w:val="00F512F4"/>
    <w:rsid w:val="00F517A0"/>
    <w:rsid w:val="00F52BD7"/>
    <w:rsid w:val="00F52C39"/>
    <w:rsid w:val="00F52C4A"/>
    <w:rsid w:val="00F530CC"/>
    <w:rsid w:val="00F53151"/>
    <w:rsid w:val="00F537BD"/>
    <w:rsid w:val="00F539B6"/>
    <w:rsid w:val="00F539D4"/>
    <w:rsid w:val="00F53D9B"/>
    <w:rsid w:val="00F53F76"/>
    <w:rsid w:val="00F540E8"/>
    <w:rsid w:val="00F54AAD"/>
    <w:rsid w:val="00F554A5"/>
    <w:rsid w:val="00F55E79"/>
    <w:rsid w:val="00F55F6E"/>
    <w:rsid w:val="00F561D4"/>
    <w:rsid w:val="00F56961"/>
    <w:rsid w:val="00F5726A"/>
    <w:rsid w:val="00F577B9"/>
    <w:rsid w:val="00F57F68"/>
    <w:rsid w:val="00F6021C"/>
    <w:rsid w:val="00F608C0"/>
    <w:rsid w:val="00F60982"/>
    <w:rsid w:val="00F60F3D"/>
    <w:rsid w:val="00F61417"/>
    <w:rsid w:val="00F61575"/>
    <w:rsid w:val="00F6181B"/>
    <w:rsid w:val="00F618CE"/>
    <w:rsid w:val="00F61A10"/>
    <w:rsid w:val="00F61A16"/>
    <w:rsid w:val="00F62E63"/>
    <w:rsid w:val="00F63695"/>
    <w:rsid w:val="00F64B25"/>
    <w:rsid w:val="00F6504F"/>
    <w:rsid w:val="00F650F1"/>
    <w:rsid w:val="00F651BE"/>
    <w:rsid w:val="00F6589E"/>
    <w:rsid w:val="00F66162"/>
    <w:rsid w:val="00F6647E"/>
    <w:rsid w:val="00F7001C"/>
    <w:rsid w:val="00F70427"/>
    <w:rsid w:val="00F7076A"/>
    <w:rsid w:val="00F708B8"/>
    <w:rsid w:val="00F70949"/>
    <w:rsid w:val="00F70AEF"/>
    <w:rsid w:val="00F7170D"/>
    <w:rsid w:val="00F71A5F"/>
    <w:rsid w:val="00F720AB"/>
    <w:rsid w:val="00F727BB"/>
    <w:rsid w:val="00F729E4"/>
    <w:rsid w:val="00F72C38"/>
    <w:rsid w:val="00F732FE"/>
    <w:rsid w:val="00F73424"/>
    <w:rsid w:val="00F73E8F"/>
    <w:rsid w:val="00F74288"/>
    <w:rsid w:val="00F74702"/>
    <w:rsid w:val="00F750C8"/>
    <w:rsid w:val="00F75759"/>
    <w:rsid w:val="00F75A2A"/>
    <w:rsid w:val="00F75FA3"/>
    <w:rsid w:val="00F762BB"/>
    <w:rsid w:val="00F766CE"/>
    <w:rsid w:val="00F76C58"/>
    <w:rsid w:val="00F77B3C"/>
    <w:rsid w:val="00F77EC0"/>
    <w:rsid w:val="00F77F74"/>
    <w:rsid w:val="00F8021F"/>
    <w:rsid w:val="00F802FF"/>
    <w:rsid w:val="00F80DDB"/>
    <w:rsid w:val="00F80E49"/>
    <w:rsid w:val="00F80E69"/>
    <w:rsid w:val="00F818A4"/>
    <w:rsid w:val="00F8195D"/>
    <w:rsid w:val="00F81A30"/>
    <w:rsid w:val="00F81CF9"/>
    <w:rsid w:val="00F821F8"/>
    <w:rsid w:val="00F8268F"/>
    <w:rsid w:val="00F82A7C"/>
    <w:rsid w:val="00F8304B"/>
    <w:rsid w:val="00F83056"/>
    <w:rsid w:val="00F83302"/>
    <w:rsid w:val="00F83562"/>
    <w:rsid w:val="00F835AD"/>
    <w:rsid w:val="00F836B5"/>
    <w:rsid w:val="00F8398C"/>
    <w:rsid w:val="00F83BA7"/>
    <w:rsid w:val="00F8431C"/>
    <w:rsid w:val="00F84340"/>
    <w:rsid w:val="00F845D9"/>
    <w:rsid w:val="00F847B2"/>
    <w:rsid w:val="00F847E0"/>
    <w:rsid w:val="00F84911"/>
    <w:rsid w:val="00F84915"/>
    <w:rsid w:val="00F84C4D"/>
    <w:rsid w:val="00F84D54"/>
    <w:rsid w:val="00F852DA"/>
    <w:rsid w:val="00F85521"/>
    <w:rsid w:val="00F8581C"/>
    <w:rsid w:val="00F858FF"/>
    <w:rsid w:val="00F85917"/>
    <w:rsid w:val="00F86389"/>
    <w:rsid w:val="00F8724B"/>
    <w:rsid w:val="00F87587"/>
    <w:rsid w:val="00F877CD"/>
    <w:rsid w:val="00F87C6F"/>
    <w:rsid w:val="00F9151C"/>
    <w:rsid w:val="00F91E9F"/>
    <w:rsid w:val="00F92A2E"/>
    <w:rsid w:val="00F93176"/>
    <w:rsid w:val="00F93519"/>
    <w:rsid w:val="00F93769"/>
    <w:rsid w:val="00F938F6"/>
    <w:rsid w:val="00F9397C"/>
    <w:rsid w:val="00F93A54"/>
    <w:rsid w:val="00F93B82"/>
    <w:rsid w:val="00F94432"/>
    <w:rsid w:val="00F94B63"/>
    <w:rsid w:val="00F95652"/>
    <w:rsid w:val="00F956E5"/>
    <w:rsid w:val="00F95C06"/>
    <w:rsid w:val="00F96003"/>
    <w:rsid w:val="00F96183"/>
    <w:rsid w:val="00F96365"/>
    <w:rsid w:val="00F9663B"/>
    <w:rsid w:val="00F966E8"/>
    <w:rsid w:val="00F96E26"/>
    <w:rsid w:val="00F97428"/>
    <w:rsid w:val="00F976DC"/>
    <w:rsid w:val="00FA002F"/>
    <w:rsid w:val="00FA0453"/>
    <w:rsid w:val="00FA0539"/>
    <w:rsid w:val="00FA119B"/>
    <w:rsid w:val="00FA1809"/>
    <w:rsid w:val="00FA1A74"/>
    <w:rsid w:val="00FA1BD9"/>
    <w:rsid w:val="00FA204B"/>
    <w:rsid w:val="00FA2498"/>
    <w:rsid w:val="00FA24BD"/>
    <w:rsid w:val="00FA2819"/>
    <w:rsid w:val="00FA2CC1"/>
    <w:rsid w:val="00FA2F77"/>
    <w:rsid w:val="00FA2F78"/>
    <w:rsid w:val="00FA314C"/>
    <w:rsid w:val="00FA33C1"/>
    <w:rsid w:val="00FA3A66"/>
    <w:rsid w:val="00FA4536"/>
    <w:rsid w:val="00FA46B0"/>
    <w:rsid w:val="00FA4A8B"/>
    <w:rsid w:val="00FA506A"/>
    <w:rsid w:val="00FA5252"/>
    <w:rsid w:val="00FA55B0"/>
    <w:rsid w:val="00FA58CE"/>
    <w:rsid w:val="00FA5C89"/>
    <w:rsid w:val="00FA657D"/>
    <w:rsid w:val="00FA6736"/>
    <w:rsid w:val="00FA7468"/>
    <w:rsid w:val="00FA74CA"/>
    <w:rsid w:val="00FA7C42"/>
    <w:rsid w:val="00FB04FC"/>
    <w:rsid w:val="00FB0525"/>
    <w:rsid w:val="00FB0A6E"/>
    <w:rsid w:val="00FB20EC"/>
    <w:rsid w:val="00FB212D"/>
    <w:rsid w:val="00FB21C8"/>
    <w:rsid w:val="00FB25FF"/>
    <w:rsid w:val="00FB2AEE"/>
    <w:rsid w:val="00FB2D24"/>
    <w:rsid w:val="00FB35A3"/>
    <w:rsid w:val="00FB3AF0"/>
    <w:rsid w:val="00FB3E78"/>
    <w:rsid w:val="00FB4938"/>
    <w:rsid w:val="00FB4ABB"/>
    <w:rsid w:val="00FB4B75"/>
    <w:rsid w:val="00FB5573"/>
    <w:rsid w:val="00FB5635"/>
    <w:rsid w:val="00FB577F"/>
    <w:rsid w:val="00FB6290"/>
    <w:rsid w:val="00FB66E8"/>
    <w:rsid w:val="00FB67C6"/>
    <w:rsid w:val="00FB6D19"/>
    <w:rsid w:val="00FB7343"/>
    <w:rsid w:val="00FB7379"/>
    <w:rsid w:val="00FB7A0E"/>
    <w:rsid w:val="00FB7C96"/>
    <w:rsid w:val="00FC0568"/>
    <w:rsid w:val="00FC06E8"/>
    <w:rsid w:val="00FC0DD2"/>
    <w:rsid w:val="00FC17D2"/>
    <w:rsid w:val="00FC1A17"/>
    <w:rsid w:val="00FC221B"/>
    <w:rsid w:val="00FC23B4"/>
    <w:rsid w:val="00FC24A2"/>
    <w:rsid w:val="00FC2919"/>
    <w:rsid w:val="00FC2AC1"/>
    <w:rsid w:val="00FC2DBE"/>
    <w:rsid w:val="00FC32F0"/>
    <w:rsid w:val="00FC4529"/>
    <w:rsid w:val="00FC4A40"/>
    <w:rsid w:val="00FC4E0D"/>
    <w:rsid w:val="00FC519B"/>
    <w:rsid w:val="00FC51E5"/>
    <w:rsid w:val="00FC5A93"/>
    <w:rsid w:val="00FC5B46"/>
    <w:rsid w:val="00FC5DD2"/>
    <w:rsid w:val="00FC6B5C"/>
    <w:rsid w:val="00FC775A"/>
    <w:rsid w:val="00FC7EE5"/>
    <w:rsid w:val="00FD036E"/>
    <w:rsid w:val="00FD04C3"/>
    <w:rsid w:val="00FD08FE"/>
    <w:rsid w:val="00FD0C13"/>
    <w:rsid w:val="00FD0DF0"/>
    <w:rsid w:val="00FD0E06"/>
    <w:rsid w:val="00FD0EB9"/>
    <w:rsid w:val="00FD1295"/>
    <w:rsid w:val="00FD12AA"/>
    <w:rsid w:val="00FD1306"/>
    <w:rsid w:val="00FD16D0"/>
    <w:rsid w:val="00FD17FA"/>
    <w:rsid w:val="00FD1A12"/>
    <w:rsid w:val="00FD22F1"/>
    <w:rsid w:val="00FD23A8"/>
    <w:rsid w:val="00FD2413"/>
    <w:rsid w:val="00FD256D"/>
    <w:rsid w:val="00FD2922"/>
    <w:rsid w:val="00FD2A78"/>
    <w:rsid w:val="00FD2A8D"/>
    <w:rsid w:val="00FD2B53"/>
    <w:rsid w:val="00FD3040"/>
    <w:rsid w:val="00FD308D"/>
    <w:rsid w:val="00FD3721"/>
    <w:rsid w:val="00FD3856"/>
    <w:rsid w:val="00FD3919"/>
    <w:rsid w:val="00FD396F"/>
    <w:rsid w:val="00FD39F3"/>
    <w:rsid w:val="00FD3DEA"/>
    <w:rsid w:val="00FD41CC"/>
    <w:rsid w:val="00FD44CC"/>
    <w:rsid w:val="00FD45A2"/>
    <w:rsid w:val="00FD48E6"/>
    <w:rsid w:val="00FD4AF5"/>
    <w:rsid w:val="00FD4DF8"/>
    <w:rsid w:val="00FD5112"/>
    <w:rsid w:val="00FD5259"/>
    <w:rsid w:val="00FD56C7"/>
    <w:rsid w:val="00FD57C8"/>
    <w:rsid w:val="00FD5885"/>
    <w:rsid w:val="00FD5A43"/>
    <w:rsid w:val="00FD5FCC"/>
    <w:rsid w:val="00FD6473"/>
    <w:rsid w:val="00FD6BC9"/>
    <w:rsid w:val="00FD6C70"/>
    <w:rsid w:val="00FD7C58"/>
    <w:rsid w:val="00FE0374"/>
    <w:rsid w:val="00FE088B"/>
    <w:rsid w:val="00FE0DB7"/>
    <w:rsid w:val="00FE0E59"/>
    <w:rsid w:val="00FE0FAD"/>
    <w:rsid w:val="00FE1043"/>
    <w:rsid w:val="00FE12D8"/>
    <w:rsid w:val="00FE2145"/>
    <w:rsid w:val="00FE2546"/>
    <w:rsid w:val="00FE2622"/>
    <w:rsid w:val="00FE27D2"/>
    <w:rsid w:val="00FE298C"/>
    <w:rsid w:val="00FE2C87"/>
    <w:rsid w:val="00FE2CEC"/>
    <w:rsid w:val="00FE2FDE"/>
    <w:rsid w:val="00FE37E2"/>
    <w:rsid w:val="00FE3975"/>
    <w:rsid w:val="00FE3A24"/>
    <w:rsid w:val="00FE40CA"/>
    <w:rsid w:val="00FE4A5D"/>
    <w:rsid w:val="00FE4D1A"/>
    <w:rsid w:val="00FE4E19"/>
    <w:rsid w:val="00FE5C78"/>
    <w:rsid w:val="00FE5FB0"/>
    <w:rsid w:val="00FE7056"/>
    <w:rsid w:val="00FE7C9F"/>
    <w:rsid w:val="00FF010C"/>
    <w:rsid w:val="00FF03B4"/>
    <w:rsid w:val="00FF0EDE"/>
    <w:rsid w:val="00FF164F"/>
    <w:rsid w:val="00FF1FDF"/>
    <w:rsid w:val="00FF222B"/>
    <w:rsid w:val="00FF29B6"/>
    <w:rsid w:val="00FF3078"/>
    <w:rsid w:val="00FF4C06"/>
    <w:rsid w:val="00FF50EE"/>
    <w:rsid w:val="00FF5395"/>
    <w:rsid w:val="00FF62F0"/>
    <w:rsid w:val="00FF65A9"/>
    <w:rsid w:val="00FF6879"/>
    <w:rsid w:val="00FF6BDD"/>
    <w:rsid w:val="00FF7E3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0d0ee,#b8e3f3,#9dc496,#e4ee81,#76ad6d,#d9e74f,#8093ba,#c8e980"/>
    </o:shapedefaults>
    <o:shapelayout v:ext="edit">
      <o:idmap v:ext="edit" data="1"/>
    </o:shapelayout>
  </w:shapeDefaults>
  <w:doNotEmbedSmartTags/>
  <w:decimalSymbol w:val=","/>
  <w:listSeparator w:val=";"/>
  <w14:docId w14:val="3441F859"/>
  <w15:docId w15:val="{CD617539-1742-439A-9A57-11F760575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w:hAnsi="Arial" w:cs="Times New Roman"/>
        <w:color w:val="000000" w:themeColor="text1"/>
        <w:sz w:val="24"/>
        <w:szCs w:val="24"/>
        <w:lang w:val="en-GB" w:eastAsia="en-GB"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1"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274F2"/>
    <w:pPr>
      <w:spacing w:before="120" w:after="120" w:line="240" w:lineRule="atLeast"/>
      <w:jc w:val="both"/>
    </w:pPr>
    <w:rPr>
      <w:sz w:val="20"/>
    </w:rPr>
  </w:style>
  <w:style w:type="paragraph" w:styleId="Heading1">
    <w:name w:val="heading 1"/>
    <w:next w:val="Normal"/>
    <w:link w:val="Heading1Char"/>
    <w:qFormat/>
    <w:rsid w:val="00844E57"/>
    <w:pPr>
      <w:pageBreakBefore/>
      <w:spacing w:after="600"/>
      <w:outlineLvl w:val="0"/>
    </w:pPr>
    <w:rPr>
      <w:rFonts w:ascii="Times New Roman" w:hAnsi="Times New Roman"/>
      <w:noProof/>
      <w:color w:val="002776"/>
      <w:kern w:val="32"/>
      <w:sz w:val="60"/>
      <w:szCs w:val="60"/>
      <w:lang w:val="fr-FR" w:eastAsia="en-US"/>
    </w:rPr>
  </w:style>
  <w:style w:type="paragraph" w:styleId="Heading2">
    <w:name w:val="heading 2"/>
    <w:next w:val="Normal"/>
    <w:link w:val="Heading2Char"/>
    <w:uiPriority w:val="1"/>
    <w:qFormat/>
    <w:rsid w:val="00F74288"/>
    <w:pPr>
      <w:keepNext/>
      <w:numPr>
        <w:numId w:val="21"/>
      </w:numPr>
      <w:tabs>
        <w:tab w:val="left" w:pos="851"/>
      </w:tabs>
      <w:spacing w:before="360" w:after="120"/>
      <w:outlineLvl w:val="1"/>
    </w:pPr>
    <w:rPr>
      <w:b/>
      <w:noProof/>
      <w:color w:val="00A1DE"/>
      <w:lang w:val="en-US" w:eastAsia="en-US"/>
    </w:rPr>
  </w:style>
  <w:style w:type="paragraph" w:styleId="Heading3">
    <w:name w:val="heading 3"/>
    <w:next w:val="Normal"/>
    <w:link w:val="Heading3Char"/>
    <w:qFormat/>
    <w:rsid w:val="001D32C1"/>
    <w:pPr>
      <w:keepNext/>
      <w:tabs>
        <w:tab w:val="left" w:pos="1418"/>
      </w:tabs>
      <w:spacing w:before="240" w:after="120"/>
      <w:outlineLvl w:val="2"/>
    </w:pPr>
    <w:rPr>
      <w:b/>
      <w:noProof/>
      <w:color w:val="92D400" w:themeColor="accent2"/>
      <w:sz w:val="22"/>
      <w:lang w:val="en-US" w:eastAsia="en-US"/>
    </w:rPr>
  </w:style>
  <w:style w:type="paragraph" w:styleId="Heading4">
    <w:name w:val="heading 4"/>
    <w:basedOn w:val="Heading3"/>
    <w:next w:val="Normal"/>
    <w:link w:val="Heading4Char"/>
    <w:qFormat/>
    <w:rsid w:val="008B4BA7"/>
    <w:pPr>
      <w:numPr>
        <w:ilvl w:val="3"/>
        <w:numId w:val="5"/>
      </w:numPr>
      <w:tabs>
        <w:tab w:val="clear" w:pos="1418"/>
        <w:tab w:val="left" w:pos="1560"/>
      </w:tabs>
      <w:outlineLvl w:val="3"/>
    </w:pPr>
    <w:rPr>
      <w:bCs/>
      <w:color w:val="auto"/>
      <w:sz w:val="20"/>
      <w:szCs w:val="28"/>
    </w:rPr>
  </w:style>
  <w:style w:type="paragraph" w:styleId="Heading5">
    <w:name w:val="heading 5"/>
    <w:basedOn w:val="Heading3"/>
    <w:next w:val="Normal"/>
    <w:qFormat/>
    <w:rsid w:val="00BA37C6"/>
    <w:pPr>
      <w:numPr>
        <w:ilvl w:val="4"/>
        <w:numId w:val="5"/>
      </w:numPr>
      <w:tabs>
        <w:tab w:val="clear" w:pos="1418"/>
        <w:tab w:val="left" w:pos="1843"/>
      </w:tabs>
      <w:outlineLvl w:val="4"/>
    </w:pPr>
    <w:rPr>
      <w:b w:val="0"/>
      <w:bCs/>
      <w:i/>
      <w:iCs/>
      <w:szCs w:val="26"/>
    </w:rPr>
  </w:style>
  <w:style w:type="paragraph" w:styleId="Heading6">
    <w:name w:val="heading 6"/>
    <w:basedOn w:val="Normal"/>
    <w:next w:val="Normal"/>
    <w:link w:val="Heading6Char"/>
    <w:uiPriority w:val="9"/>
    <w:unhideWhenUsed/>
    <w:rsid w:val="00956A29"/>
    <w:pPr>
      <w:keepNext/>
      <w:keepLines/>
      <w:spacing w:before="200" w:after="0"/>
      <w:outlineLvl w:val="5"/>
    </w:pPr>
    <w:rPr>
      <w:rFonts w:asciiTheme="majorHAnsi" w:eastAsiaTheme="majorEastAsia" w:hAnsiTheme="majorHAnsi" w:cstheme="majorBidi"/>
      <w:i/>
      <w:iCs/>
      <w:color w:val="00133A" w:themeColor="accent1" w:themeShade="7F"/>
    </w:rPr>
  </w:style>
  <w:style w:type="paragraph" w:styleId="Heading8">
    <w:name w:val="heading 8"/>
    <w:basedOn w:val="Normal"/>
    <w:next w:val="Normal"/>
    <w:link w:val="Heading8Char"/>
    <w:uiPriority w:val="9"/>
    <w:semiHidden/>
    <w:unhideWhenUsed/>
    <w:qFormat/>
    <w:rsid w:val="00163684"/>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4E57"/>
    <w:rPr>
      <w:rFonts w:ascii="Times New Roman" w:hAnsi="Times New Roman"/>
      <w:noProof/>
      <w:color w:val="002776"/>
      <w:kern w:val="32"/>
      <w:sz w:val="60"/>
      <w:szCs w:val="60"/>
      <w:lang w:val="fr-FR" w:eastAsia="en-US"/>
    </w:rPr>
  </w:style>
  <w:style w:type="character" w:customStyle="1" w:styleId="Heading2Char">
    <w:name w:val="Heading 2 Char"/>
    <w:basedOn w:val="DefaultParagraphFont"/>
    <w:link w:val="Heading2"/>
    <w:uiPriority w:val="1"/>
    <w:rsid w:val="00F74288"/>
    <w:rPr>
      <w:b/>
      <w:noProof/>
      <w:color w:val="00A1DE"/>
      <w:lang w:val="en-US" w:eastAsia="en-US"/>
    </w:rPr>
  </w:style>
  <w:style w:type="paragraph" w:styleId="BalloonText">
    <w:name w:val="Balloon Text"/>
    <w:basedOn w:val="Normal"/>
    <w:link w:val="BalloonTextChar"/>
    <w:uiPriority w:val="99"/>
    <w:semiHidden/>
    <w:unhideWhenUsed/>
    <w:rsid w:val="00ED410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06"/>
    <w:rPr>
      <w:rFonts w:ascii="Tahoma" w:hAnsi="Tahoma" w:cs="Tahoma"/>
      <w:color w:val="000000" w:themeColor="text1"/>
      <w:sz w:val="16"/>
      <w:szCs w:val="16"/>
      <w:lang w:val="fr-FR" w:eastAsia="en-US"/>
    </w:rPr>
  </w:style>
  <w:style w:type="character" w:styleId="Hyperlink">
    <w:name w:val="Hyperlink"/>
    <w:basedOn w:val="DefaultParagraphFont"/>
    <w:uiPriority w:val="99"/>
    <w:rsid w:val="009A5637"/>
    <w:rPr>
      <w:color w:val="0000FF"/>
      <w:u w:val="single"/>
    </w:rPr>
  </w:style>
  <w:style w:type="paragraph" w:styleId="Footer">
    <w:name w:val="footer"/>
    <w:basedOn w:val="Normal"/>
    <w:link w:val="FooterChar"/>
    <w:uiPriority w:val="99"/>
    <w:rsid w:val="0078432D"/>
    <w:pPr>
      <w:tabs>
        <w:tab w:val="left" w:pos="284"/>
        <w:tab w:val="left" w:pos="9356"/>
      </w:tabs>
      <w:spacing w:before="40" w:after="40" w:line="240" w:lineRule="auto"/>
    </w:pPr>
    <w:rPr>
      <w:b/>
      <w:sz w:val="16"/>
      <w:lang w:val="en-US"/>
    </w:rPr>
  </w:style>
  <w:style w:type="paragraph" w:customStyle="1" w:styleId="Bodycopy">
    <w:name w:val="Body copy"/>
    <w:basedOn w:val="Normal"/>
    <w:link w:val="BodycopyChar"/>
    <w:qFormat/>
    <w:rsid w:val="005B553A"/>
    <w:pPr>
      <w:spacing w:before="0" w:after="240" w:line="280" w:lineRule="exact"/>
      <w:jc w:val="left"/>
    </w:pPr>
  </w:style>
  <w:style w:type="paragraph" w:styleId="ListBullet">
    <w:name w:val="List Bullet"/>
    <w:basedOn w:val="Normal"/>
    <w:link w:val="ListBulletChar"/>
    <w:qFormat/>
    <w:rsid w:val="006A4E9F"/>
    <w:pPr>
      <w:numPr>
        <w:numId w:val="2"/>
      </w:numPr>
      <w:tabs>
        <w:tab w:val="left" w:pos="426"/>
      </w:tabs>
      <w:ind w:left="426"/>
    </w:pPr>
  </w:style>
  <w:style w:type="character" w:customStyle="1" w:styleId="ListBulletChar">
    <w:name w:val="List Bullet Char"/>
    <w:basedOn w:val="DefaultParagraphFont"/>
    <w:link w:val="ListBullet"/>
    <w:rsid w:val="006A4E9F"/>
    <w:rPr>
      <w:sz w:val="20"/>
    </w:rPr>
  </w:style>
  <w:style w:type="paragraph" w:styleId="ListBullet2">
    <w:name w:val="List Bullet 2"/>
    <w:basedOn w:val="ListBullet"/>
    <w:qFormat/>
    <w:rsid w:val="00ED4106"/>
    <w:pPr>
      <w:numPr>
        <w:ilvl w:val="1"/>
        <w:numId w:val="3"/>
      </w:numPr>
      <w:tabs>
        <w:tab w:val="left" w:pos="709"/>
      </w:tabs>
    </w:pPr>
  </w:style>
  <w:style w:type="character" w:customStyle="1" w:styleId="BodycopyChar">
    <w:name w:val="Body copy Char"/>
    <w:basedOn w:val="DefaultParagraphFont"/>
    <w:link w:val="Bodycopy"/>
    <w:rsid w:val="005B553A"/>
    <w:rPr>
      <w:rFonts w:ascii="Arial" w:hAnsi="Arial"/>
      <w:color w:val="000000" w:themeColor="text1"/>
      <w:lang w:val="fr-FR" w:eastAsia="en-US"/>
    </w:rPr>
  </w:style>
  <w:style w:type="table" w:styleId="TableGrid">
    <w:name w:val="Table Grid"/>
    <w:basedOn w:val="TableNormal"/>
    <w:uiPriority w:val="59"/>
    <w:rsid w:val="002E70CB"/>
    <w:pPr>
      <w:spacing w:before="120" w:after="120" w:line="240" w:lineRule="atLeast"/>
    </w:p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jc w:val="center"/>
    </w:trPr>
  </w:style>
  <w:style w:type="paragraph" w:customStyle="1" w:styleId="PulloutQuote">
    <w:name w:val="Pullout Quote"/>
    <w:rsid w:val="00C16C3D"/>
    <w:pPr>
      <w:pBdr>
        <w:top w:val="single" w:sz="4" w:space="4" w:color="00A1DE"/>
      </w:pBdr>
      <w:suppressAutoHyphens/>
      <w:spacing w:line="320" w:lineRule="exact"/>
    </w:pPr>
    <w:rPr>
      <w:rFonts w:ascii="Times New Roman" w:hAnsi="Times New Roman"/>
      <w:color w:val="00A1DE"/>
      <w:sz w:val="32"/>
      <w:lang w:eastAsia="en-US"/>
    </w:rPr>
  </w:style>
  <w:style w:type="paragraph" w:styleId="DocumentMap">
    <w:name w:val="Document Map"/>
    <w:basedOn w:val="Normal"/>
    <w:link w:val="DocumentMapChar"/>
    <w:uiPriority w:val="99"/>
    <w:semiHidden/>
    <w:unhideWhenUsed/>
    <w:rsid w:val="004254E0"/>
    <w:rPr>
      <w:rFonts w:ascii="Tahoma" w:hAnsi="Tahoma" w:cs="Tahoma"/>
      <w:sz w:val="16"/>
      <w:szCs w:val="16"/>
    </w:rPr>
  </w:style>
  <w:style w:type="character" w:customStyle="1" w:styleId="DocumentMapChar">
    <w:name w:val="Document Map Char"/>
    <w:basedOn w:val="DefaultParagraphFont"/>
    <w:link w:val="DocumentMap"/>
    <w:uiPriority w:val="99"/>
    <w:semiHidden/>
    <w:rsid w:val="004254E0"/>
    <w:rPr>
      <w:rFonts w:ascii="Tahoma" w:hAnsi="Tahoma" w:cs="Tahoma"/>
      <w:sz w:val="16"/>
      <w:szCs w:val="16"/>
      <w:lang w:eastAsia="en-US"/>
    </w:rPr>
  </w:style>
  <w:style w:type="paragraph" w:customStyle="1" w:styleId="CoverTitle">
    <w:name w:val="Cover Title"/>
    <w:basedOn w:val="Tableau-Normal"/>
    <w:link w:val="CoverTitleChar"/>
    <w:qFormat/>
    <w:rsid w:val="006A7B6A"/>
    <w:pPr>
      <w:ind w:left="3686"/>
      <w:jc w:val="left"/>
    </w:pPr>
    <w:rPr>
      <w:rFonts w:ascii="Times New Roman" w:hAnsi="Times New Roman"/>
      <w:color w:val="002776"/>
      <w:sz w:val="36"/>
      <w:lang w:val="en-US"/>
    </w:rPr>
  </w:style>
  <w:style w:type="paragraph" w:customStyle="1" w:styleId="CoverSub-title">
    <w:name w:val="Cover Sub-title"/>
    <w:basedOn w:val="Tableau-Normal"/>
    <w:link w:val="CoverSub-titleChar"/>
    <w:rsid w:val="006A7B6A"/>
    <w:pPr>
      <w:ind w:left="3686"/>
      <w:jc w:val="left"/>
    </w:pPr>
    <w:rPr>
      <w:rFonts w:ascii="Times New Roman" w:hAnsi="Times New Roman"/>
      <w:color w:val="92D400" w:themeColor="accent2"/>
      <w:sz w:val="36"/>
    </w:rPr>
  </w:style>
  <w:style w:type="character" w:customStyle="1" w:styleId="CoverTitleChar">
    <w:name w:val="Cover Title Char"/>
    <w:basedOn w:val="DefaultParagraphFont"/>
    <w:link w:val="CoverTitle"/>
    <w:rsid w:val="006A7B6A"/>
    <w:rPr>
      <w:rFonts w:ascii="Times New Roman" w:hAnsi="Times New Roman"/>
      <w:color w:val="002776"/>
      <w:sz w:val="36"/>
      <w:lang w:val="en-US"/>
    </w:rPr>
  </w:style>
  <w:style w:type="character" w:customStyle="1" w:styleId="CoverSub-titleChar">
    <w:name w:val="Cover Sub-title Char"/>
    <w:basedOn w:val="DefaultParagraphFont"/>
    <w:link w:val="CoverSub-title"/>
    <w:rsid w:val="006A7B6A"/>
    <w:rPr>
      <w:rFonts w:ascii="Times New Roman" w:hAnsi="Times New Roman"/>
      <w:color w:val="92D400" w:themeColor="accent2"/>
      <w:sz w:val="36"/>
    </w:rPr>
  </w:style>
  <w:style w:type="paragraph" w:styleId="TOC1">
    <w:name w:val="toc 1"/>
    <w:basedOn w:val="Normal"/>
    <w:next w:val="Normal"/>
    <w:autoRedefine/>
    <w:uiPriority w:val="39"/>
    <w:unhideWhenUsed/>
    <w:rsid w:val="00662B1F"/>
    <w:pPr>
      <w:tabs>
        <w:tab w:val="left" w:pos="284"/>
        <w:tab w:val="right" w:leader="underscore" w:pos="9356"/>
      </w:tabs>
      <w:spacing w:before="280" w:after="100"/>
      <w:ind w:right="275"/>
    </w:pPr>
    <w:rPr>
      <w:b/>
      <w:smallCaps/>
      <w:noProof/>
      <w:szCs w:val="18"/>
    </w:rPr>
  </w:style>
  <w:style w:type="paragraph" w:styleId="TOC2">
    <w:name w:val="toc 2"/>
    <w:basedOn w:val="Normal"/>
    <w:next w:val="Normal"/>
    <w:autoRedefine/>
    <w:uiPriority w:val="39"/>
    <w:unhideWhenUsed/>
    <w:rsid w:val="00662B1F"/>
    <w:pPr>
      <w:tabs>
        <w:tab w:val="left" w:pos="709"/>
        <w:tab w:val="right" w:leader="underscore" w:pos="9356"/>
      </w:tabs>
      <w:spacing w:after="20"/>
      <w:ind w:left="709" w:right="275" w:hanging="425"/>
      <w:contextualSpacing/>
    </w:pPr>
    <w:rPr>
      <w:b/>
      <w:noProof/>
      <w:sz w:val="18"/>
    </w:rPr>
  </w:style>
  <w:style w:type="paragraph" w:styleId="TOC3">
    <w:name w:val="toc 3"/>
    <w:basedOn w:val="Normal"/>
    <w:next w:val="Normal"/>
    <w:autoRedefine/>
    <w:uiPriority w:val="39"/>
    <w:unhideWhenUsed/>
    <w:rsid w:val="006341A4"/>
    <w:pPr>
      <w:tabs>
        <w:tab w:val="left" w:pos="1276"/>
        <w:tab w:val="right" w:leader="underscore" w:pos="9356"/>
      </w:tabs>
      <w:spacing w:before="60" w:after="20"/>
      <w:ind w:left="1276" w:right="272" w:hanging="567"/>
    </w:pPr>
    <w:rPr>
      <w:i/>
      <w:noProof/>
      <w:sz w:val="18"/>
    </w:rPr>
  </w:style>
  <w:style w:type="character" w:styleId="CommentReference">
    <w:name w:val="annotation reference"/>
    <w:basedOn w:val="DefaultParagraphFont"/>
    <w:uiPriority w:val="99"/>
    <w:semiHidden/>
    <w:unhideWhenUsed/>
    <w:rsid w:val="004415DC"/>
    <w:rPr>
      <w:sz w:val="16"/>
      <w:szCs w:val="16"/>
    </w:rPr>
  </w:style>
  <w:style w:type="paragraph" w:styleId="CommentSubject">
    <w:name w:val="annotation subject"/>
    <w:basedOn w:val="Normal"/>
    <w:link w:val="CommentSubjectChar"/>
    <w:uiPriority w:val="99"/>
    <w:unhideWhenUsed/>
    <w:rsid w:val="006728C5"/>
    <w:rPr>
      <w:b/>
      <w:bCs/>
    </w:rPr>
  </w:style>
  <w:style w:type="character" w:customStyle="1" w:styleId="CommentSubjectChar">
    <w:name w:val="Comment Subject Char"/>
    <w:basedOn w:val="DefaultParagraphFont"/>
    <w:link w:val="CommentSubject"/>
    <w:uiPriority w:val="99"/>
    <w:rsid w:val="006728C5"/>
    <w:rPr>
      <w:rFonts w:ascii="Arial" w:hAnsi="Arial"/>
      <w:b/>
      <w:bCs/>
      <w:color w:val="000000" w:themeColor="text1"/>
      <w:lang w:val="fr-FR" w:eastAsia="en-US"/>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caption for tables,figures"/>
    <w:basedOn w:val="Normal"/>
    <w:next w:val="Normal"/>
    <w:link w:val="CaptionChar"/>
    <w:uiPriority w:val="35"/>
    <w:unhideWhenUsed/>
    <w:qFormat/>
    <w:rsid w:val="00372A2C"/>
    <w:pPr>
      <w:keepNext/>
      <w:spacing w:line="240" w:lineRule="auto"/>
      <w:jc w:val="center"/>
    </w:pPr>
    <w:rPr>
      <w:b/>
      <w:bCs/>
      <w:color w:val="002776" w:themeColor="text2"/>
      <w:szCs w:val="18"/>
    </w:rPr>
  </w:style>
  <w:style w:type="character" w:customStyle="1" w:styleId="FooterChar">
    <w:name w:val="Footer Char"/>
    <w:basedOn w:val="DefaultParagraphFont"/>
    <w:link w:val="Footer"/>
    <w:uiPriority w:val="99"/>
    <w:rsid w:val="0078432D"/>
    <w:rPr>
      <w:rFonts w:ascii="Arial" w:hAnsi="Arial"/>
      <w:b/>
      <w:color w:val="000000" w:themeColor="text1"/>
      <w:sz w:val="16"/>
      <w:lang w:val="en-US" w:eastAsia="en-US"/>
    </w:rPr>
  </w:style>
  <w:style w:type="paragraph" w:styleId="ListParagraph">
    <w:name w:val="List Paragraph"/>
    <w:aliases w:val="Listes,Resume Title,Citation List,Ha,List Paragraph1,Body,List Paragraph_Table bullets,heading 4,Graphic,1st level - Bullet List Paragraph,Lettre d'introduction,Paragrafo elenco,Bullet list,C-Change,Heading 41,Bullet List Paragraph"/>
    <w:basedOn w:val="Normal"/>
    <w:link w:val="ListParagraphChar"/>
    <w:uiPriority w:val="34"/>
    <w:qFormat/>
    <w:rsid w:val="00AA3E5A"/>
    <w:pPr>
      <w:ind w:left="720"/>
      <w:contextualSpacing/>
    </w:pPr>
  </w:style>
  <w:style w:type="paragraph" w:customStyle="1" w:styleId="Tableau-Puceverte">
    <w:name w:val="Tableau - Puce verte"/>
    <w:basedOn w:val="ListBullet"/>
    <w:link w:val="Tableau-PuceverteCar"/>
    <w:qFormat/>
    <w:rsid w:val="003F70E4"/>
    <w:pPr>
      <w:numPr>
        <w:numId w:val="1"/>
      </w:numPr>
      <w:tabs>
        <w:tab w:val="clear" w:pos="426"/>
        <w:tab w:val="left" w:pos="341"/>
      </w:tabs>
      <w:spacing w:before="60" w:after="60" w:line="240" w:lineRule="auto"/>
    </w:pPr>
    <w:rPr>
      <w:rFonts w:eastAsia="SimSun" w:cs="Arial"/>
      <w:color w:val="auto"/>
      <w:szCs w:val="18"/>
      <w:lang w:eastAsia="fr-FR"/>
    </w:rPr>
  </w:style>
  <w:style w:type="paragraph" w:styleId="Revision">
    <w:name w:val="Revision"/>
    <w:hidden/>
    <w:uiPriority w:val="99"/>
    <w:semiHidden/>
    <w:rsid w:val="00254553"/>
    <w:rPr>
      <w:lang w:val="fr-FR" w:eastAsia="en-US"/>
    </w:rPr>
  </w:style>
  <w:style w:type="numbering" w:customStyle="1" w:styleId="Style21">
    <w:name w:val="Style21"/>
    <w:rsid w:val="00621430"/>
  </w:style>
  <w:style w:type="paragraph" w:styleId="FootnoteText">
    <w:name w:val="footnote text"/>
    <w:aliases w:val="Footnote text,Reference,Fußnote,Footnote Text Char Char,Footnote Text Char Char Char Char,Footnote Text1,Footnote Text Char Char Char,DNV-FT,Fu§notentext Char,Fu§notentext Char1 Char1,Fu§notentext Char Char Char Char,RSK-FT,RSK-FT1"/>
    <w:basedOn w:val="Normal"/>
    <w:link w:val="FootnoteTextChar"/>
    <w:uiPriority w:val="99"/>
    <w:unhideWhenUsed/>
    <w:qFormat/>
    <w:rsid w:val="00A3166D"/>
    <w:pPr>
      <w:spacing w:before="20" w:after="20" w:line="240" w:lineRule="auto"/>
    </w:pPr>
    <w:rPr>
      <w:sz w:val="16"/>
    </w:rPr>
  </w:style>
  <w:style w:type="character" w:customStyle="1" w:styleId="FootnoteTextChar">
    <w:name w:val="Footnote Text Char"/>
    <w:aliases w:val="Footnote text Char1,Reference Char1,Fußnote Char1,Footnote Text Char Char Char2,Footnote Text Char Char Char Char Char1,Footnote Text1 Char1,Footnote Text Char Char Char Char2,DNV-FT Char,Fu§notentext Char Char,RSK-FT Char"/>
    <w:basedOn w:val="DefaultParagraphFont"/>
    <w:link w:val="FootnoteText"/>
    <w:uiPriority w:val="99"/>
    <w:rsid w:val="00A3166D"/>
    <w:rPr>
      <w:sz w:val="16"/>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
    <w:basedOn w:val="DefaultParagraphFont"/>
    <w:link w:val="Char2"/>
    <w:uiPriority w:val="99"/>
    <w:unhideWhenUsed/>
    <w:rsid w:val="00EF7E92"/>
    <w:rPr>
      <w:vertAlign w:val="superscript"/>
    </w:rPr>
  </w:style>
  <w:style w:type="character" w:customStyle="1" w:styleId="ListParagraphChar">
    <w:name w:val="List Paragraph Char"/>
    <w:aliases w:val="Listes Char,Resume Title Char,Citation List Char,Ha Char,List Paragraph1 Char,Body Char,List Paragraph_Table bullets Char,heading 4 Char,Graphic Char,1st level - Bullet List Paragraph Char,Lettre d'introduction Char,Bullet list Char"/>
    <w:basedOn w:val="DefaultParagraphFont"/>
    <w:link w:val="ListParagraph"/>
    <w:uiPriority w:val="34"/>
    <w:rsid w:val="00942C4D"/>
    <w:rPr>
      <w:rFonts w:ascii="Arial" w:hAnsi="Arial"/>
      <w:color w:val="000000" w:themeColor="text1"/>
      <w:lang w:val="fr-FR" w:eastAsia="en-US"/>
    </w:rPr>
  </w:style>
  <w:style w:type="paragraph" w:styleId="ListBullet4">
    <w:name w:val="List Bullet 4"/>
    <w:basedOn w:val="Normal"/>
    <w:unhideWhenUsed/>
    <w:qFormat/>
    <w:rsid w:val="00797A96"/>
    <w:pPr>
      <w:numPr>
        <w:ilvl w:val="5"/>
        <w:numId w:val="7"/>
      </w:numPr>
      <w:tabs>
        <w:tab w:val="left" w:pos="0"/>
      </w:tabs>
      <w:spacing w:after="60"/>
      <w:ind w:left="0" w:hanging="426"/>
    </w:pPr>
    <w:rPr>
      <w:rFonts w:eastAsia="SimSun"/>
      <w:b/>
      <w:smallCaps/>
      <w:color w:val="auto"/>
      <w:sz w:val="22"/>
      <w:u w:val="single"/>
      <w:lang w:eastAsia="x-none"/>
    </w:rPr>
  </w:style>
  <w:style w:type="paragraph" w:styleId="TOC4">
    <w:name w:val="toc 4"/>
    <w:basedOn w:val="Normal"/>
    <w:next w:val="Normal"/>
    <w:autoRedefine/>
    <w:uiPriority w:val="39"/>
    <w:unhideWhenUsed/>
    <w:rsid w:val="00C47753"/>
    <w:pPr>
      <w:tabs>
        <w:tab w:val="left" w:pos="993"/>
        <w:tab w:val="right" w:leader="underscore" w:pos="9356"/>
      </w:tabs>
      <w:spacing w:before="20" w:after="20"/>
      <w:ind w:left="993" w:right="332"/>
      <w:jc w:val="left"/>
    </w:pPr>
    <w:rPr>
      <w:rFonts w:asciiTheme="minorHAnsi" w:eastAsiaTheme="minorEastAsia" w:hAnsiTheme="minorHAnsi" w:cstheme="minorBidi"/>
      <w:i/>
      <w:noProof/>
      <w:color w:val="808080" w:themeColor="background1" w:themeShade="80"/>
      <w:sz w:val="18"/>
      <w:szCs w:val="22"/>
      <w:lang w:eastAsia="fr-FR"/>
    </w:rPr>
  </w:style>
  <w:style w:type="paragraph" w:styleId="TOC5">
    <w:name w:val="toc 5"/>
    <w:basedOn w:val="Normal"/>
    <w:next w:val="Normal"/>
    <w:autoRedefine/>
    <w:uiPriority w:val="39"/>
    <w:unhideWhenUsed/>
    <w:rsid w:val="008878B5"/>
    <w:pPr>
      <w:spacing w:before="0" w:after="100" w:line="276" w:lineRule="auto"/>
      <w:ind w:left="880"/>
    </w:pPr>
    <w:rPr>
      <w:rFonts w:asciiTheme="minorHAnsi" w:eastAsiaTheme="minorEastAsia" w:hAnsiTheme="minorHAnsi" w:cstheme="minorBidi"/>
      <w:color w:val="auto"/>
      <w:sz w:val="22"/>
      <w:szCs w:val="22"/>
      <w:lang w:eastAsia="fr-FR"/>
    </w:rPr>
  </w:style>
  <w:style w:type="paragraph" w:styleId="TOC6">
    <w:name w:val="toc 6"/>
    <w:basedOn w:val="Normal"/>
    <w:next w:val="Normal"/>
    <w:autoRedefine/>
    <w:uiPriority w:val="39"/>
    <w:unhideWhenUsed/>
    <w:rsid w:val="008878B5"/>
    <w:pPr>
      <w:spacing w:before="0" w:after="100" w:line="276" w:lineRule="auto"/>
      <w:ind w:left="1100"/>
    </w:pPr>
    <w:rPr>
      <w:rFonts w:asciiTheme="minorHAnsi" w:eastAsiaTheme="minorEastAsia" w:hAnsiTheme="minorHAnsi" w:cstheme="minorBidi"/>
      <w:color w:val="auto"/>
      <w:sz w:val="22"/>
      <w:szCs w:val="22"/>
      <w:lang w:eastAsia="fr-FR"/>
    </w:rPr>
  </w:style>
  <w:style w:type="paragraph" w:styleId="TOC7">
    <w:name w:val="toc 7"/>
    <w:basedOn w:val="Normal"/>
    <w:next w:val="Normal"/>
    <w:autoRedefine/>
    <w:uiPriority w:val="39"/>
    <w:unhideWhenUsed/>
    <w:rsid w:val="008878B5"/>
    <w:pPr>
      <w:spacing w:before="0" w:after="100" w:line="276" w:lineRule="auto"/>
      <w:ind w:left="1320"/>
    </w:pPr>
    <w:rPr>
      <w:rFonts w:asciiTheme="minorHAnsi" w:eastAsiaTheme="minorEastAsia" w:hAnsiTheme="minorHAnsi" w:cstheme="minorBidi"/>
      <w:color w:val="auto"/>
      <w:sz w:val="22"/>
      <w:szCs w:val="22"/>
      <w:lang w:eastAsia="fr-FR"/>
    </w:rPr>
  </w:style>
  <w:style w:type="paragraph" w:styleId="TOC8">
    <w:name w:val="toc 8"/>
    <w:basedOn w:val="Normal"/>
    <w:next w:val="Normal"/>
    <w:autoRedefine/>
    <w:uiPriority w:val="39"/>
    <w:unhideWhenUsed/>
    <w:rsid w:val="008878B5"/>
    <w:pPr>
      <w:spacing w:before="0" w:after="100" w:line="276" w:lineRule="auto"/>
      <w:ind w:left="1540"/>
    </w:pPr>
    <w:rPr>
      <w:rFonts w:asciiTheme="minorHAnsi" w:eastAsiaTheme="minorEastAsia" w:hAnsiTheme="minorHAnsi" w:cstheme="minorBidi"/>
      <w:color w:val="auto"/>
      <w:sz w:val="22"/>
      <w:szCs w:val="22"/>
      <w:lang w:eastAsia="fr-FR"/>
    </w:rPr>
  </w:style>
  <w:style w:type="paragraph" w:styleId="TOC9">
    <w:name w:val="toc 9"/>
    <w:basedOn w:val="Normal"/>
    <w:next w:val="Normal"/>
    <w:autoRedefine/>
    <w:uiPriority w:val="39"/>
    <w:unhideWhenUsed/>
    <w:rsid w:val="008878B5"/>
    <w:pPr>
      <w:spacing w:before="0" w:after="100" w:line="276" w:lineRule="auto"/>
      <w:ind w:left="1760"/>
    </w:pPr>
    <w:rPr>
      <w:rFonts w:asciiTheme="minorHAnsi" w:eastAsiaTheme="minorEastAsia" w:hAnsiTheme="minorHAnsi" w:cstheme="minorBidi"/>
      <w:color w:val="auto"/>
      <w:sz w:val="22"/>
      <w:szCs w:val="22"/>
      <w:lang w:eastAsia="fr-FR"/>
    </w:rPr>
  </w:style>
  <w:style w:type="character" w:styleId="EndnoteReference">
    <w:name w:val="endnote reference"/>
    <w:basedOn w:val="DefaultParagraphFont"/>
    <w:uiPriority w:val="99"/>
    <w:semiHidden/>
    <w:unhideWhenUsed/>
    <w:rsid w:val="00D02961"/>
    <w:rPr>
      <w:vertAlign w:val="superscript"/>
    </w:rPr>
  </w:style>
  <w:style w:type="paragraph" w:styleId="TOCHeading">
    <w:name w:val="TOC Heading"/>
    <w:basedOn w:val="Heading1sansnumrotation"/>
    <w:next w:val="Normal"/>
    <w:uiPriority w:val="39"/>
    <w:unhideWhenUsed/>
    <w:qFormat/>
    <w:rsid w:val="006F3D41"/>
  </w:style>
  <w:style w:type="character" w:customStyle="1" w:styleId="Heading8Char">
    <w:name w:val="Heading 8 Char"/>
    <w:basedOn w:val="DefaultParagraphFont"/>
    <w:link w:val="Heading8"/>
    <w:rsid w:val="00163684"/>
    <w:rPr>
      <w:rFonts w:asciiTheme="majorHAnsi" w:eastAsiaTheme="majorEastAsia" w:hAnsiTheme="majorHAnsi" w:cstheme="majorBidi"/>
      <w:color w:val="404040" w:themeColor="text1" w:themeTint="BF"/>
      <w:lang w:val="fr-FR" w:eastAsia="en-US"/>
    </w:rPr>
  </w:style>
  <w:style w:type="paragraph" w:customStyle="1" w:styleId="Tableau-Normal">
    <w:name w:val="Tableau - Normal"/>
    <w:basedOn w:val="Normal"/>
    <w:link w:val="Tableau-NormalChar"/>
    <w:qFormat/>
    <w:rsid w:val="00CE4C3C"/>
    <w:pPr>
      <w:spacing w:before="20" w:after="20" w:line="240" w:lineRule="auto"/>
    </w:pPr>
    <w:rPr>
      <w:sz w:val="18"/>
    </w:rPr>
  </w:style>
  <w:style w:type="character" w:customStyle="1" w:styleId="Tableau-NormalChar">
    <w:name w:val="Tableau - Normal Char"/>
    <w:basedOn w:val="DefaultParagraphFont"/>
    <w:link w:val="Tableau-Normal"/>
    <w:rsid w:val="00CE4C3C"/>
    <w:rPr>
      <w:rFonts w:ascii="Arial" w:hAnsi="Arial"/>
      <w:color w:val="000000" w:themeColor="text1"/>
      <w:sz w:val="18"/>
      <w:lang w:val="fr-FR" w:eastAsia="en-US"/>
    </w:rPr>
  </w:style>
  <w:style w:type="paragraph" w:customStyle="1" w:styleId="Heading1sansnumrotation">
    <w:name w:val="Heading 1 sans numérotation"/>
    <w:basedOn w:val="Normal"/>
    <w:link w:val="Heading1sansnumrotationChar"/>
    <w:qFormat/>
    <w:rsid w:val="00814336"/>
    <w:pPr>
      <w:pageBreakBefore/>
      <w:spacing w:after="600" w:line="240" w:lineRule="auto"/>
    </w:pPr>
    <w:rPr>
      <w:rFonts w:ascii="Times New Roman" w:hAnsi="Times New Roman"/>
      <w:color w:val="002776" w:themeColor="text2"/>
      <w:sz w:val="60"/>
      <w:szCs w:val="60"/>
    </w:rPr>
  </w:style>
  <w:style w:type="character" w:customStyle="1" w:styleId="Heading1sansnumrotationChar">
    <w:name w:val="Heading 1 sans numérotation Char"/>
    <w:basedOn w:val="DefaultParagraphFont"/>
    <w:link w:val="Heading1sansnumrotation"/>
    <w:rsid w:val="00814336"/>
    <w:rPr>
      <w:rFonts w:ascii="Times New Roman" w:hAnsi="Times New Roman"/>
      <w:color w:val="002776" w:themeColor="text2"/>
      <w:sz w:val="60"/>
      <w:szCs w:val="60"/>
      <w:lang w:val="fr-FR" w:eastAsia="en-US"/>
    </w:rPr>
  </w:style>
  <w:style w:type="paragraph" w:styleId="ListBullet3">
    <w:name w:val="List Bullet 3"/>
    <w:basedOn w:val="ListBullet2"/>
    <w:unhideWhenUsed/>
    <w:qFormat/>
    <w:rsid w:val="00ED4106"/>
    <w:pPr>
      <w:numPr>
        <w:ilvl w:val="2"/>
      </w:numPr>
      <w:tabs>
        <w:tab w:val="clear" w:pos="709"/>
        <w:tab w:val="left" w:pos="1276"/>
      </w:tabs>
      <w:ind w:left="1276" w:hanging="284"/>
    </w:pPr>
  </w:style>
  <w:style w:type="paragraph" w:styleId="ListBullet5">
    <w:name w:val="List Bullet 5"/>
    <w:basedOn w:val="ListParagraph"/>
    <w:unhideWhenUsed/>
    <w:qFormat/>
    <w:rsid w:val="008D4734"/>
    <w:pPr>
      <w:numPr>
        <w:numId w:val="4"/>
      </w:numPr>
    </w:pPr>
    <w:rPr>
      <w:b/>
      <w:smallCaps/>
      <w:u w:val="single"/>
    </w:rPr>
  </w:style>
  <w:style w:type="paragraph" w:styleId="ListContinue5">
    <w:name w:val="List Continue 5"/>
    <w:basedOn w:val="Normal"/>
    <w:uiPriority w:val="99"/>
    <w:unhideWhenUsed/>
    <w:rsid w:val="008D4734"/>
  </w:style>
  <w:style w:type="paragraph" w:styleId="ListContinue4">
    <w:name w:val="List Continue 4"/>
    <w:basedOn w:val="ListBullet4"/>
    <w:uiPriority w:val="99"/>
    <w:unhideWhenUsed/>
    <w:qFormat/>
    <w:rsid w:val="008D4734"/>
    <w:pPr>
      <w:numPr>
        <w:ilvl w:val="0"/>
        <w:numId w:val="0"/>
      </w:numPr>
      <w:ind w:left="1843"/>
    </w:pPr>
  </w:style>
  <w:style w:type="paragraph" w:styleId="ListContinue3">
    <w:name w:val="List Continue 3"/>
    <w:basedOn w:val="ListBullet3"/>
    <w:uiPriority w:val="99"/>
    <w:unhideWhenUsed/>
    <w:qFormat/>
    <w:rsid w:val="008D4734"/>
    <w:pPr>
      <w:numPr>
        <w:ilvl w:val="0"/>
        <w:numId w:val="0"/>
      </w:numPr>
      <w:ind w:left="1276"/>
    </w:pPr>
  </w:style>
  <w:style w:type="paragraph" w:styleId="ListContinue2">
    <w:name w:val="List Continue 2"/>
    <w:basedOn w:val="ListBullet2"/>
    <w:uiPriority w:val="99"/>
    <w:unhideWhenUsed/>
    <w:qFormat/>
    <w:rsid w:val="008D4734"/>
    <w:pPr>
      <w:numPr>
        <w:ilvl w:val="0"/>
        <w:numId w:val="0"/>
      </w:numPr>
      <w:ind w:left="709"/>
    </w:pPr>
  </w:style>
  <w:style w:type="paragraph" w:styleId="ListContinue">
    <w:name w:val="List Continue"/>
    <w:basedOn w:val="ListBullet"/>
    <w:uiPriority w:val="99"/>
    <w:unhideWhenUsed/>
    <w:qFormat/>
    <w:rsid w:val="00D15BE9"/>
    <w:pPr>
      <w:numPr>
        <w:numId w:val="0"/>
      </w:numPr>
      <w:ind w:left="426"/>
    </w:pPr>
  </w:style>
  <w:style w:type="paragraph" w:customStyle="1" w:styleId="Heading2-Annex">
    <w:name w:val="Heading 2 - Annex"/>
    <w:basedOn w:val="Normal"/>
    <w:link w:val="Heading2-AnnexChar"/>
    <w:rsid w:val="004C3675"/>
    <w:pPr>
      <w:numPr>
        <w:ilvl w:val="1"/>
        <w:numId w:val="11"/>
      </w:numPr>
      <w:tabs>
        <w:tab w:val="left" w:pos="851"/>
      </w:tabs>
      <w:spacing w:before="360"/>
      <w:ind w:left="1066" w:hanging="357"/>
    </w:pPr>
    <w:rPr>
      <w:b/>
      <w:color w:val="00A1DE"/>
    </w:rPr>
  </w:style>
  <w:style w:type="paragraph" w:customStyle="1" w:styleId="Heading1-Annex">
    <w:name w:val="Heading 1 - Annex"/>
    <w:basedOn w:val="Normal"/>
    <w:next w:val="Normal"/>
    <w:link w:val="Heading1-AnnexChar"/>
    <w:rsid w:val="00BA6F85"/>
    <w:pPr>
      <w:pageBreakBefore/>
      <w:numPr>
        <w:numId w:val="11"/>
      </w:numPr>
      <w:spacing w:before="0" w:after="600" w:line="240" w:lineRule="auto"/>
      <w:ind w:left="357" w:hanging="357"/>
      <w:jc w:val="left"/>
      <w:outlineLvl w:val="0"/>
    </w:pPr>
    <w:rPr>
      <w:rFonts w:ascii="Times New Roman" w:hAnsi="Times New Roman"/>
      <w:color w:val="002776"/>
      <w:sz w:val="60"/>
      <w:szCs w:val="60"/>
    </w:rPr>
  </w:style>
  <w:style w:type="character" w:customStyle="1" w:styleId="Heading2-AnnexChar">
    <w:name w:val="Heading 2 - Annex Char"/>
    <w:basedOn w:val="DefaultParagraphFont"/>
    <w:link w:val="Heading2-Annex"/>
    <w:rsid w:val="004C3675"/>
    <w:rPr>
      <w:b/>
      <w:color w:val="00A1DE"/>
      <w:sz w:val="20"/>
    </w:rPr>
  </w:style>
  <w:style w:type="paragraph" w:customStyle="1" w:styleId="Heading3-Annex">
    <w:name w:val="Heading 3 - Annex"/>
    <w:basedOn w:val="ListParagraph"/>
    <w:next w:val="Normal"/>
    <w:link w:val="Heading3-AnnexChar"/>
    <w:rsid w:val="00E15258"/>
    <w:pPr>
      <w:numPr>
        <w:ilvl w:val="2"/>
        <w:numId w:val="11"/>
      </w:numPr>
    </w:pPr>
    <w:rPr>
      <w:b/>
      <w:sz w:val="22"/>
      <w:szCs w:val="22"/>
    </w:rPr>
  </w:style>
  <w:style w:type="character" w:customStyle="1" w:styleId="Heading1-AnnexChar">
    <w:name w:val="Heading 1 - Annex Char"/>
    <w:basedOn w:val="DefaultParagraphFont"/>
    <w:link w:val="Heading1-Annex"/>
    <w:rsid w:val="00BA6F85"/>
    <w:rPr>
      <w:rFonts w:ascii="Times New Roman" w:hAnsi="Times New Roman"/>
      <w:color w:val="002776"/>
      <w:sz w:val="60"/>
      <w:szCs w:val="60"/>
    </w:rPr>
  </w:style>
  <w:style w:type="paragraph" w:styleId="TableofFigures">
    <w:name w:val="table of figures"/>
    <w:basedOn w:val="Normal"/>
    <w:next w:val="Normal"/>
    <w:uiPriority w:val="99"/>
    <w:unhideWhenUsed/>
    <w:rsid w:val="00E5596F"/>
    <w:pPr>
      <w:tabs>
        <w:tab w:val="right" w:leader="dot" w:pos="9356"/>
      </w:tabs>
      <w:spacing w:before="20" w:after="20"/>
      <w:ind w:right="275"/>
    </w:pPr>
    <w:rPr>
      <w:i/>
      <w:noProof/>
      <w:sz w:val="18"/>
    </w:rPr>
  </w:style>
  <w:style w:type="character" w:customStyle="1" w:styleId="Heading3-AnnexChar">
    <w:name w:val="Heading 3 - Annex Char"/>
    <w:basedOn w:val="ListParagraphChar"/>
    <w:link w:val="Heading3-Annex"/>
    <w:rsid w:val="00E15258"/>
    <w:rPr>
      <w:rFonts w:ascii="Arial" w:hAnsi="Arial"/>
      <w:b/>
      <w:color w:val="000000" w:themeColor="text1"/>
      <w:sz w:val="22"/>
      <w:szCs w:val="22"/>
      <w:lang w:val="fr-FR" w:eastAsia="en-US"/>
    </w:rPr>
  </w:style>
  <w:style w:type="paragraph" w:styleId="List5">
    <w:name w:val="List 5"/>
    <w:basedOn w:val="Normal"/>
    <w:uiPriority w:val="99"/>
    <w:unhideWhenUsed/>
    <w:rsid w:val="00E64898"/>
    <w:pPr>
      <w:ind w:left="1415" w:hanging="283"/>
      <w:contextualSpacing/>
    </w:pPr>
  </w:style>
  <w:style w:type="paragraph" w:customStyle="1" w:styleId="Tableau-Colonne">
    <w:name w:val="Tableau - Colonne"/>
    <w:basedOn w:val="Normal"/>
    <w:link w:val="Tableau-ColonneCar"/>
    <w:qFormat/>
    <w:rsid w:val="00CE4C3C"/>
    <w:pPr>
      <w:spacing w:before="20" w:after="20" w:line="240" w:lineRule="auto"/>
      <w:jc w:val="right"/>
    </w:pPr>
    <w:rPr>
      <w:rFonts w:eastAsia="Times New Roman" w:cs="Arial"/>
      <w:b/>
      <w:color w:val="auto"/>
      <w:sz w:val="18"/>
      <w:szCs w:val="18"/>
      <w:lang w:eastAsia="fr-FR"/>
    </w:rPr>
  </w:style>
  <w:style w:type="character" w:customStyle="1" w:styleId="Tableau-ColonneCar">
    <w:name w:val="Tableau - Colonne Car"/>
    <w:basedOn w:val="DefaultParagraphFont"/>
    <w:link w:val="Tableau-Colonne"/>
    <w:rsid w:val="00CE4C3C"/>
    <w:rPr>
      <w:rFonts w:ascii="Arial" w:eastAsia="Times New Roman" w:hAnsi="Arial" w:cs="Arial"/>
      <w:b/>
      <w:sz w:val="18"/>
      <w:szCs w:val="18"/>
      <w:lang w:val="fr-FR" w:eastAsia="fr-FR"/>
    </w:rPr>
  </w:style>
  <w:style w:type="paragraph" w:customStyle="1" w:styleId="Tableau-Tiret">
    <w:name w:val="Tableau - Tiret"/>
    <w:basedOn w:val="Tableau-Puceverte"/>
    <w:link w:val="Tableau-TiretCar"/>
    <w:qFormat/>
    <w:rsid w:val="00B443E8"/>
    <w:pPr>
      <w:numPr>
        <w:ilvl w:val="1"/>
      </w:numPr>
      <w:tabs>
        <w:tab w:val="left" w:pos="747"/>
      </w:tabs>
    </w:pPr>
  </w:style>
  <w:style w:type="character" w:customStyle="1" w:styleId="Tableau-TiretCar">
    <w:name w:val="Tableau - Tiret Car"/>
    <w:basedOn w:val="DefaultParagraphFont"/>
    <w:link w:val="Tableau-Tiret"/>
    <w:rsid w:val="00B443E8"/>
    <w:rPr>
      <w:rFonts w:eastAsia="SimSun" w:cs="Arial"/>
      <w:color w:val="auto"/>
      <w:sz w:val="20"/>
      <w:szCs w:val="18"/>
      <w:lang w:eastAsia="fr-FR"/>
    </w:rPr>
  </w:style>
  <w:style w:type="paragraph" w:styleId="EndnoteText">
    <w:name w:val="endnote text"/>
    <w:basedOn w:val="Normal"/>
    <w:link w:val="EndnoteTextChar"/>
    <w:uiPriority w:val="99"/>
    <w:semiHidden/>
    <w:unhideWhenUsed/>
    <w:rsid w:val="007D76C1"/>
    <w:pPr>
      <w:spacing w:before="0" w:after="0" w:line="240" w:lineRule="auto"/>
    </w:pPr>
  </w:style>
  <w:style w:type="character" w:customStyle="1" w:styleId="EndnoteTextChar">
    <w:name w:val="Endnote Text Char"/>
    <w:basedOn w:val="DefaultParagraphFont"/>
    <w:link w:val="EndnoteText"/>
    <w:uiPriority w:val="99"/>
    <w:semiHidden/>
    <w:rsid w:val="007D76C1"/>
    <w:rPr>
      <w:rFonts w:ascii="Arial" w:hAnsi="Arial"/>
      <w:color w:val="000000" w:themeColor="text1"/>
      <w:lang w:val="fr-FR" w:eastAsia="en-US"/>
    </w:rPr>
  </w:style>
  <w:style w:type="character" w:customStyle="1" w:styleId="Heading6Char">
    <w:name w:val="Heading 6 Char"/>
    <w:basedOn w:val="DefaultParagraphFont"/>
    <w:link w:val="Heading6"/>
    <w:uiPriority w:val="9"/>
    <w:rsid w:val="00956A29"/>
    <w:rPr>
      <w:rFonts w:asciiTheme="majorHAnsi" w:eastAsiaTheme="majorEastAsia" w:hAnsiTheme="majorHAnsi" w:cstheme="majorBidi"/>
      <w:i/>
      <w:iCs/>
      <w:color w:val="00133A" w:themeColor="accent1" w:themeShade="7F"/>
      <w:lang w:val="fr-FR" w:eastAsia="en-US"/>
    </w:rPr>
  </w:style>
  <w:style w:type="character" w:styleId="IntenseReference">
    <w:name w:val="Intense Reference"/>
    <w:basedOn w:val="DefaultParagraphFont"/>
    <w:uiPriority w:val="32"/>
    <w:rsid w:val="00447F6F"/>
    <w:rPr>
      <w:b/>
      <w:bCs/>
      <w:smallCaps/>
      <w:color w:val="92D400" w:themeColor="accent2"/>
      <w:spacing w:val="5"/>
      <w:u w:val="single"/>
    </w:rPr>
  </w:style>
  <w:style w:type="paragraph" w:customStyle="1" w:styleId="Footer2">
    <w:name w:val="Footer 2"/>
    <w:basedOn w:val="Normal"/>
    <w:link w:val="Footer2Char"/>
    <w:rsid w:val="00B301B6"/>
    <w:pPr>
      <w:spacing w:before="0" w:after="0" w:line="240" w:lineRule="auto"/>
    </w:pPr>
    <w:rPr>
      <w:sz w:val="2"/>
      <w:szCs w:val="2"/>
    </w:rPr>
  </w:style>
  <w:style w:type="character" w:customStyle="1" w:styleId="Footer2Char">
    <w:name w:val="Footer 2 Char"/>
    <w:basedOn w:val="DefaultParagraphFont"/>
    <w:link w:val="Footer2"/>
    <w:rsid w:val="00B301B6"/>
    <w:rPr>
      <w:rFonts w:ascii="Arial" w:hAnsi="Arial"/>
      <w:color w:val="000000" w:themeColor="text1"/>
      <w:sz w:val="2"/>
      <w:szCs w:val="2"/>
      <w:lang w:val="fr-FR"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caption for tables Char"/>
    <w:link w:val="Caption"/>
    <w:uiPriority w:val="35"/>
    <w:locked/>
    <w:rsid w:val="00372A2C"/>
    <w:rPr>
      <w:b/>
      <w:bCs/>
      <w:color w:val="002776" w:themeColor="text2"/>
      <w:sz w:val="20"/>
      <w:szCs w:val="18"/>
    </w:rPr>
  </w:style>
  <w:style w:type="paragraph" w:customStyle="1" w:styleId="footnote">
    <w:name w:val="footnote"/>
    <w:basedOn w:val="FootnoteText"/>
    <w:qFormat/>
    <w:rsid w:val="007440C6"/>
    <w:pPr>
      <w:spacing w:before="0" w:after="0"/>
      <w:ind w:left="1418" w:hanging="142"/>
    </w:pPr>
    <w:rPr>
      <w:rFonts w:ascii="Calibri" w:eastAsia="Calibri" w:hAnsi="Calibri"/>
      <w:color w:val="auto"/>
      <w:sz w:val="18"/>
      <w:szCs w:val="22"/>
      <w:lang w:eastAsia="x-none"/>
    </w:rPr>
  </w:style>
  <w:style w:type="paragraph" w:customStyle="1" w:styleId="Tableau-Titre">
    <w:name w:val="Tableau - Titre"/>
    <w:basedOn w:val="Tableau-Puceverte"/>
    <w:qFormat/>
    <w:rsid w:val="003F7997"/>
    <w:pPr>
      <w:numPr>
        <w:numId w:val="0"/>
      </w:numPr>
    </w:pPr>
    <w:rPr>
      <w:b/>
      <w:u w:val="single"/>
    </w:rPr>
  </w:style>
  <w:style w:type="paragraph" w:customStyle="1" w:styleId="CV-Puces1">
    <w:name w:val="CV - Puces 1"/>
    <w:basedOn w:val="ListBullet"/>
    <w:link w:val="CV-Puces1Car"/>
    <w:qFormat/>
    <w:rsid w:val="0000401E"/>
    <w:pPr>
      <w:tabs>
        <w:tab w:val="num" w:pos="284"/>
        <w:tab w:val="num" w:pos="1418"/>
      </w:tabs>
      <w:spacing w:before="0" w:after="0" w:line="240" w:lineRule="auto"/>
      <w:ind w:left="284" w:hanging="142"/>
      <w:jc w:val="left"/>
    </w:pPr>
    <w:rPr>
      <w:rFonts w:ascii="Calibri" w:eastAsia="SimSun" w:hAnsi="Calibri"/>
      <w:lang w:val="x-none" w:eastAsia="x-none"/>
    </w:rPr>
  </w:style>
  <w:style w:type="character" w:customStyle="1" w:styleId="CV-Puces1Car">
    <w:name w:val="CV - Puces 1 Car"/>
    <w:basedOn w:val="ListBulletChar"/>
    <w:link w:val="CV-Puces1"/>
    <w:rsid w:val="0000401E"/>
    <w:rPr>
      <w:rFonts w:ascii="Calibri" w:eastAsia="SimSun" w:hAnsi="Calibri"/>
      <w:sz w:val="20"/>
      <w:lang w:val="x-none" w:eastAsia="x-none"/>
    </w:rPr>
  </w:style>
  <w:style w:type="character" w:customStyle="1" w:styleId="Tableau-PuceverteCar">
    <w:name w:val="Tableau - Puce verte Car"/>
    <w:link w:val="Tableau-Puceverte"/>
    <w:rsid w:val="003F70E4"/>
    <w:rPr>
      <w:rFonts w:eastAsia="SimSun" w:cs="Arial"/>
      <w:color w:val="auto"/>
      <w:sz w:val="20"/>
      <w:szCs w:val="18"/>
      <w:lang w:eastAsia="fr-FR"/>
    </w:rPr>
  </w:style>
  <w:style w:type="paragraph" w:styleId="ListNumber3">
    <w:name w:val="List Number 3"/>
    <w:basedOn w:val="Normal"/>
    <w:uiPriority w:val="99"/>
    <w:semiHidden/>
    <w:unhideWhenUsed/>
    <w:rsid w:val="00123145"/>
    <w:pPr>
      <w:numPr>
        <w:numId w:val="6"/>
      </w:numPr>
      <w:contextualSpacing/>
    </w:pPr>
  </w:style>
  <w:style w:type="paragraph" w:customStyle="1" w:styleId="Tiret2">
    <w:name w:val="Tiret 2"/>
    <w:basedOn w:val="Tableau-Titre"/>
    <w:link w:val="Tiret2Car1"/>
    <w:qFormat/>
    <w:rsid w:val="009245D2"/>
    <w:pPr>
      <w:tabs>
        <w:tab w:val="left" w:pos="1769"/>
      </w:tabs>
      <w:ind w:left="2298" w:hanging="284"/>
    </w:pPr>
  </w:style>
  <w:style w:type="character" w:customStyle="1" w:styleId="Tiret2Car1">
    <w:name w:val="Tiret 2 Car1"/>
    <w:basedOn w:val="DefaultParagraphFont"/>
    <w:link w:val="Tiret2"/>
    <w:rsid w:val="00F222F3"/>
    <w:rPr>
      <w:rFonts w:ascii="Calibri" w:eastAsia="SimSun" w:hAnsi="Calibri"/>
      <w:sz w:val="22"/>
      <w:lang w:val="x-none" w:eastAsia="x-none"/>
    </w:rPr>
  </w:style>
  <w:style w:type="table" w:customStyle="1" w:styleId="TableGrid1">
    <w:name w:val="Table Grid1"/>
    <w:basedOn w:val="TableNormal"/>
    <w:next w:val="TableGrid"/>
    <w:uiPriority w:val="59"/>
    <w:rsid w:val="00221FEA"/>
    <w:pPr>
      <w:spacing w:before="120" w:after="120" w:line="240" w:lineRule="atLeast"/>
    </w:p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jc w:val="center"/>
    </w:trPr>
  </w:style>
  <w:style w:type="table" w:customStyle="1" w:styleId="TableGrid2">
    <w:name w:val="Table Grid2"/>
    <w:basedOn w:val="TableNormal"/>
    <w:next w:val="TableGrid"/>
    <w:uiPriority w:val="59"/>
    <w:rsid w:val="003969AB"/>
    <w:pPr>
      <w:spacing w:before="120" w:after="120" w:line="240" w:lineRule="atLeast"/>
    </w:p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jc w:val="center"/>
    </w:trPr>
  </w:style>
  <w:style w:type="paragraph" w:customStyle="1" w:styleId="Tableauencadr-Titre">
    <w:name w:val="Tableau encadré - Titre"/>
    <w:basedOn w:val="Normal"/>
    <w:link w:val="Tableauencadr-TitreChar"/>
    <w:qFormat/>
    <w:rsid w:val="00E80215"/>
    <w:pPr>
      <w:spacing w:before="0" w:after="0"/>
      <w:jc w:val="center"/>
    </w:pPr>
    <w:rPr>
      <w:b/>
      <w:i/>
      <w:smallCaps/>
      <w:color w:val="FFFFFF"/>
      <w:sz w:val="22"/>
      <w:szCs w:val="28"/>
    </w:rPr>
  </w:style>
  <w:style w:type="paragraph" w:customStyle="1" w:styleId="bulletspointslvl1">
    <w:name w:val="bullets points lvl1"/>
    <w:basedOn w:val="Normal"/>
    <w:link w:val="bulletspointslvl1Car"/>
    <w:qFormat/>
    <w:rsid w:val="00DE5ED7"/>
    <w:pPr>
      <w:numPr>
        <w:numId w:val="8"/>
      </w:numPr>
      <w:spacing w:after="0" w:line="276" w:lineRule="auto"/>
      <w:ind w:right="-3"/>
    </w:pPr>
    <w:rPr>
      <w:rFonts w:ascii="Corbel" w:eastAsia="Times New Roman" w:hAnsi="Corbel"/>
      <w:color w:val="auto"/>
      <w:sz w:val="22"/>
      <w:lang w:eastAsia="de-DE"/>
    </w:rPr>
  </w:style>
  <w:style w:type="paragraph" w:customStyle="1" w:styleId="CV-Tiret2">
    <w:name w:val="CV - Tiret 2"/>
    <w:basedOn w:val="Normal"/>
    <w:rsid w:val="00782D3F"/>
    <w:pPr>
      <w:numPr>
        <w:ilvl w:val="1"/>
        <w:numId w:val="8"/>
      </w:numPr>
      <w:tabs>
        <w:tab w:val="left" w:pos="888"/>
      </w:tabs>
      <w:spacing w:before="60" w:after="60" w:line="240" w:lineRule="auto"/>
      <w:ind w:left="888" w:right="113"/>
    </w:pPr>
    <w:rPr>
      <w:rFonts w:ascii="Corbel" w:eastAsia="Calibri" w:hAnsi="Corbel" w:cs="Arial"/>
      <w:color w:val="000000"/>
      <w:szCs w:val="19"/>
      <w:lang w:eastAsia="de-DE"/>
    </w:rPr>
  </w:style>
  <w:style w:type="paragraph" w:customStyle="1" w:styleId="TableauEncadr-Sous-titre">
    <w:name w:val="Tableau Encadré - Sous-titre"/>
    <w:basedOn w:val="Normal"/>
    <w:link w:val="TableauEncadr-Sous-titreChar"/>
    <w:qFormat/>
    <w:rsid w:val="00E80215"/>
    <w:pPr>
      <w:spacing w:before="0" w:after="0"/>
      <w:jc w:val="center"/>
    </w:pPr>
    <w:rPr>
      <w:b/>
      <w:i/>
      <w:smallCaps/>
      <w:color w:val="FFFFFF"/>
      <w:szCs w:val="28"/>
    </w:rPr>
  </w:style>
  <w:style w:type="character" w:customStyle="1" w:styleId="Tableauencadr-TitreChar">
    <w:name w:val="Tableau encadré - Titre Char"/>
    <w:basedOn w:val="ListBulletChar"/>
    <w:link w:val="Tableauencadr-Titre"/>
    <w:rsid w:val="00E80215"/>
    <w:rPr>
      <w:rFonts w:ascii="Arial" w:hAnsi="Arial"/>
      <w:b/>
      <w:i/>
      <w:smallCaps/>
      <w:color w:val="FFFFFF"/>
      <w:sz w:val="22"/>
      <w:szCs w:val="28"/>
      <w:lang w:val="fr-FR" w:eastAsia="en-US"/>
    </w:rPr>
  </w:style>
  <w:style w:type="character" w:styleId="Emphasis">
    <w:name w:val="Emphasis"/>
    <w:basedOn w:val="DefaultParagraphFont"/>
    <w:uiPriority w:val="20"/>
    <w:qFormat/>
    <w:rsid w:val="00C40B60"/>
    <w:rPr>
      <w:b/>
      <w:bCs/>
      <w:i w:val="0"/>
      <w:iCs w:val="0"/>
    </w:rPr>
  </w:style>
  <w:style w:type="character" w:customStyle="1" w:styleId="TableauEncadr-Sous-titreChar">
    <w:name w:val="Tableau Encadré - Sous-titre Char"/>
    <w:basedOn w:val="Tableauencadr-TitreChar"/>
    <w:link w:val="TableauEncadr-Sous-titre"/>
    <w:rsid w:val="00E80215"/>
    <w:rPr>
      <w:rFonts w:ascii="Arial" w:hAnsi="Arial"/>
      <w:b/>
      <w:i/>
      <w:smallCaps/>
      <w:color w:val="FFFFFF"/>
      <w:sz w:val="22"/>
      <w:szCs w:val="28"/>
      <w:lang w:val="fr-FR" w:eastAsia="en-US"/>
    </w:rPr>
  </w:style>
  <w:style w:type="paragraph" w:styleId="Index3">
    <w:name w:val="index 3"/>
    <w:basedOn w:val="Normal"/>
    <w:next w:val="Normal"/>
    <w:autoRedefine/>
    <w:rsid w:val="00D15BE9"/>
    <w:pPr>
      <w:ind w:left="600" w:hanging="200"/>
    </w:pPr>
    <w:rPr>
      <w:rFonts w:ascii="Calibri" w:eastAsia="SimSun" w:hAnsi="Calibri" w:cs="Arial"/>
      <w:color w:val="auto"/>
      <w:sz w:val="22"/>
      <w:lang w:eastAsia="fr-FR"/>
    </w:rPr>
  </w:style>
  <w:style w:type="character" w:customStyle="1" w:styleId="FootnoteTextChar1">
    <w:name w:val="Footnote Text Char1"/>
    <w:aliases w:val="Footnote text Char,Reference Char,Fußnote Char,Footnote Text Char Char Char1,Footnote Text Char Char Char Char Char,Footnote Text1 Char,Footnote Text Char Char Char Char1,Footnote Text Char Char1"/>
    <w:basedOn w:val="DefaultParagraphFont"/>
    <w:rsid w:val="00432DC1"/>
    <w:rPr>
      <w:rFonts w:ascii="Calibri" w:eastAsia="Times New Roman" w:hAnsi="Calibri" w:cs="Calibri"/>
      <w:sz w:val="18"/>
      <w:szCs w:val="18"/>
      <w:lang w:eastAsia="fr-FR" w:bidi="ar-SA"/>
    </w:rPr>
  </w:style>
  <w:style w:type="character" w:customStyle="1" w:styleId="bulletspointslvl1Car">
    <w:name w:val="bullets points lvl1 Car"/>
    <w:basedOn w:val="DefaultParagraphFont"/>
    <w:link w:val="bulletspointslvl1"/>
    <w:rsid w:val="00432DC1"/>
    <w:rPr>
      <w:rFonts w:ascii="Corbel" w:eastAsia="Times New Roman" w:hAnsi="Corbel"/>
      <w:color w:val="auto"/>
      <w:sz w:val="22"/>
      <w:lang w:eastAsia="de-DE"/>
    </w:rPr>
  </w:style>
  <w:style w:type="paragraph" w:customStyle="1" w:styleId="bulletspoints">
    <w:name w:val="bullets points"/>
    <w:basedOn w:val="Normal"/>
    <w:rsid w:val="00E15258"/>
    <w:pPr>
      <w:numPr>
        <w:numId w:val="10"/>
      </w:numPr>
      <w:spacing w:after="0" w:line="276" w:lineRule="auto"/>
    </w:pPr>
    <w:rPr>
      <w:rFonts w:ascii="Corbel" w:eastAsia="Times New Roman" w:hAnsi="Corbel" w:cs="Calibri"/>
      <w:color w:val="auto"/>
      <w:sz w:val="22"/>
      <w:szCs w:val="22"/>
      <w:lang w:eastAsia="fr-FR"/>
    </w:rPr>
  </w:style>
  <w:style w:type="paragraph" w:customStyle="1" w:styleId="Tableau-En-tte">
    <w:name w:val="Tableau - En-tête"/>
    <w:basedOn w:val="Tableau-Normal"/>
    <w:link w:val="Tableau-En-tteChar"/>
    <w:qFormat/>
    <w:rsid w:val="00572E24"/>
    <w:pPr>
      <w:jc w:val="center"/>
    </w:pPr>
    <w:rPr>
      <w:b/>
      <w:sz w:val="19"/>
    </w:rPr>
  </w:style>
  <w:style w:type="character" w:customStyle="1" w:styleId="Tableau-En-tteChar">
    <w:name w:val="Tableau - En-tête Char"/>
    <w:basedOn w:val="DefaultParagraphFont"/>
    <w:link w:val="Tableau-En-tte"/>
    <w:rsid w:val="00572E24"/>
    <w:rPr>
      <w:rFonts w:ascii="Arial" w:hAnsi="Arial"/>
      <w:b/>
      <w:color w:val="000000" w:themeColor="text1"/>
      <w:sz w:val="19"/>
      <w:lang w:val="fr-FR" w:eastAsia="en-US"/>
    </w:rPr>
  </w:style>
  <w:style w:type="paragraph" w:customStyle="1" w:styleId="Encadr-Normal">
    <w:name w:val="Encadré - Normal"/>
    <w:basedOn w:val="Tableau-Normal"/>
    <w:link w:val="Encadr-NormalCar"/>
    <w:qFormat/>
    <w:rsid w:val="00150914"/>
    <w:pPr>
      <w:spacing w:before="60" w:after="60"/>
      <w:ind w:left="142"/>
    </w:pPr>
    <w:rPr>
      <w:rFonts w:ascii="Corbel" w:eastAsia="Calibri" w:hAnsi="Corbel"/>
      <w:color w:val="000000"/>
      <w:sz w:val="20"/>
      <w:szCs w:val="22"/>
      <w:lang w:eastAsia="fr-FR"/>
    </w:rPr>
  </w:style>
  <w:style w:type="character" w:customStyle="1" w:styleId="Encadr-NormalCar">
    <w:name w:val="Encadré - Normal Car"/>
    <w:basedOn w:val="DefaultParagraphFont"/>
    <w:link w:val="Encadr-Normal"/>
    <w:rsid w:val="00150914"/>
    <w:rPr>
      <w:rFonts w:ascii="Corbel" w:eastAsia="Calibri" w:hAnsi="Corbel"/>
      <w:color w:val="000000"/>
      <w:szCs w:val="22"/>
      <w:lang w:val="fr-FR" w:eastAsia="fr-FR"/>
    </w:rPr>
  </w:style>
  <w:style w:type="paragraph" w:styleId="ListNumber5">
    <w:name w:val="List Number 5"/>
    <w:basedOn w:val="Normal"/>
    <w:unhideWhenUsed/>
    <w:rsid w:val="00BB7521"/>
    <w:pPr>
      <w:numPr>
        <w:numId w:val="9"/>
      </w:numPr>
      <w:contextualSpacing/>
    </w:pPr>
  </w:style>
  <w:style w:type="character" w:styleId="Strong">
    <w:name w:val="Strong"/>
    <w:basedOn w:val="DefaultParagraphFont"/>
    <w:uiPriority w:val="22"/>
    <w:qFormat/>
    <w:rsid w:val="00137125"/>
    <w:rPr>
      <w:b/>
      <w:bCs/>
    </w:rPr>
  </w:style>
  <w:style w:type="table" w:styleId="LightList-Accent3">
    <w:name w:val="Light List Accent 3"/>
    <w:basedOn w:val="TableNormal"/>
    <w:uiPriority w:val="61"/>
    <w:rsid w:val="002A1C9F"/>
    <w:tblPr>
      <w:tblStyleRowBandSize w:val="1"/>
      <w:tblStyleColBandSize w:val="1"/>
      <w:tblBorders>
        <w:top w:val="single" w:sz="8" w:space="0" w:color="00A1DE" w:themeColor="accent3"/>
        <w:left w:val="single" w:sz="8" w:space="0" w:color="00A1DE" w:themeColor="accent3"/>
        <w:bottom w:val="single" w:sz="8" w:space="0" w:color="00A1DE" w:themeColor="accent3"/>
        <w:right w:val="single" w:sz="8" w:space="0" w:color="00A1DE" w:themeColor="accent3"/>
      </w:tblBorders>
    </w:tblPr>
    <w:tblStylePr w:type="firstRow">
      <w:pPr>
        <w:spacing w:before="0" w:after="0" w:line="240" w:lineRule="auto"/>
      </w:pPr>
      <w:rPr>
        <w:b/>
        <w:bCs/>
        <w:color w:val="FFFFFF" w:themeColor="background1"/>
      </w:rPr>
      <w:tblPr/>
      <w:tcPr>
        <w:shd w:val="clear" w:color="auto" w:fill="00A1DE" w:themeFill="accent3"/>
      </w:tcPr>
    </w:tblStylePr>
    <w:tblStylePr w:type="lastRow">
      <w:pPr>
        <w:spacing w:before="0" w:after="0" w:line="240" w:lineRule="auto"/>
      </w:pPr>
      <w:rPr>
        <w:b/>
        <w:bCs/>
      </w:rPr>
      <w:tblPr/>
      <w:tcPr>
        <w:tcBorders>
          <w:top w:val="double" w:sz="6" w:space="0" w:color="00A1DE" w:themeColor="accent3"/>
          <w:left w:val="single" w:sz="8" w:space="0" w:color="00A1DE" w:themeColor="accent3"/>
          <w:bottom w:val="single" w:sz="8" w:space="0" w:color="00A1DE" w:themeColor="accent3"/>
          <w:right w:val="single" w:sz="8" w:space="0" w:color="00A1DE" w:themeColor="accent3"/>
        </w:tcBorders>
      </w:tcPr>
    </w:tblStylePr>
    <w:tblStylePr w:type="firstCol">
      <w:rPr>
        <w:b/>
        <w:bCs/>
      </w:rPr>
    </w:tblStylePr>
    <w:tblStylePr w:type="lastCol">
      <w:rPr>
        <w:b/>
        <w:bCs/>
      </w:rPr>
    </w:tblStylePr>
    <w:tblStylePr w:type="band1Vert">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tcPr>
    </w:tblStylePr>
    <w:tblStylePr w:type="band1Horz">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tcPr>
    </w:tblStylePr>
  </w:style>
  <w:style w:type="paragraph" w:styleId="List">
    <w:name w:val="List"/>
    <w:basedOn w:val="Normal"/>
    <w:rsid w:val="00AD5757"/>
    <w:pPr>
      <w:ind w:left="737" w:hanging="737"/>
    </w:pPr>
  </w:style>
  <w:style w:type="paragraph" w:customStyle="1" w:styleId="DBulletlevel1">
    <w:name w:val="D Bullet level 1"/>
    <w:basedOn w:val="Normal"/>
    <w:next w:val="DPuces2"/>
    <w:link w:val="DBulletlevel1Char"/>
    <w:qFormat/>
    <w:rsid w:val="00CF633B"/>
    <w:pPr>
      <w:widowControl w:val="0"/>
      <w:numPr>
        <w:ilvl w:val="1"/>
        <w:numId w:val="29"/>
      </w:numPr>
      <w:adjustRightInd w:val="0"/>
      <w:spacing w:after="0"/>
      <w:textAlignment w:val="baseline"/>
    </w:pPr>
    <w:rPr>
      <w:rFonts w:eastAsia="Times New Roman" w:cs="Arial"/>
      <w:noProof/>
      <w:lang w:eastAsia="fr-FR"/>
    </w:rPr>
  </w:style>
  <w:style w:type="paragraph" w:customStyle="1" w:styleId="Bulletlevel2">
    <w:name w:val="Bullet level 2"/>
    <w:basedOn w:val="Normal"/>
    <w:rsid w:val="00534526"/>
    <w:pPr>
      <w:numPr>
        <w:numId w:val="12"/>
      </w:numPr>
      <w:tabs>
        <w:tab w:val="clear" w:pos="567"/>
        <w:tab w:val="left" w:pos="340"/>
      </w:tabs>
      <w:spacing w:before="0"/>
      <w:ind w:left="340" w:hanging="170"/>
    </w:pPr>
    <w:rPr>
      <w:b/>
      <w:color w:val="000000"/>
      <w:lang w:val="x-none"/>
    </w:rPr>
  </w:style>
  <w:style w:type="paragraph" w:styleId="ListNumber4">
    <w:name w:val="List Number 4"/>
    <w:basedOn w:val="Normal"/>
    <w:unhideWhenUsed/>
    <w:rsid w:val="00534526"/>
    <w:pPr>
      <w:numPr>
        <w:numId w:val="13"/>
      </w:numPr>
    </w:pPr>
    <w:rPr>
      <w:color w:val="1F497D"/>
      <w:sz w:val="18"/>
    </w:rPr>
  </w:style>
  <w:style w:type="paragraph" w:customStyle="1" w:styleId="92Lettertext">
    <w:name w:val="92. Letter text"/>
    <w:link w:val="92LettertextChar"/>
    <w:qFormat/>
    <w:rsid w:val="00534526"/>
    <w:pPr>
      <w:spacing w:line="280" w:lineRule="exact"/>
      <w:ind w:left="284"/>
    </w:pPr>
    <w:rPr>
      <w:noProof/>
      <w:color w:val="000000"/>
      <w:kern w:val="28"/>
      <w:sz w:val="16"/>
      <w:szCs w:val="16"/>
      <w:lang w:val="en-US" w:eastAsia="en-US"/>
    </w:rPr>
  </w:style>
  <w:style w:type="character" w:customStyle="1" w:styleId="92LettertextChar">
    <w:name w:val="92. Letter text Char"/>
    <w:link w:val="92Lettertext"/>
    <w:rsid w:val="00534526"/>
    <w:rPr>
      <w:rFonts w:ascii="Arial" w:hAnsi="Arial"/>
      <w:noProof/>
      <w:color w:val="000000"/>
      <w:kern w:val="28"/>
      <w:sz w:val="16"/>
      <w:szCs w:val="16"/>
      <w:lang w:val="en-US" w:eastAsia="en-US"/>
    </w:rPr>
  </w:style>
  <w:style w:type="paragraph" w:styleId="Date">
    <w:name w:val="Date"/>
    <w:basedOn w:val="Normal"/>
    <w:next w:val="Normal"/>
    <w:link w:val="DateChar"/>
    <w:uiPriority w:val="99"/>
    <w:rsid w:val="00AD561E"/>
    <w:pPr>
      <w:spacing w:after="0" w:line="276" w:lineRule="auto"/>
    </w:pPr>
    <w:rPr>
      <w:rFonts w:ascii="Calibri" w:eastAsia="Times New Roman" w:hAnsi="Calibri" w:cs="Calibri"/>
      <w:color w:val="auto"/>
      <w:szCs w:val="22"/>
      <w:lang w:eastAsia="fr-FR"/>
    </w:rPr>
  </w:style>
  <w:style w:type="character" w:customStyle="1" w:styleId="DateChar">
    <w:name w:val="Date Char"/>
    <w:basedOn w:val="DefaultParagraphFont"/>
    <w:link w:val="Date"/>
    <w:uiPriority w:val="99"/>
    <w:rsid w:val="00AD561E"/>
    <w:rPr>
      <w:rFonts w:ascii="Calibri" w:eastAsia="Times New Roman" w:hAnsi="Calibri" w:cs="Calibri"/>
      <w:szCs w:val="22"/>
      <w:lang w:val="fr-FR" w:eastAsia="fr-FR"/>
    </w:rPr>
  </w:style>
  <w:style w:type="paragraph" w:customStyle="1" w:styleId="Captionheading">
    <w:name w:val="Caption heading"/>
    <w:basedOn w:val="Normal"/>
    <w:rsid w:val="006131FF"/>
    <w:pPr>
      <w:spacing w:before="0" w:after="80" w:line="200" w:lineRule="exact"/>
      <w:jc w:val="left"/>
    </w:pPr>
    <w:rPr>
      <w:b/>
      <w:sz w:val="18"/>
      <w:lang w:val="en-US"/>
    </w:rPr>
  </w:style>
  <w:style w:type="paragraph" w:customStyle="1" w:styleId="BSubheading-Blue">
    <w:name w:val="B Subheading - Blue"/>
    <w:basedOn w:val="Heading2"/>
    <w:link w:val="BSubheading-BlueChar"/>
    <w:rsid w:val="00D72356"/>
    <w:pPr>
      <w:numPr>
        <w:numId w:val="0"/>
      </w:numPr>
      <w:spacing w:before="320"/>
      <w:ind w:left="811" w:hanging="454"/>
    </w:pPr>
    <w:rPr>
      <w:color w:val="00A1DE" w:themeColor="accent3"/>
    </w:rPr>
  </w:style>
  <w:style w:type="character" w:customStyle="1" w:styleId="BSubheading-BlueChar">
    <w:name w:val="B Subheading - Blue Char"/>
    <w:basedOn w:val="Heading2Char"/>
    <w:link w:val="BSubheading-Blue"/>
    <w:rsid w:val="00D72356"/>
    <w:rPr>
      <w:b/>
      <w:noProof/>
      <w:color w:val="00A1DE" w:themeColor="accent3"/>
      <w:sz w:val="24"/>
      <w:szCs w:val="24"/>
      <w:lang w:val="en-US" w:eastAsia="en-US"/>
    </w:rPr>
  </w:style>
  <w:style w:type="paragraph" w:customStyle="1" w:styleId="CSubheading">
    <w:name w:val="C Subheading"/>
    <w:basedOn w:val="Heading3"/>
    <w:link w:val="CSubheadingChar"/>
    <w:rsid w:val="006131FF"/>
    <w:pPr>
      <w:numPr>
        <w:ilvl w:val="2"/>
        <w:numId w:val="14"/>
      </w:numPr>
      <w:tabs>
        <w:tab w:val="clear" w:pos="1418"/>
      </w:tabs>
      <w:spacing w:before="320"/>
      <w:ind w:left="1080"/>
    </w:pPr>
    <w:rPr>
      <w:color w:val="000000" w:themeColor="text1"/>
      <w:sz w:val="24"/>
      <w:lang w:val="en-GB"/>
    </w:rPr>
  </w:style>
  <w:style w:type="paragraph" w:customStyle="1" w:styleId="APageheading">
    <w:name w:val="A Page heading"/>
    <w:basedOn w:val="Heading1"/>
    <w:next w:val="Normal"/>
    <w:link w:val="APageheadingChar"/>
    <w:qFormat/>
    <w:rsid w:val="006E363C"/>
    <w:pPr>
      <w:keepNext/>
      <w:pageBreakBefore w:val="0"/>
      <w:numPr>
        <w:numId w:val="14"/>
      </w:numPr>
      <w:spacing w:after="720"/>
      <w:ind w:left="811" w:hanging="669"/>
    </w:pPr>
    <w:rPr>
      <w:color w:val="002776" w:themeColor="text2"/>
      <w:lang w:val="en-GB"/>
    </w:rPr>
  </w:style>
  <w:style w:type="character" w:customStyle="1" w:styleId="APageheadingChar">
    <w:name w:val="A Page heading Char"/>
    <w:basedOn w:val="Heading1Char"/>
    <w:link w:val="APageheading"/>
    <w:rsid w:val="006E363C"/>
    <w:rPr>
      <w:rFonts w:ascii="Times New Roman" w:hAnsi="Times New Roman"/>
      <w:noProof/>
      <w:color w:val="002776" w:themeColor="text2"/>
      <w:kern w:val="32"/>
      <w:sz w:val="60"/>
      <w:szCs w:val="60"/>
      <w:lang w:val="fr-FR" w:eastAsia="en-US"/>
    </w:rPr>
  </w:style>
  <w:style w:type="character" w:customStyle="1" w:styleId="hps">
    <w:name w:val="hps"/>
    <w:basedOn w:val="DefaultParagraphFont"/>
    <w:rsid w:val="006131FF"/>
  </w:style>
  <w:style w:type="numbering" w:customStyle="1" w:styleId="Style2">
    <w:name w:val="Style2"/>
    <w:rsid w:val="006131FF"/>
    <w:pPr>
      <w:numPr>
        <w:numId w:val="15"/>
      </w:numPr>
    </w:pPr>
  </w:style>
  <w:style w:type="paragraph" w:customStyle="1" w:styleId="BIOrapportpucetriangniv2">
    <w:name w:val="BIO_rapport_puce_triang_niv2"/>
    <w:basedOn w:val="Normal"/>
    <w:rsid w:val="006131FF"/>
    <w:pPr>
      <w:numPr>
        <w:numId w:val="16"/>
      </w:numPr>
      <w:spacing w:before="0" w:after="0" w:line="240" w:lineRule="auto"/>
      <w:jc w:val="left"/>
    </w:pPr>
    <w:rPr>
      <w:rFonts w:ascii="Calibri" w:eastAsia="Times New Roman" w:hAnsi="Calibri"/>
      <w:color w:val="auto"/>
      <w:sz w:val="22"/>
      <w:szCs w:val="22"/>
      <w:lang w:eastAsia="fr-FR"/>
    </w:rPr>
  </w:style>
  <w:style w:type="paragraph" w:customStyle="1" w:styleId="Titre5-puceronde">
    <w:name w:val="Titre 5-puce ronde"/>
    <w:basedOn w:val="BIOrapportpucetriangniv2"/>
    <w:link w:val="Titre5-pucerondeCar"/>
    <w:rsid w:val="006131FF"/>
    <w:pPr>
      <w:tabs>
        <w:tab w:val="left" w:pos="1620"/>
      </w:tabs>
    </w:pPr>
  </w:style>
  <w:style w:type="paragraph" w:customStyle="1" w:styleId="Pointsousnormal">
    <w:name w:val="Point sous normal"/>
    <w:basedOn w:val="Normal"/>
    <w:rsid w:val="00981ED8"/>
    <w:pPr>
      <w:numPr>
        <w:numId w:val="17"/>
      </w:numPr>
      <w:tabs>
        <w:tab w:val="left" w:pos="993"/>
      </w:tabs>
      <w:spacing w:before="0" w:after="0" w:line="240" w:lineRule="auto"/>
      <w:jc w:val="left"/>
    </w:pPr>
    <w:rPr>
      <w:rFonts w:ascii="Calibri" w:eastAsia="Times New Roman" w:hAnsi="Calibri"/>
      <w:color w:val="auto"/>
      <w:sz w:val="22"/>
      <w:szCs w:val="22"/>
      <w:lang w:eastAsia="fr-FR"/>
    </w:rPr>
  </w:style>
  <w:style w:type="paragraph" w:customStyle="1" w:styleId="Pointsousnormal2">
    <w:name w:val="Point sous normal 2"/>
    <w:basedOn w:val="Pointsousnormal"/>
    <w:rsid w:val="006131FF"/>
    <w:pPr>
      <w:spacing w:before="100"/>
    </w:pPr>
  </w:style>
  <w:style w:type="paragraph" w:customStyle="1" w:styleId="SoustitreCV">
    <w:name w:val="Sous titre CV"/>
    <w:basedOn w:val="ListBullet"/>
    <w:link w:val="SoustitreCVChar"/>
    <w:qFormat/>
    <w:rsid w:val="006131FF"/>
    <w:pPr>
      <w:numPr>
        <w:numId w:val="0"/>
      </w:numPr>
      <w:tabs>
        <w:tab w:val="clear" w:pos="426"/>
        <w:tab w:val="left" w:pos="284"/>
      </w:tabs>
      <w:ind w:left="720" w:hanging="720"/>
    </w:pPr>
    <w:rPr>
      <w:b/>
    </w:rPr>
  </w:style>
  <w:style w:type="paragraph" w:customStyle="1" w:styleId="CV-Puces">
    <w:name w:val="CV - Puces"/>
    <w:basedOn w:val="Normal"/>
    <w:rsid w:val="006131FF"/>
    <w:pPr>
      <w:tabs>
        <w:tab w:val="num" w:pos="228"/>
      </w:tabs>
      <w:spacing w:before="80" w:after="80"/>
      <w:ind w:left="227" w:hanging="142"/>
    </w:pPr>
    <w:rPr>
      <w:rFonts w:ascii="Corbel" w:eastAsia="Times New Roman" w:hAnsi="Corbel"/>
      <w:color w:val="auto"/>
      <w:lang w:eastAsia="fr-FR"/>
    </w:rPr>
  </w:style>
  <w:style w:type="character" w:customStyle="1" w:styleId="SoustitreCVChar">
    <w:name w:val="Sous titre CV Char"/>
    <w:basedOn w:val="ListBulletChar"/>
    <w:link w:val="SoustitreCV"/>
    <w:rsid w:val="006131FF"/>
    <w:rPr>
      <w:rFonts w:ascii="Arial" w:hAnsi="Arial"/>
      <w:b/>
      <w:color w:val="000000" w:themeColor="text1"/>
      <w:sz w:val="20"/>
      <w:lang w:val="fr-FR" w:eastAsia="en-US"/>
    </w:rPr>
  </w:style>
  <w:style w:type="paragraph" w:customStyle="1" w:styleId="CV-Tiret">
    <w:name w:val="CV - Tiret"/>
    <w:basedOn w:val="Normal"/>
    <w:rsid w:val="006131FF"/>
    <w:pPr>
      <w:tabs>
        <w:tab w:val="left" w:pos="792"/>
      </w:tabs>
      <w:spacing w:before="80" w:after="80"/>
      <w:ind w:left="788" w:hanging="357"/>
    </w:pPr>
    <w:rPr>
      <w:rFonts w:ascii="Corbel" w:eastAsia="Times New Roman" w:hAnsi="Corbel"/>
      <w:b/>
      <w:smallCaps/>
      <w:color w:val="auto"/>
      <w:u w:val="single"/>
      <w:lang w:eastAsia="fr-FR"/>
    </w:rPr>
  </w:style>
  <w:style w:type="character" w:customStyle="1" w:styleId="Titre5-pucerondeCar">
    <w:name w:val="Titre 5-puce ronde Car"/>
    <w:link w:val="Titre5-puceronde"/>
    <w:rsid w:val="006131FF"/>
    <w:rPr>
      <w:rFonts w:ascii="Calibri" w:eastAsia="Times New Roman" w:hAnsi="Calibri"/>
      <w:color w:val="auto"/>
      <w:sz w:val="22"/>
      <w:szCs w:val="22"/>
      <w:lang w:eastAsia="fr-FR"/>
    </w:rPr>
  </w:style>
  <w:style w:type="character" w:customStyle="1" w:styleId="Heading4Char">
    <w:name w:val="Heading 4 Char"/>
    <w:basedOn w:val="DefaultParagraphFont"/>
    <w:link w:val="Heading4"/>
    <w:rsid w:val="008B4BA7"/>
    <w:rPr>
      <w:b/>
      <w:bCs/>
      <w:noProof/>
      <w:color w:val="auto"/>
      <w:sz w:val="20"/>
      <w:szCs w:val="28"/>
      <w:lang w:val="en-US" w:eastAsia="en-US"/>
    </w:rPr>
  </w:style>
  <w:style w:type="paragraph" w:customStyle="1" w:styleId="Annexe">
    <w:name w:val="Annexe"/>
    <w:basedOn w:val="Normal"/>
    <w:rsid w:val="006131FF"/>
    <w:pPr>
      <w:spacing w:before="0" w:line="280" w:lineRule="atLeast"/>
      <w:jc w:val="center"/>
      <w:outlineLvl w:val="1"/>
    </w:pPr>
    <w:rPr>
      <w:rFonts w:ascii="Calibri" w:eastAsia="Times New Roman" w:hAnsi="Calibri"/>
      <w:b/>
      <w:smallCaps/>
      <w:color w:val="FFFFFF"/>
      <w:lang w:eastAsia="fr-FR"/>
    </w:rPr>
  </w:style>
  <w:style w:type="paragraph" w:customStyle="1" w:styleId="Tableau-Puce">
    <w:name w:val="Tableau - Puce"/>
    <w:basedOn w:val="bulletspointslvl1"/>
    <w:link w:val="Tableau-PuceCar"/>
    <w:qFormat/>
    <w:rsid w:val="00747FE8"/>
    <w:pPr>
      <w:numPr>
        <w:numId w:val="0"/>
      </w:numPr>
      <w:tabs>
        <w:tab w:val="left" w:pos="454"/>
      </w:tabs>
      <w:spacing w:before="60" w:after="60" w:line="240" w:lineRule="auto"/>
      <w:ind w:left="454" w:right="113" w:hanging="284"/>
    </w:pPr>
    <w:rPr>
      <w:rFonts w:eastAsia="Calibri"/>
      <w:sz w:val="20"/>
    </w:rPr>
  </w:style>
  <w:style w:type="character" w:customStyle="1" w:styleId="Tableau-PuceCar">
    <w:name w:val="Tableau - Puce Car"/>
    <w:link w:val="Tableau-Puce"/>
    <w:rsid w:val="00747FE8"/>
    <w:rPr>
      <w:rFonts w:ascii="Corbel" w:eastAsia="Calibri" w:hAnsi="Corbel"/>
      <w:lang w:val="fr-FR" w:eastAsia="de-DE"/>
    </w:rPr>
  </w:style>
  <w:style w:type="character" w:customStyle="1" w:styleId="Tableau-En-tteCar">
    <w:name w:val="Tableau - En-tête Car"/>
    <w:rsid w:val="00747FE8"/>
    <w:rPr>
      <w:rFonts w:ascii="Corbel" w:eastAsia="Times New Roman" w:hAnsi="Corbel" w:cs="Times New Roman"/>
      <w:b/>
      <w:smallCaps/>
      <w:color w:val="000000" w:themeColor="text1"/>
      <w:szCs w:val="22"/>
    </w:rPr>
  </w:style>
  <w:style w:type="paragraph" w:customStyle="1" w:styleId="CV-Normal">
    <w:name w:val="CV - Normal"/>
    <w:basedOn w:val="Normal"/>
    <w:link w:val="CV-NormalCar"/>
    <w:rsid w:val="00747FE8"/>
    <w:pPr>
      <w:spacing w:before="80" w:after="80"/>
    </w:pPr>
    <w:rPr>
      <w:rFonts w:ascii="Corbel" w:eastAsia="Times New Roman" w:hAnsi="Corbel" w:cs="Calibri"/>
      <w:color w:val="auto"/>
      <w:lang w:eastAsia="fr-FR"/>
    </w:rPr>
  </w:style>
  <w:style w:type="character" w:customStyle="1" w:styleId="CV-NormalCar">
    <w:name w:val="CV - Normal Car"/>
    <w:basedOn w:val="DefaultParagraphFont"/>
    <w:link w:val="CV-Normal"/>
    <w:rsid w:val="00747FE8"/>
    <w:rPr>
      <w:rFonts w:ascii="Corbel" w:eastAsia="Times New Roman" w:hAnsi="Corbel" w:cs="Calibri"/>
      <w:lang w:val="fr-FR" w:eastAsia="fr-FR"/>
    </w:rPr>
  </w:style>
  <w:style w:type="paragraph" w:styleId="ListNumber2">
    <w:name w:val="List Number 2"/>
    <w:basedOn w:val="Normal"/>
    <w:rsid w:val="00C60162"/>
    <w:pPr>
      <w:tabs>
        <w:tab w:val="num" w:pos="1134"/>
      </w:tabs>
      <w:ind w:left="1134" w:hanging="360"/>
      <w:contextualSpacing/>
    </w:pPr>
    <w:rPr>
      <w:rFonts w:ascii="Calibri" w:eastAsia="SimSun" w:hAnsi="Calibri" w:cs="Arial"/>
      <w:color w:val="auto"/>
      <w:lang w:eastAsia="fr-FR"/>
    </w:rPr>
  </w:style>
  <w:style w:type="paragraph" w:customStyle="1" w:styleId="Tiret">
    <w:name w:val="Tiret"/>
    <w:basedOn w:val="Normal"/>
    <w:qFormat/>
    <w:rsid w:val="00C60162"/>
    <w:pPr>
      <w:tabs>
        <w:tab w:val="left" w:pos="1344"/>
      </w:tabs>
      <w:ind w:left="1276" w:hanging="284"/>
    </w:pPr>
    <w:rPr>
      <w:rFonts w:ascii="Calibri" w:eastAsia="SimSun" w:hAnsi="Calibri"/>
      <w:color w:val="auto"/>
      <w:lang w:val="x-none" w:eastAsia="x-none"/>
    </w:rPr>
  </w:style>
  <w:style w:type="paragraph" w:styleId="ListNumber">
    <w:name w:val="List Number"/>
    <w:basedOn w:val="Normal"/>
    <w:uiPriority w:val="99"/>
    <w:unhideWhenUsed/>
    <w:rsid w:val="00F61A16"/>
    <w:pPr>
      <w:numPr>
        <w:numId w:val="18"/>
      </w:numPr>
    </w:pPr>
  </w:style>
  <w:style w:type="paragraph" w:customStyle="1" w:styleId="Bulletslevel1">
    <w:name w:val="Bullets level 1"/>
    <w:basedOn w:val="ListBullet"/>
    <w:link w:val="Bulletslevel1Char"/>
    <w:rsid w:val="00297AED"/>
    <w:pPr>
      <w:numPr>
        <w:numId w:val="0"/>
      </w:numPr>
      <w:tabs>
        <w:tab w:val="clear" w:pos="426"/>
        <w:tab w:val="left" w:pos="170"/>
      </w:tabs>
      <w:spacing w:before="0" w:line="276" w:lineRule="auto"/>
    </w:pPr>
    <w:rPr>
      <w:color w:val="000000"/>
    </w:rPr>
  </w:style>
  <w:style w:type="character" w:customStyle="1" w:styleId="Bulletslevel1Char">
    <w:name w:val="Bullets level 1 Char"/>
    <w:basedOn w:val="ListBulletChar"/>
    <w:link w:val="Bulletslevel1"/>
    <w:rsid w:val="00297AED"/>
    <w:rPr>
      <w:rFonts w:ascii="Arial" w:hAnsi="Arial"/>
      <w:color w:val="000000"/>
      <w:sz w:val="20"/>
      <w:lang w:val="fr-FR" w:eastAsia="en-US"/>
    </w:rPr>
  </w:style>
  <w:style w:type="paragraph" w:customStyle="1" w:styleId="Headingbulletlvl">
    <w:name w:val="Heading bullet lvl"/>
    <w:basedOn w:val="Normal"/>
    <w:next w:val="Normal"/>
    <w:link w:val="HeadingbulletlvlCar"/>
    <w:qFormat/>
    <w:rsid w:val="00692908"/>
    <w:pPr>
      <w:numPr>
        <w:numId w:val="19"/>
      </w:numPr>
      <w:spacing w:line="276" w:lineRule="auto"/>
    </w:pPr>
    <w:rPr>
      <w:rFonts w:ascii="Corbel" w:eastAsia="Times New Roman" w:hAnsi="Corbel"/>
      <w:b/>
      <w:smallCaps/>
      <w:color w:val="auto"/>
      <w:sz w:val="22"/>
      <w:u w:val="single"/>
      <w:lang w:val="x-none" w:eastAsia="de-DE"/>
    </w:rPr>
  </w:style>
  <w:style w:type="paragraph" w:customStyle="1" w:styleId="HeadingBullet2">
    <w:name w:val="Heading Bullet 2"/>
    <w:basedOn w:val="Headingbulletlvl"/>
    <w:next w:val="Normal"/>
    <w:uiPriority w:val="99"/>
    <w:qFormat/>
    <w:rsid w:val="00692908"/>
    <w:pPr>
      <w:numPr>
        <w:ilvl w:val="1"/>
      </w:numPr>
      <w:tabs>
        <w:tab w:val="num" w:pos="643"/>
      </w:tabs>
      <w:ind w:left="924" w:right="567" w:hanging="357"/>
    </w:pPr>
  </w:style>
  <w:style w:type="character" w:customStyle="1" w:styleId="HeadingbulletlvlCar">
    <w:name w:val="Heading bullet lvl Car"/>
    <w:link w:val="Headingbulletlvl"/>
    <w:rsid w:val="00692908"/>
    <w:rPr>
      <w:rFonts w:ascii="Corbel" w:eastAsia="Times New Roman" w:hAnsi="Corbel"/>
      <w:b/>
      <w:smallCaps/>
      <w:color w:val="auto"/>
      <w:sz w:val="22"/>
      <w:u w:val="single"/>
      <w:lang w:val="x-none" w:eastAsia="de-DE"/>
    </w:rPr>
  </w:style>
  <w:style w:type="paragraph" w:customStyle="1" w:styleId="StyleBodycopyText1Left1cm">
    <w:name w:val="Style Body copy + Text 1 Left:  1 cm"/>
    <w:basedOn w:val="Bodycopy"/>
    <w:rsid w:val="00A12ABA"/>
    <w:pPr>
      <w:spacing w:before="120" w:after="80" w:line="240" w:lineRule="auto"/>
      <w:ind w:left="567"/>
    </w:pPr>
    <w:rPr>
      <w:rFonts w:cstheme="minorHAnsi"/>
      <w:color w:val="000000"/>
    </w:rPr>
  </w:style>
  <w:style w:type="paragraph" w:customStyle="1" w:styleId="Puce2">
    <w:name w:val="Puce 2"/>
    <w:basedOn w:val="ListParagraph"/>
    <w:qFormat/>
    <w:rsid w:val="00CF10BC"/>
    <w:pPr>
      <w:numPr>
        <w:numId w:val="20"/>
      </w:numPr>
      <w:spacing w:before="0" w:after="240" w:line="280" w:lineRule="exact"/>
    </w:pPr>
    <w:rPr>
      <w:rFonts w:cs="Arial"/>
    </w:rPr>
  </w:style>
  <w:style w:type="paragraph" w:customStyle="1" w:styleId="BTitle20">
    <w:name w:val="B Title 2.0"/>
    <w:basedOn w:val="Heading2"/>
    <w:next w:val="Normal"/>
    <w:link w:val="BTitle20Char"/>
    <w:qFormat/>
    <w:rsid w:val="006E363C"/>
    <w:pPr>
      <w:numPr>
        <w:ilvl w:val="1"/>
        <w:numId w:val="14"/>
      </w:numPr>
      <w:spacing w:after="240" w:line="276" w:lineRule="auto"/>
      <w:ind w:left="851" w:hanging="567"/>
    </w:pPr>
    <w:rPr>
      <w:sz w:val="28"/>
      <w:lang w:val="en-GB"/>
    </w:rPr>
  </w:style>
  <w:style w:type="paragraph" w:customStyle="1" w:styleId="CTitre3">
    <w:name w:val="C Titre 3"/>
    <w:basedOn w:val="CSubheading"/>
    <w:next w:val="Normal"/>
    <w:link w:val="CTitre3Char"/>
    <w:qFormat/>
    <w:rsid w:val="000A2D40"/>
    <w:pPr>
      <w:spacing w:before="240"/>
      <w:ind w:left="1429"/>
    </w:pPr>
    <w:rPr>
      <w:color w:val="00A1DE" w:themeColor="accent3"/>
    </w:rPr>
  </w:style>
  <w:style w:type="character" w:customStyle="1" w:styleId="BTitle20Char">
    <w:name w:val="B Title 2.0 Char"/>
    <w:basedOn w:val="Heading2Char"/>
    <w:link w:val="BTitle20"/>
    <w:rsid w:val="006E363C"/>
    <w:rPr>
      <w:b/>
      <w:noProof/>
      <w:color w:val="00A1DE"/>
      <w:sz w:val="28"/>
      <w:lang w:val="en-US" w:eastAsia="en-US"/>
    </w:rPr>
  </w:style>
  <w:style w:type="character" w:customStyle="1" w:styleId="Heading3Char">
    <w:name w:val="Heading 3 Char"/>
    <w:basedOn w:val="DefaultParagraphFont"/>
    <w:link w:val="Heading3"/>
    <w:rsid w:val="001B53BF"/>
    <w:rPr>
      <w:b/>
      <w:noProof/>
      <w:color w:val="92D400" w:themeColor="accent2"/>
      <w:sz w:val="22"/>
      <w:lang w:val="en-US" w:eastAsia="en-US"/>
    </w:rPr>
  </w:style>
  <w:style w:type="character" w:customStyle="1" w:styleId="CSubheadingChar">
    <w:name w:val="C Subheading Char"/>
    <w:basedOn w:val="Heading3Char"/>
    <w:link w:val="CSubheading"/>
    <w:rsid w:val="001B53BF"/>
    <w:rPr>
      <w:b/>
      <w:noProof/>
      <w:color w:val="92D400" w:themeColor="accent2"/>
      <w:sz w:val="22"/>
      <w:lang w:val="en-US" w:eastAsia="en-US"/>
    </w:rPr>
  </w:style>
  <w:style w:type="character" w:customStyle="1" w:styleId="CTitre3Char">
    <w:name w:val="C Titre 3 Char"/>
    <w:basedOn w:val="CSubheadingChar"/>
    <w:link w:val="CTitre3"/>
    <w:rsid w:val="000A2D40"/>
    <w:rPr>
      <w:b/>
      <w:noProof/>
      <w:color w:val="00A1DE" w:themeColor="accent3"/>
      <w:sz w:val="22"/>
      <w:lang w:val="en-US" w:eastAsia="en-US"/>
    </w:rPr>
  </w:style>
  <w:style w:type="paragraph" w:styleId="BodyTextIndent">
    <w:name w:val="Body Text Indent"/>
    <w:basedOn w:val="Normal"/>
    <w:link w:val="BodyTextIndentChar"/>
    <w:rsid w:val="003F70E4"/>
    <w:pPr>
      <w:widowControl w:val="0"/>
      <w:spacing w:before="0" w:line="240" w:lineRule="auto"/>
      <w:ind w:left="283"/>
      <w:jc w:val="left"/>
    </w:pPr>
    <w:rPr>
      <w:rFonts w:ascii="CG Times" w:eastAsia="Times New Roman" w:hAnsi="CG Times"/>
      <w:snapToGrid w:val="0"/>
      <w:color w:val="auto"/>
      <w:lang w:eastAsia="en-US"/>
    </w:rPr>
  </w:style>
  <w:style w:type="character" w:customStyle="1" w:styleId="BodyTextIndentChar">
    <w:name w:val="Body Text Indent Char"/>
    <w:basedOn w:val="DefaultParagraphFont"/>
    <w:link w:val="BodyTextIndent"/>
    <w:rsid w:val="003F70E4"/>
    <w:rPr>
      <w:rFonts w:ascii="CG Times" w:eastAsia="Times New Roman" w:hAnsi="CG Times"/>
      <w:snapToGrid w:val="0"/>
      <w:color w:val="auto"/>
      <w:sz w:val="24"/>
      <w:lang w:eastAsia="en-US"/>
    </w:rPr>
  </w:style>
  <w:style w:type="table" w:customStyle="1" w:styleId="Table">
    <w:name w:val="Table"/>
    <w:basedOn w:val="TableNormal"/>
    <w:uiPriority w:val="99"/>
    <w:rsid w:val="001607B5"/>
    <w:pPr>
      <w:keepNext/>
      <w:keepLines/>
    </w:pPr>
    <w:rPr>
      <w:rFonts w:ascii="Corbel" w:eastAsia="Calibri" w:hAnsi="Corbel" w:cs="Mangal"/>
      <w:color w:val="auto"/>
      <w:sz w:val="18"/>
      <w:lang w:val="fr-FR" w:eastAsia="fr-FR"/>
    </w:rPr>
    <w:tblPr>
      <w:tblStyleRowBandSize w:val="1"/>
      <w:tblStyleColBandSize w:val="1"/>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rPr>
      <w:jc w:val="center"/>
    </w:trPr>
    <w:tcPr>
      <w:shd w:val="clear" w:color="auto" w:fill="D9D9D9" w:themeFill="background1" w:themeFillShade="D9"/>
    </w:tcPr>
    <w:tblStylePr w:type="firstRow">
      <w:pPr>
        <w:jc w:val="left"/>
      </w:pPr>
      <w:rPr>
        <w:rFonts w:ascii="Kartika" w:hAnsi="Kartika"/>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57BB3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GridTable4-Accent11">
    <w:name w:val="Grid Table 4 - Accent 11"/>
    <w:basedOn w:val="TableNormal"/>
    <w:uiPriority w:val="49"/>
    <w:rsid w:val="00D26781"/>
    <w:rPr>
      <w:rFonts w:asciiTheme="minorHAnsi" w:eastAsiaTheme="minorHAnsi" w:hAnsiTheme="minorHAnsi" w:cstheme="minorBidi"/>
      <w:color w:val="auto"/>
      <w:sz w:val="22"/>
      <w:szCs w:val="22"/>
      <w:lang w:eastAsia="en-US"/>
    </w:rPr>
    <w:tblPr>
      <w:tblStyleRowBandSize w:val="1"/>
      <w:tblStyleColBandSize w:val="1"/>
      <w:tblBorders>
        <w:top w:val="single" w:sz="4" w:space="0" w:color="1361FF" w:themeColor="accent1" w:themeTint="99"/>
        <w:left w:val="single" w:sz="4" w:space="0" w:color="1361FF" w:themeColor="accent1" w:themeTint="99"/>
        <w:bottom w:val="single" w:sz="4" w:space="0" w:color="1361FF" w:themeColor="accent1" w:themeTint="99"/>
        <w:right w:val="single" w:sz="4" w:space="0" w:color="1361FF" w:themeColor="accent1" w:themeTint="99"/>
        <w:insideH w:val="single" w:sz="4" w:space="0" w:color="1361FF" w:themeColor="accent1" w:themeTint="99"/>
        <w:insideV w:val="single" w:sz="4" w:space="0" w:color="1361FF" w:themeColor="accent1" w:themeTint="99"/>
      </w:tblBorders>
    </w:tblPr>
    <w:tblStylePr w:type="firstRow">
      <w:rPr>
        <w:b/>
        <w:bCs/>
        <w:color w:val="FFFFFF" w:themeColor="background1"/>
      </w:rPr>
      <w:tblPr/>
      <w:tcPr>
        <w:tcBorders>
          <w:top w:val="single" w:sz="4" w:space="0" w:color="002776" w:themeColor="accent1"/>
          <w:left w:val="single" w:sz="4" w:space="0" w:color="002776" w:themeColor="accent1"/>
          <w:bottom w:val="single" w:sz="4" w:space="0" w:color="002776" w:themeColor="accent1"/>
          <w:right w:val="single" w:sz="4" w:space="0" w:color="002776" w:themeColor="accent1"/>
          <w:insideH w:val="nil"/>
          <w:insideV w:val="nil"/>
        </w:tcBorders>
        <w:shd w:val="clear" w:color="auto" w:fill="002776" w:themeFill="accent1"/>
      </w:tcPr>
    </w:tblStylePr>
    <w:tblStylePr w:type="lastRow">
      <w:rPr>
        <w:b/>
        <w:bCs/>
      </w:rPr>
      <w:tblPr/>
      <w:tcPr>
        <w:tcBorders>
          <w:top w:val="double" w:sz="4" w:space="0" w:color="002776" w:themeColor="accent1"/>
        </w:tcBorders>
      </w:tcPr>
    </w:tblStylePr>
    <w:tblStylePr w:type="firstCol">
      <w:rPr>
        <w:b/>
        <w:bCs/>
      </w:rPr>
    </w:tblStylePr>
    <w:tblStylePr w:type="lastCol">
      <w:rPr>
        <w:b/>
        <w:bCs/>
      </w:rPr>
    </w:tblStylePr>
    <w:tblStylePr w:type="band1Vert">
      <w:tblPr/>
      <w:tcPr>
        <w:shd w:val="clear" w:color="auto" w:fill="B0CAFF" w:themeFill="accent1" w:themeFillTint="33"/>
      </w:tcPr>
    </w:tblStylePr>
    <w:tblStylePr w:type="band1Horz">
      <w:tblPr/>
      <w:tcPr>
        <w:shd w:val="clear" w:color="auto" w:fill="B0CAFF" w:themeFill="accent1" w:themeFillTint="33"/>
      </w:tcPr>
    </w:tblStylePr>
  </w:style>
  <w:style w:type="table" w:styleId="LightList">
    <w:name w:val="Light List"/>
    <w:basedOn w:val="TableNormal"/>
    <w:uiPriority w:val="61"/>
    <w:rsid w:val="005B79E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5B79E7"/>
    <w:tblPr>
      <w:tblStyleRowBandSize w:val="1"/>
      <w:tblStyleColBandSize w:val="1"/>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GridTable4-Accent12">
    <w:name w:val="Grid Table 4 - Accent 12"/>
    <w:basedOn w:val="TableNormal"/>
    <w:uiPriority w:val="49"/>
    <w:rsid w:val="00F43A36"/>
    <w:rPr>
      <w:rFonts w:asciiTheme="minorHAnsi" w:eastAsiaTheme="minorHAnsi" w:hAnsiTheme="minorHAnsi" w:cstheme="minorBidi"/>
      <w:color w:val="auto"/>
      <w:sz w:val="22"/>
      <w:szCs w:val="22"/>
      <w:lang w:eastAsia="en-US"/>
    </w:rPr>
    <w:tblPr>
      <w:tblStyleRowBandSize w:val="1"/>
      <w:tblStyleColBandSize w:val="1"/>
      <w:tblBorders>
        <w:top w:val="single" w:sz="4" w:space="0" w:color="1361FF" w:themeColor="accent1" w:themeTint="99"/>
        <w:left w:val="single" w:sz="4" w:space="0" w:color="1361FF" w:themeColor="accent1" w:themeTint="99"/>
        <w:bottom w:val="single" w:sz="4" w:space="0" w:color="1361FF" w:themeColor="accent1" w:themeTint="99"/>
        <w:right w:val="single" w:sz="4" w:space="0" w:color="1361FF" w:themeColor="accent1" w:themeTint="99"/>
        <w:insideH w:val="single" w:sz="4" w:space="0" w:color="1361FF" w:themeColor="accent1" w:themeTint="99"/>
        <w:insideV w:val="single" w:sz="4" w:space="0" w:color="1361FF" w:themeColor="accent1" w:themeTint="99"/>
      </w:tblBorders>
    </w:tblPr>
    <w:tblStylePr w:type="firstRow">
      <w:rPr>
        <w:b/>
        <w:bCs/>
        <w:color w:val="FFFFFF" w:themeColor="background1"/>
      </w:rPr>
      <w:tblPr/>
      <w:tcPr>
        <w:tcBorders>
          <w:top w:val="single" w:sz="4" w:space="0" w:color="002776" w:themeColor="accent1"/>
          <w:left w:val="single" w:sz="4" w:space="0" w:color="002776" w:themeColor="accent1"/>
          <w:bottom w:val="single" w:sz="4" w:space="0" w:color="002776" w:themeColor="accent1"/>
          <w:right w:val="single" w:sz="4" w:space="0" w:color="002776" w:themeColor="accent1"/>
          <w:insideH w:val="nil"/>
          <w:insideV w:val="nil"/>
        </w:tcBorders>
        <w:shd w:val="clear" w:color="auto" w:fill="002776" w:themeFill="accent1"/>
      </w:tcPr>
    </w:tblStylePr>
    <w:tblStylePr w:type="lastRow">
      <w:rPr>
        <w:b/>
        <w:bCs/>
      </w:rPr>
      <w:tblPr/>
      <w:tcPr>
        <w:tcBorders>
          <w:top w:val="double" w:sz="4" w:space="0" w:color="002776" w:themeColor="accent1"/>
        </w:tcBorders>
      </w:tcPr>
    </w:tblStylePr>
    <w:tblStylePr w:type="firstCol">
      <w:rPr>
        <w:b/>
        <w:bCs/>
      </w:rPr>
    </w:tblStylePr>
    <w:tblStylePr w:type="lastCol">
      <w:rPr>
        <w:b/>
        <w:bCs/>
      </w:rPr>
    </w:tblStylePr>
    <w:tblStylePr w:type="band1Vert">
      <w:tblPr/>
      <w:tcPr>
        <w:shd w:val="clear" w:color="auto" w:fill="B0CAFF" w:themeFill="accent1" w:themeFillTint="33"/>
      </w:tcPr>
    </w:tblStylePr>
    <w:tblStylePr w:type="band1Horz">
      <w:tblPr/>
      <w:tcPr>
        <w:shd w:val="clear" w:color="auto" w:fill="B0CAFF" w:themeFill="accent1" w:themeFillTint="33"/>
      </w:tcPr>
    </w:tblStylePr>
  </w:style>
  <w:style w:type="table" w:customStyle="1" w:styleId="LightList-Accent11">
    <w:name w:val="Light List - Accent 11"/>
    <w:basedOn w:val="TableNormal"/>
    <w:uiPriority w:val="61"/>
    <w:rsid w:val="00A363C2"/>
    <w:pPr>
      <w:spacing w:before="120" w:after="120"/>
    </w:pPr>
    <w:rPr>
      <w:rFonts w:ascii="Times" w:hAnsi="Times"/>
      <w:color w:val="auto"/>
    </w:rPr>
    <w:tblPr>
      <w:tblStyleRowBandSize w:val="1"/>
      <w:tblStyleColBandSize w:val="1"/>
      <w:tblBorders>
        <w:top w:val="single" w:sz="8" w:space="0" w:color="002776" w:themeColor="accent1"/>
        <w:left w:val="single" w:sz="8" w:space="0" w:color="002776" w:themeColor="accent1"/>
        <w:bottom w:val="single" w:sz="8" w:space="0" w:color="002776" w:themeColor="accent1"/>
        <w:right w:val="single" w:sz="8" w:space="0" w:color="002776" w:themeColor="accent1"/>
      </w:tblBorders>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paragraph" w:customStyle="1" w:styleId="bulets">
    <w:name w:val="bulets"/>
    <w:basedOn w:val="ListParagraph"/>
    <w:link w:val="buletsCar"/>
    <w:rsid w:val="00BF6D2F"/>
    <w:pPr>
      <w:numPr>
        <w:numId w:val="22"/>
      </w:numPr>
      <w:spacing w:line="276" w:lineRule="auto"/>
    </w:pPr>
    <w:rPr>
      <w:rFonts w:ascii="Calibri" w:eastAsia="Times New Roman" w:hAnsi="Calibri" w:cs="Arial"/>
      <w:sz w:val="22"/>
      <w:lang w:eastAsia="fr-FR"/>
    </w:rPr>
  </w:style>
  <w:style w:type="character" w:customStyle="1" w:styleId="buletsCar">
    <w:name w:val="bulets Car"/>
    <w:basedOn w:val="DefaultParagraphFont"/>
    <w:link w:val="bulets"/>
    <w:rsid w:val="00BF6D2F"/>
    <w:rPr>
      <w:rFonts w:ascii="Calibri" w:eastAsia="Times New Roman" w:hAnsi="Calibri" w:cs="Arial"/>
      <w:sz w:val="22"/>
      <w:lang w:eastAsia="fr-FR"/>
    </w:rPr>
  </w:style>
  <w:style w:type="table" w:customStyle="1" w:styleId="LightList-Accent115">
    <w:name w:val="Light List - Accent 115"/>
    <w:basedOn w:val="TableNormal"/>
    <w:uiPriority w:val="61"/>
    <w:rsid w:val="00BF6D2F"/>
    <w:pPr>
      <w:spacing w:before="120" w:after="120"/>
    </w:pPr>
    <w:rPr>
      <w:rFonts w:ascii="Times" w:hAnsi="Times"/>
      <w:color w:val="auto"/>
    </w:rPr>
    <w:tblPr>
      <w:tblStyleRowBandSize w:val="1"/>
      <w:tblStyleColBandSize w:val="1"/>
      <w:tblBorders>
        <w:top w:val="single" w:sz="8" w:space="0" w:color="002776" w:themeColor="accent1"/>
        <w:left w:val="single" w:sz="8" w:space="0" w:color="002776" w:themeColor="accent1"/>
        <w:bottom w:val="single" w:sz="8" w:space="0" w:color="002776" w:themeColor="accent1"/>
        <w:right w:val="single" w:sz="8" w:space="0" w:color="002776" w:themeColor="accent1"/>
      </w:tblBorders>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paragraph" w:customStyle="1" w:styleId="font5">
    <w:name w:val="font5"/>
    <w:basedOn w:val="Normal"/>
    <w:rsid w:val="00721828"/>
    <w:pPr>
      <w:spacing w:before="100" w:beforeAutospacing="1" w:after="100" w:afterAutospacing="1" w:line="240" w:lineRule="auto"/>
      <w:jc w:val="left"/>
    </w:pPr>
    <w:rPr>
      <w:rFonts w:eastAsia="Times New Roman" w:cs="Arial"/>
      <w:color w:val="000000"/>
      <w:sz w:val="18"/>
      <w:szCs w:val="18"/>
      <w:lang w:val="fr-FR" w:eastAsia="fr-FR"/>
    </w:rPr>
  </w:style>
  <w:style w:type="paragraph" w:customStyle="1" w:styleId="xl64">
    <w:name w:val="xl64"/>
    <w:basedOn w:val="Normal"/>
    <w:rsid w:val="00721828"/>
    <w:pPr>
      <w:pBdr>
        <w:top w:val="single" w:sz="12" w:space="0" w:color="BFFF3C"/>
        <w:left w:val="single" w:sz="4"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65">
    <w:name w:val="xl65"/>
    <w:basedOn w:val="Normal"/>
    <w:rsid w:val="00721828"/>
    <w:pPr>
      <w:pBdr>
        <w:top w:val="single" w:sz="4" w:space="0" w:color="BFFF3C"/>
        <w:left w:val="single" w:sz="4" w:space="0" w:color="BFFF3C"/>
        <w:bottom w:val="single" w:sz="4" w:space="0" w:color="BFFF3C"/>
        <w:right w:val="single" w:sz="4" w:space="0" w:color="BFFF3C"/>
      </w:pBdr>
      <w:shd w:val="clear" w:color="000000" w:fill="002776"/>
      <w:spacing w:before="100" w:beforeAutospacing="1" w:after="100" w:afterAutospacing="1" w:line="240" w:lineRule="auto"/>
      <w:jc w:val="left"/>
      <w:textAlignment w:val="center"/>
    </w:pPr>
    <w:rPr>
      <w:rFonts w:ascii="Corbel" w:eastAsia="Times New Roman" w:hAnsi="Corbel"/>
      <w:b/>
      <w:bCs/>
      <w:color w:val="BFFF3C"/>
      <w:lang w:val="fr-FR" w:eastAsia="fr-FR"/>
    </w:rPr>
  </w:style>
  <w:style w:type="paragraph" w:customStyle="1" w:styleId="xl66">
    <w:name w:val="xl66"/>
    <w:basedOn w:val="Normal"/>
    <w:rsid w:val="00721828"/>
    <w:pPr>
      <w:pBdr>
        <w:top w:val="single" w:sz="4" w:space="0" w:color="BFFF3C"/>
        <w:left w:val="single" w:sz="4"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67">
    <w:name w:val="xl67"/>
    <w:basedOn w:val="Normal"/>
    <w:rsid w:val="00721828"/>
    <w:pPr>
      <w:pBdr>
        <w:top w:val="single" w:sz="4" w:space="0" w:color="BFFF3C"/>
        <w:left w:val="single" w:sz="12"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lang w:val="fr-FR" w:eastAsia="fr-FR"/>
    </w:rPr>
  </w:style>
  <w:style w:type="paragraph" w:customStyle="1" w:styleId="xl68">
    <w:name w:val="xl68"/>
    <w:basedOn w:val="Normal"/>
    <w:rsid w:val="00721828"/>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69">
    <w:name w:val="xl69"/>
    <w:basedOn w:val="Normal"/>
    <w:rsid w:val="00721828"/>
    <w:pPr>
      <w:pBdr>
        <w:top w:val="single" w:sz="4" w:space="0" w:color="BFFF3C"/>
        <w:left w:val="single" w:sz="4" w:space="0" w:color="BFFF3C"/>
        <w:bottom w:val="single" w:sz="4" w:space="0" w:color="BFFF3C"/>
        <w:right w:val="single" w:sz="12" w:space="0" w:color="BFFF3C"/>
      </w:pBdr>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0">
    <w:name w:val="xl70"/>
    <w:basedOn w:val="Normal"/>
    <w:rsid w:val="00721828"/>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pPr>
    <w:rPr>
      <w:rFonts w:ascii="Corbel" w:eastAsia="Times New Roman" w:hAnsi="Corbel"/>
      <w:color w:val="auto"/>
      <w:lang w:val="fr-FR" w:eastAsia="fr-FR"/>
    </w:rPr>
  </w:style>
  <w:style w:type="paragraph" w:customStyle="1" w:styleId="xl71">
    <w:name w:val="xl71"/>
    <w:basedOn w:val="Normal"/>
    <w:rsid w:val="00721828"/>
    <w:pPr>
      <w:pBdr>
        <w:top w:val="single" w:sz="4" w:space="0" w:color="BFFF3C"/>
        <w:left w:val="single" w:sz="4" w:space="0" w:color="BFFF3C"/>
        <w:bottom w:val="single" w:sz="12"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2">
    <w:name w:val="xl72"/>
    <w:basedOn w:val="Normal"/>
    <w:rsid w:val="00721828"/>
    <w:pPr>
      <w:pBdr>
        <w:top w:val="single" w:sz="4" w:space="0" w:color="BFFF3C"/>
        <w:left w:val="single" w:sz="4" w:space="0" w:color="BFFF3C"/>
        <w:bottom w:val="single" w:sz="12" w:space="0" w:color="BFFF3C"/>
        <w:right w:val="single" w:sz="12" w:space="0" w:color="BFFF3C"/>
      </w:pBdr>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3">
    <w:name w:val="xl73"/>
    <w:basedOn w:val="Normal"/>
    <w:rsid w:val="00721828"/>
    <w:pPr>
      <w:pBdr>
        <w:top w:val="single" w:sz="4" w:space="0" w:color="BFFF3C"/>
        <w:left w:val="single" w:sz="12" w:space="0" w:color="BFFF3C"/>
        <w:bottom w:val="single" w:sz="12"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lang w:val="fr-FR" w:eastAsia="fr-FR"/>
    </w:rPr>
  </w:style>
  <w:style w:type="paragraph" w:customStyle="1" w:styleId="xl74">
    <w:name w:val="xl74"/>
    <w:basedOn w:val="Normal"/>
    <w:rsid w:val="00721828"/>
    <w:pPr>
      <w:pBdr>
        <w:top w:val="single" w:sz="4" w:space="0" w:color="BFFF3C"/>
        <w:left w:val="single" w:sz="4" w:space="0" w:color="BFFF3C"/>
        <w:bottom w:val="single" w:sz="4" w:space="0" w:color="BFFF3C"/>
        <w:right w:val="single" w:sz="4" w:space="0" w:color="BFFF3C"/>
      </w:pBdr>
      <w:shd w:val="clear" w:color="000000" w:fill="C4EFFF"/>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5">
    <w:name w:val="xl75"/>
    <w:basedOn w:val="Normal"/>
    <w:rsid w:val="00721828"/>
    <w:pPr>
      <w:pBdr>
        <w:top w:val="single" w:sz="4" w:space="0" w:color="BFFF3C"/>
        <w:left w:val="single" w:sz="4" w:space="0" w:color="BFFF3C"/>
        <w:bottom w:val="single" w:sz="12" w:space="0" w:color="BFFF3C"/>
        <w:right w:val="single" w:sz="4" w:space="0" w:color="BFFF3C"/>
      </w:pBdr>
      <w:shd w:val="clear" w:color="000000" w:fill="C4EFFF"/>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6">
    <w:name w:val="xl76"/>
    <w:basedOn w:val="Normal"/>
    <w:rsid w:val="00721828"/>
    <w:pPr>
      <w:spacing w:before="100" w:beforeAutospacing="1" w:after="100" w:afterAutospacing="1" w:line="240" w:lineRule="auto"/>
      <w:jc w:val="left"/>
    </w:pPr>
    <w:rPr>
      <w:rFonts w:ascii="Times New Roman" w:eastAsia="Times New Roman" w:hAnsi="Times New Roman"/>
      <w:color w:val="00A1DE"/>
      <w:u w:val="single"/>
      <w:lang w:val="fr-FR" w:eastAsia="fr-FR"/>
    </w:rPr>
  </w:style>
  <w:style w:type="paragraph" w:customStyle="1" w:styleId="xl77">
    <w:name w:val="xl77"/>
    <w:basedOn w:val="Normal"/>
    <w:rsid w:val="00721828"/>
    <w:pPr>
      <w:pBdr>
        <w:top w:val="single" w:sz="4" w:space="0" w:color="BFFF3C"/>
        <w:left w:val="single" w:sz="4" w:space="0" w:color="BFFF3C"/>
        <w:bottom w:val="single" w:sz="4" w:space="0" w:color="BFFF3C"/>
        <w:right w:val="single" w:sz="4" w:space="0" w:color="BFFF3C"/>
      </w:pBdr>
      <w:shd w:val="clear" w:color="000000" w:fill="FFFF00"/>
      <w:spacing w:before="100" w:beforeAutospacing="1" w:after="100" w:afterAutospacing="1" w:line="240" w:lineRule="auto"/>
      <w:jc w:val="left"/>
      <w:textAlignment w:val="center"/>
    </w:pPr>
    <w:rPr>
      <w:rFonts w:ascii="Corbel" w:eastAsia="Times New Roman" w:hAnsi="Corbel"/>
      <w:color w:val="auto"/>
      <w:lang w:val="fr-FR" w:eastAsia="fr-FR"/>
    </w:rPr>
  </w:style>
  <w:style w:type="paragraph" w:customStyle="1" w:styleId="xl78">
    <w:name w:val="xl78"/>
    <w:basedOn w:val="Normal"/>
    <w:rsid w:val="00721828"/>
    <w:pPr>
      <w:pBdr>
        <w:top w:val="single" w:sz="12" w:space="0" w:color="BFFF3C"/>
        <w:left w:val="single" w:sz="4" w:space="0" w:color="BFFF3C"/>
        <w:bottom w:val="single" w:sz="4" w:space="0" w:color="BFFF3C"/>
        <w:right w:val="single" w:sz="12"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79">
    <w:name w:val="xl79"/>
    <w:basedOn w:val="Normal"/>
    <w:rsid w:val="00721828"/>
    <w:pPr>
      <w:pBdr>
        <w:top w:val="single" w:sz="4" w:space="0" w:color="BFFF3C"/>
        <w:left w:val="single" w:sz="4" w:space="0" w:color="BFFF3C"/>
        <w:bottom w:val="single" w:sz="4" w:space="0" w:color="BFFF3C"/>
        <w:right w:val="single" w:sz="12"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80">
    <w:name w:val="xl80"/>
    <w:basedOn w:val="Normal"/>
    <w:rsid w:val="00721828"/>
    <w:pPr>
      <w:pBdr>
        <w:top w:val="single" w:sz="12" w:space="0" w:color="BFFF3C"/>
        <w:left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81">
    <w:name w:val="xl81"/>
    <w:basedOn w:val="Normal"/>
    <w:rsid w:val="00721828"/>
    <w:pPr>
      <w:pBdr>
        <w:top w:val="single" w:sz="4" w:space="0" w:color="BFFF3C"/>
        <w:left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82">
    <w:name w:val="xl82"/>
    <w:basedOn w:val="Normal"/>
    <w:rsid w:val="006974AA"/>
    <w:pPr>
      <w:pBdr>
        <w:top w:val="single" w:sz="12" w:space="0" w:color="BFFF3C"/>
        <w:left w:val="single" w:sz="4" w:space="0" w:color="BFFF3C"/>
        <w:bottom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83">
    <w:name w:val="xl83"/>
    <w:basedOn w:val="Normal"/>
    <w:rsid w:val="006974AA"/>
    <w:pPr>
      <w:pBdr>
        <w:top w:val="single" w:sz="12" w:space="0" w:color="BFFF3C"/>
        <w:bottom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paragraph" w:customStyle="1" w:styleId="xl84">
    <w:name w:val="xl84"/>
    <w:basedOn w:val="Normal"/>
    <w:rsid w:val="006974AA"/>
    <w:pPr>
      <w:pBdr>
        <w:top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lang w:val="fr-FR" w:eastAsia="fr-FR"/>
    </w:rPr>
  </w:style>
  <w:style w:type="numbering" w:customStyle="1" w:styleId="BulletBig">
    <w:name w:val="Bullet Big"/>
    <w:rsid w:val="007176FC"/>
    <w:pPr>
      <w:numPr>
        <w:numId w:val="23"/>
      </w:numPr>
    </w:pPr>
  </w:style>
  <w:style w:type="table" w:customStyle="1" w:styleId="GridTable4-Accent13">
    <w:name w:val="Grid Table 4 - Accent 13"/>
    <w:basedOn w:val="TableNormal"/>
    <w:uiPriority w:val="49"/>
    <w:rsid w:val="00AF3D4A"/>
    <w:tblPr>
      <w:tblStyleRowBandSize w:val="1"/>
      <w:tblStyleColBandSize w:val="1"/>
      <w:tblBorders>
        <w:top w:val="single" w:sz="4" w:space="0" w:color="1361FF" w:themeColor="accent1" w:themeTint="99"/>
        <w:left w:val="single" w:sz="4" w:space="0" w:color="1361FF" w:themeColor="accent1" w:themeTint="99"/>
        <w:bottom w:val="single" w:sz="4" w:space="0" w:color="1361FF" w:themeColor="accent1" w:themeTint="99"/>
        <w:right w:val="single" w:sz="4" w:space="0" w:color="1361FF" w:themeColor="accent1" w:themeTint="99"/>
        <w:insideH w:val="single" w:sz="4" w:space="0" w:color="1361FF" w:themeColor="accent1" w:themeTint="99"/>
        <w:insideV w:val="single" w:sz="4" w:space="0" w:color="1361FF" w:themeColor="accent1" w:themeTint="99"/>
      </w:tblBorders>
    </w:tblPr>
    <w:tblStylePr w:type="firstRow">
      <w:rPr>
        <w:b/>
        <w:bCs/>
        <w:color w:val="FFFFFF" w:themeColor="background1"/>
      </w:rPr>
      <w:tblPr/>
      <w:tcPr>
        <w:tcBorders>
          <w:top w:val="single" w:sz="4" w:space="0" w:color="002776" w:themeColor="accent1"/>
          <w:left w:val="single" w:sz="4" w:space="0" w:color="002776" w:themeColor="accent1"/>
          <w:bottom w:val="single" w:sz="4" w:space="0" w:color="002776" w:themeColor="accent1"/>
          <w:right w:val="single" w:sz="4" w:space="0" w:color="002776" w:themeColor="accent1"/>
          <w:insideH w:val="nil"/>
          <w:insideV w:val="nil"/>
        </w:tcBorders>
        <w:shd w:val="clear" w:color="auto" w:fill="002776" w:themeFill="accent1"/>
      </w:tcPr>
    </w:tblStylePr>
    <w:tblStylePr w:type="lastRow">
      <w:rPr>
        <w:b/>
        <w:bCs/>
      </w:rPr>
      <w:tblPr/>
      <w:tcPr>
        <w:tcBorders>
          <w:top w:val="double" w:sz="4" w:space="0" w:color="002776" w:themeColor="accent1"/>
        </w:tcBorders>
      </w:tcPr>
    </w:tblStylePr>
    <w:tblStylePr w:type="firstCol">
      <w:rPr>
        <w:b/>
        <w:bCs/>
      </w:rPr>
    </w:tblStylePr>
    <w:tblStylePr w:type="lastCol">
      <w:rPr>
        <w:b/>
        <w:bCs/>
      </w:rPr>
    </w:tblStylePr>
    <w:tblStylePr w:type="band1Vert">
      <w:tblPr/>
      <w:tcPr>
        <w:shd w:val="clear" w:color="auto" w:fill="B0CAFF" w:themeFill="accent1" w:themeFillTint="33"/>
      </w:tcPr>
    </w:tblStylePr>
    <w:tblStylePr w:type="band1Horz">
      <w:tblPr/>
      <w:tcPr>
        <w:shd w:val="clear" w:color="auto" w:fill="B0CAFF" w:themeFill="accent1" w:themeFillTint="33"/>
      </w:tcPr>
    </w:tblStylePr>
  </w:style>
  <w:style w:type="paragraph" w:customStyle="1" w:styleId="xl85">
    <w:name w:val="xl85"/>
    <w:basedOn w:val="Normal"/>
    <w:rsid w:val="00493533"/>
    <w:pPr>
      <w:pBdr>
        <w:top w:val="single" w:sz="4" w:space="0" w:color="BFFF3C"/>
        <w:left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86">
    <w:name w:val="xl86"/>
    <w:basedOn w:val="Normal"/>
    <w:rsid w:val="00493533"/>
    <w:pPr>
      <w:pBdr>
        <w:top w:val="single" w:sz="4" w:space="0" w:color="BFFF3C"/>
        <w:bottom w:val="single" w:sz="4" w:space="0" w:color="BFFF3C"/>
        <w:right w:val="single" w:sz="4" w:space="0" w:color="BFFF3C"/>
      </w:pBdr>
      <w:spacing w:before="100" w:beforeAutospacing="1" w:after="100" w:afterAutospacing="1" w:line="240" w:lineRule="auto"/>
      <w:jc w:val="left"/>
    </w:pPr>
    <w:rPr>
      <w:rFonts w:ascii="Times New Roman" w:eastAsia="Times New Roman" w:hAnsi="Times New Roman"/>
      <w:color w:val="auto"/>
      <w:lang w:val="fr-FR" w:eastAsia="fr-FR"/>
    </w:rPr>
  </w:style>
  <w:style w:type="paragraph" w:customStyle="1" w:styleId="xl87">
    <w:name w:val="xl87"/>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pPr>
    <w:rPr>
      <w:rFonts w:ascii="Times New Roman" w:eastAsia="Times New Roman" w:hAnsi="Times New Roman"/>
      <w:color w:val="auto"/>
      <w:lang w:val="fr-FR" w:eastAsia="fr-FR"/>
    </w:rPr>
  </w:style>
  <w:style w:type="paragraph" w:customStyle="1" w:styleId="xl88">
    <w:name w:val="xl88"/>
    <w:basedOn w:val="Normal"/>
    <w:rsid w:val="00493533"/>
    <w:pPr>
      <w:pBdr>
        <w:left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89">
    <w:name w:val="xl89"/>
    <w:basedOn w:val="Normal"/>
    <w:rsid w:val="00493533"/>
    <w:pPr>
      <w:pBdr>
        <w:left w:val="single" w:sz="4" w:space="0" w:color="BFFF3C"/>
        <w:bottom w:val="single" w:sz="4" w:space="0" w:color="BFFF3C"/>
        <w:right w:val="single" w:sz="4" w:space="0" w:color="BFFF3C"/>
      </w:pBdr>
      <w:spacing w:before="100" w:beforeAutospacing="1" w:after="100" w:afterAutospacing="1" w:line="240" w:lineRule="auto"/>
      <w:jc w:val="left"/>
      <w:textAlignment w:val="top"/>
    </w:pPr>
    <w:rPr>
      <w:rFonts w:ascii="Corbel" w:eastAsia="Times New Roman" w:hAnsi="Corbel"/>
      <w:color w:val="auto"/>
      <w:szCs w:val="20"/>
      <w:lang w:val="fr-FR" w:eastAsia="fr-FR"/>
    </w:rPr>
  </w:style>
  <w:style w:type="paragraph" w:customStyle="1" w:styleId="xl90">
    <w:name w:val="xl90"/>
    <w:basedOn w:val="Normal"/>
    <w:rsid w:val="00493533"/>
    <w:pP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91">
    <w:name w:val="xl91"/>
    <w:basedOn w:val="Normal"/>
    <w:rsid w:val="00493533"/>
    <w:pPr>
      <w:spacing w:before="100" w:beforeAutospacing="1" w:after="100" w:afterAutospacing="1" w:line="240" w:lineRule="auto"/>
      <w:jc w:val="left"/>
      <w:textAlignment w:val="center"/>
    </w:pPr>
    <w:rPr>
      <w:rFonts w:ascii="Times New Roman" w:eastAsia="Times New Roman" w:hAnsi="Times New Roman"/>
      <w:color w:val="00A1DE"/>
      <w:u w:val="single"/>
      <w:lang w:val="fr-FR" w:eastAsia="fr-FR"/>
    </w:rPr>
  </w:style>
  <w:style w:type="paragraph" w:customStyle="1" w:styleId="xl92">
    <w:name w:val="xl92"/>
    <w:basedOn w:val="Normal"/>
    <w:rsid w:val="00493533"/>
    <w:pPr>
      <w:pBdr>
        <w:top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93">
    <w:name w:val="xl93"/>
    <w:basedOn w:val="Normal"/>
    <w:rsid w:val="00493533"/>
    <w:pPr>
      <w:pBdr>
        <w:top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94">
    <w:name w:val="xl94"/>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95">
    <w:name w:val="xl95"/>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pPr>
    <w:rPr>
      <w:rFonts w:ascii="Corbel" w:eastAsia="Times New Roman" w:hAnsi="Corbel"/>
      <w:color w:val="auto"/>
      <w:szCs w:val="20"/>
      <w:lang w:val="fr-FR" w:eastAsia="fr-FR"/>
    </w:rPr>
  </w:style>
  <w:style w:type="paragraph" w:customStyle="1" w:styleId="xl96">
    <w:name w:val="xl96"/>
    <w:basedOn w:val="Normal"/>
    <w:rsid w:val="00493533"/>
    <w:pPr>
      <w:pBdr>
        <w:top w:val="single" w:sz="4" w:space="0" w:color="BFFF3C"/>
        <w:left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97">
    <w:name w:val="xl97"/>
    <w:basedOn w:val="Normal"/>
    <w:rsid w:val="00493533"/>
    <w:pPr>
      <w:pBdr>
        <w:top w:val="single" w:sz="4" w:space="0" w:color="BFFF3C"/>
        <w:left w:val="single" w:sz="4" w:space="0" w:color="BFFF3C"/>
        <w:right w:val="single" w:sz="4" w:space="0" w:color="BFFF3C"/>
      </w:pBdr>
      <w:shd w:val="clear" w:color="000000" w:fill="CCECFF"/>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98">
    <w:name w:val="xl98"/>
    <w:basedOn w:val="Normal"/>
    <w:rsid w:val="00493533"/>
    <w:pPr>
      <w:pBdr>
        <w:top w:val="single" w:sz="4" w:space="0" w:color="BFFF3C"/>
        <w:left w:val="single" w:sz="4" w:space="0" w:color="BFFF3C"/>
        <w:bottom w:val="single" w:sz="4" w:space="0" w:color="BFFF3C"/>
        <w:right w:val="single" w:sz="4" w:space="0" w:color="BFFF3C"/>
      </w:pBdr>
      <w:shd w:val="clear" w:color="000000" w:fill="CCECFF"/>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99">
    <w:name w:val="xl99"/>
    <w:basedOn w:val="Normal"/>
    <w:rsid w:val="00493533"/>
    <w:pPr>
      <w:pBdr>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100">
    <w:name w:val="xl100"/>
    <w:basedOn w:val="Normal"/>
    <w:rsid w:val="00493533"/>
    <w:pPr>
      <w:pBdr>
        <w:left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101">
    <w:name w:val="xl101"/>
    <w:basedOn w:val="Normal"/>
    <w:rsid w:val="00493533"/>
    <w:pPr>
      <w:spacing w:before="100" w:beforeAutospacing="1" w:after="100" w:afterAutospacing="1" w:line="240" w:lineRule="auto"/>
      <w:jc w:val="left"/>
    </w:pPr>
    <w:rPr>
      <w:rFonts w:ascii="Times New Roman" w:eastAsia="Times New Roman" w:hAnsi="Times New Roman"/>
      <w:color w:val="00A1DE"/>
      <w:u w:val="single"/>
      <w:lang w:val="fr-FR" w:eastAsia="fr-FR"/>
    </w:rPr>
  </w:style>
  <w:style w:type="paragraph" w:customStyle="1" w:styleId="xl102">
    <w:name w:val="xl102"/>
    <w:basedOn w:val="Normal"/>
    <w:rsid w:val="00493533"/>
    <w:pPr>
      <w:pBdr>
        <w:top w:val="single" w:sz="4" w:space="0" w:color="BFFF3C"/>
        <w:left w:val="single" w:sz="4" w:space="0" w:color="BFFF3C"/>
        <w:bottom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03">
    <w:name w:val="xl103"/>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04">
    <w:name w:val="xl104"/>
    <w:basedOn w:val="Normal"/>
    <w:rsid w:val="00493533"/>
    <w:pPr>
      <w:pBdr>
        <w:top w:val="single" w:sz="4" w:space="0" w:color="BFFF3C"/>
        <w:left w:val="single" w:sz="12"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05">
    <w:name w:val="xl105"/>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top"/>
    </w:pPr>
    <w:rPr>
      <w:rFonts w:ascii="Corbel" w:eastAsia="Times New Roman" w:hAnsi="Corbel"/>
      <w:color w:val="auto"/>
      <w:szCs w:val="20"/>
      <w:lang w:val="fr-FR" w:eastAsia="fr-FR"/>
    </w:rPr>
  </w:style>
  <w:style w:type="paragraph" w:customStyle="1" w:styleId="xl106">
    <w:name w:val="xl106"/>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107">
    <w:name w:val="xl107"/>
    <w:basedOn w:val="Normal"/>
    <w:rsid w:val="00493533"/>
    <w:pPr>
      <w:pBdr>
        <w:top w:val="single" w:sz="4" w:space="0" w:color="BFFF3C"/>
        <w:left w:val="single" w:sz="4" w:space="0" w:color="BFFF3C"/>
        <w:bottom w:val="single" w:sz="4" w:space="0" w:color="BFFF3C"/>
        <w:right w:val="single" w:sz="4" w:space="0" w:color="BFFF3C"/>
      </w:pBdr>
      <w:shd w:val="clear" w:color="000000" w:fill="CCECFF"/>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08">
    <w:name w:val="xl108"/>
    <w:basedOn w:val="Normal"/>
    <w:rsid w:val="00493533"/>
    <w:pPr>
      <w:pBdr>
        <w:top w:val="single" w:sz="4" w:space="0" w:color="BFFF3C"/>
        <w:left w:val="single" w:sz="12"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09">
    <w:name w:val="xl109"/>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top"/>
    </w:pPr>
    <w:rPr>
      <w:rFonts w:ascii="Corbel" w:eastAsia="Times New Roman" w:hAnsi="Corbel"/>
      <w:color w:val="auto"/>
      <w:szCs w:val="20"/>
      <w:lang w:val="fr-FR" w:eastAsia="fr-FR"/>
    </w:rPr>
  </w:style>
  <w:style w:type="paragraph" w:customStyle="1" w:styleId="xl110">
    <w:name w:val="xl110"/>
    <w:basedOn w:val="Normal"/>
    <w:rsid w:val="00493533"/>
    <w:pPr>
      <w:pBdr>
        <w:top w:val="single" w:sz="4" w:space="0" w:color="BFFF3C"/>
        <w:left w:val="single" w:sz="4" w:space="0" w:color="BFFF3C"/>
        <w:bottom w:val="single" w:sz="4"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111">
    <w:name w:val="xl111"/>
    <w:basedOn w:val="Normal"/>
    <w:rsid w:val="00493533"/>
    <w:pPr>
      <w:pBdr>
        <w:top w:val="single" w:sz="4" w:space="0" w:color="BFFF3C"/>
        <w:left w:val="single" w:sz="4" w:space="0" w:color="BFFF3C"/>
        <w:bottom w:val="single" w:sz="4" w:space="0" w:color="BFFF3C"/>
        <w:right w:val="single" w:sz="4" w:space="0" w:color="BFFF3C"/>
      </w:pBdr>
      <w:shd w:val="clear" w:color="000000" w:fill="CCECFF"/>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2">
    <w:name w:val="xl112"/>
    <w:basedOn w:val="Normal"/>
    <w:rsid w:val="00493533"/>
    <w:pPr>
      <w:pBdr>
        <w:top w:val="single" w:sz="4" w:space="0" w:color="BFFF3C"/>
        <w:left w:val="single" w:sz="4" w:space="0" w:color="BFFF3C"/>
        <w:bottom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3">
    <w:name w:val="xl113"/>
    <w:basedOn w:val="Normal"/>
    <w:rsid w:val="00493533"/>
    <w:pPr>
      <w:pBdr>
        <w:top w:val="single" w:sz="4" w:space="0" w:color="BFFF3C"/>
        <w:left w:val="single" w:sz="12" w:space="0" w:color="BFFF3C"/>
        <w:bottom w:val="single" w:sz="12"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4">
    <w:name w:val="xl114"/>
    <w:basedOn w:val="Normal"/>
    <w:rsid w:val="00493533"/>
    <w:pPr>
      <w:pBdr>
        <w:top w:val="single" w:sz="4" w:space="0" w:color="BFFF3C"/>
        <w:left w:val="single" w:sz="4" w:space="0" w:color="BFFF3C"/>
        <w:bottom w:val="single" w:sz="12" w:space="0" w:color="BFFF3C"/>
        <w:right w:val="single" w:sz="4" w:space="0" w:color="BFFF3C"/>
      </w:pBdr>
      <w:spacing w:before="100" w:beforeAutospacing="1" w:after="100" w:afterAutospacing="1" w:line="240" w:lineRule="auto"/>
      <w:jc w:val="left"/>
      <w:textAlignment w:val="top"/>
    </w:pPr>
    <w:rPr>
      <w:rFonts w:ascii="Corbel" w:eastAsia="Times New Roman" w:hAnsi="Corbel"/>
      <w:color w:val="auto"/>
      <w:szCs w:val="20"/>
      <w:lang w:val="fr-FR" w:eastAsia="fr-FR"/>
    </w:rPr>
  </w:style>
  <w:style w:type="paragraph" w:customStyle="1" w:styleId="xl115">
    <w:name w:val="xl115"/>
    <w:basedOn w:val="Normal"/>
    <w:rsid w:val="00493533"/>
    <w:pPr>
      <w:pBdr>
        <w:top w:val="single" w:sz="4" w:space="0" w:color="BFFF3C"/>
        <w:left w:val="single" w:sz="4" w:space="0" w:color="BFFF3C"/>
        <w:bottom w:val="single" w:sz="12" w:space="0" w:color="BFFF3C"/>
        <w:right w:val="single" w:sz="4" w:space="0" w:color="BFFF3C"/>
      </w:pBdr>
      <w:spacing w:before="100" w:beforeAutospacing="1" w:after="100" w:afterAutospacing="1" w:line="240" w:lineRule="auto"/>
      <w:jc w:val="left"/>
      <w:textAlignment w:val="center"/>
    </w:pPr>
    <w:rPr>
      <w:rFonts w:ascii="Corbel" w:eastAsia="Times New Roman" w:hAnsi="Corbel"/>
      <w:color w:val="auto"/>
      <w:szCs w:val="20"/>
      <w:lang w:val="fr-FR" w:eastAsia="fr-FR"/>
    </w:rPr>
  </w:style>
  <w:style w:type="paragraph" w:customStyle="1" w:styleId="xl116">
    <w:name w:val="xl116"/>
    <w:basedOn w:val="Normal"/>
    <w:rsid w:val="00493533"/>
    <w:pPr>
      <w:pBdr>
        <w:top w:val="single" w:sz="4" w:space="0" w:color="BFFF3C"/>
        <w:left w:val="single" w:sz="4" w:space="0" w:color="BFFF3C"/>
        <w:bottom w:val="single" w:sz="12" w:space="0" w:color="BFFF3C"/>
        <w:right w:val="single" w:sz="4" w:space="0" w:color="BFFF3C"/>
      </w:pBdr>
      <w:shd w:val="clear" w:color="000000" w:fill="CCECFF"/>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7">
    <w:name w:val="xl117"/>
    <w:basedOn w:val="Normal"/>
    <w:rsid w:val="00493533"/>
    <w:pPr>
      <w:pBdr>
        <w:top w:val="single" w:sz="4" w:space="0" w:color="BFFF3C"/>
        <w:left w:val="single" w:sz="4" w:space="0" w:color="BFFF3C"/>
        <w:bottom w:val="single" w:sz="12"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8">
    <w:name w:val="xl118"/>
    <w:basedOn w:val="Normal"/>
    <w:rsid w:val="00493533"/>
    <w:pPr>
      <w:pBdr>
        <w:top w:val="single" w:sz="4"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19">
    <w:name w:val="xl119"/>
    <w:basedOn w:val="Normal"/>
    <w:rsid w:val="00493533"/>
    <w:pPr>
      <w:pBdr>
        <w:top w:val="single" w:sz="4" w:space="0" w:color="BFFF3C"/>
        <w:left w:val="single" w:sz="4" w:space="0" w:color="BFFF3C"/>
        <w:bottom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20">
    <w:name w:val="xl120"/>
    <w:basedOn w:val="Normal"/>
    <w:rsid w:val="00493533"/>
    <w:pPr>
      <w:pBdr>
        <w:top w:val="single" w:sz="4" w:space="0" w:color="BFFF3C"/>
        <w:bottom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21">
    <w:name w:val="xl121"/>
    <w:basedOn w:val="Normal"/>
    <w:rsid w:val="00493533"/>
    <w:pPr>
      <w:pBdr>
        <w:top w:val="single" w:sz="4" w:space="0" w:color="BFFF3C"/>
        <w:bottom w:val="single" w:sz="4" w:space="0" w:color="BFFF3C"/>
        <w:right w:val="single" w:sz="4" w:space="0" w:color="BFFF3C"/>
      </w:pBdr>
      <w:spacing w:before="100" w:beforeAutospacing="1" w:after="100" w:afterAutospacing="1" w:line="240" w:lineRule="auto"/>
      <w:jc w:val="center"/>
      <w:textAlignment w:val="center"/>
    </w:pPr>
    <w:rPr>
      <w:rFonts w:ascii="Corbel" w:eastAsia="Times New Roman" w:hAnsi="Corbel"/>
      <w:color w:val="auto"/>
      <w:szCs w:val="20"/>
      <w:lang w:val="fr-FR" w:eastAsia="fr-FR"/>
    </w:rPr>
  </w:style>
  <w:style w:type="paragraph" w:customStyle="1" w:styleId="xl122">
    <w:name w:val="xl122"/>
    <w:basedOn w:val="Normal"/>
    <w:rsid w:val="00493533"/>
    <w:pPr>
      <w:pBdr>
        <w:top w:val="single" w:sz="12" w:space="0" w:color="BFFF3C"/>
        <w:left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szCs w:val="20"/>
      <w:lang w:val="fr-FR" w:eastAsia="fr-FR"/>
    </w:rPr>
  </w:style>
  <w:style w:type="paragraph" w:customStyle="1" w:styleId="xl123">
    <w:name w:val="xl123"/>
    <w:basedOn w:val="Normal"/>
    <w:rsid w:val="00493533"/>
    <w:pPr>
      <w:pBdr>
        <w:top w:val="single" w:sz="4" w:space="0" w:color="BFFF3C"/>
        <w:left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szCs w:val="20"/>
      <w:lang w:val="fr-FR" w:eastAsia="fr-FR"/>
    </w:rPr>
  </w:style>
  <w:style w:type="paragraph" w:customStyle="1" w:styleId="xl124">
    <w:name w:val="xl124"/>
    <w:basedOn w:val="Normal"/>
    <w:rsid w:val="00493533"/>
    <w:pPr>
      <w:pBdr>
        <w:top w:val="single" w:sz="12" w:space="0" w:color="BFFF3C"/>
        <w:left w:val="single" w:sz="4" w:space="0" w:color="BFFF3C"/>
        <w:bottom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szCs w:val="20"/>
      <w:lang w:val="fr-FR" w:eastAsia="fr-FR"/>
    </w:rPr>
  </w:style>
  <w:style w:type="paragraph" w:customStyle="1" w:styleId="xl125">
    <w:name w:val="xl125"/>
    <w:basedOn w:val="Normal"/>
    <w:rsid w:val="00493533"/>
    <w:pPr>
      <w:pBdr>
        <w:top w:val="single" w:sz="12" w:space="0" w:color="BFFF3C"/>
        <w:bottom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szCs w:val="20"/>
      <w:lang w:val="fr-FR" w:eastAsia="fr-FR"/>
    </w:rPr>
  </w:style>
  <w:style w:type="paragraph" w:customStyle="1" w:styleId="xl126">
    <w:name w:val="xl126"/>
    <w:basedOn w:val="Normal"/>
    <w:rsid w:val="00493533"/>
    <w:pPr>
      <w:pBdr>
        <w:top w:val="single" w:sz="12" w:space="0" w:color="BFFF3C"/>
        <w:bottom w:val="single" w:sz="4" w:space="0" w:color="BFFF3C"/>
        <w:right w:val="single" w:sz="4" w:space="0" w:color="BFFF3C"/>
      </w:pBdr>
      <w:shd w:val="clear" w:color="000000" w:fill="002776"/>
      <w:spacing w:before="100" w:beforeAutospacing="1" w:after="100" w:afterAutospacing="1" w:line="240" w:lineRule="auto"/>
      <w:jc w:val="center"/>
      <w:textAlignment w:val="center"/>
    </w:pPr>
    <w:rPr>
      <w:rFonts w:ascii="Corbel" w:eastAsia="Times New Roman" w:hAnsi="Corbel"/>
      <w:b/>
      <w:bCs/>
      <w:color w:val="BFFF3C"/>
      <w:szCs w:val="20"/>
      <w:lang w:val="fr-FR" w:eastAsia="fr-FR"/>
    </w:rPr>
  </w:style>
  <w:style w:type="numbering" w:customStyle="1" w:styleId="ImportedStyle76">
    <w:name w:val="Imported Style 76"/>
    <w:rsid w:val="00C01DA5"/>
    <w:pPr>
      <w:numPr>
        <w:numId w:val="24"/>
      </w:numPr>
    </w:pPr>
  </w:style>
  <w:style w:type="numbering" w:customStyle="1" w:styleId="ImportedStyle78">
    <w:name w:val="Imported Style 78"/>
    <w:rsid w:val="00C01DA5"/>
    <w:pPr>
      <w:numPr>
        <w:numId w:val="25"/>
      </w:numPr>
    </w:pPr>
  </w:style>
  <w:style w:type="paragraph" w:customStyle="1" w:styleId="Title4">
    <w:name w:val="Title 4"/>
    <w:basedOn w:val="CSubheading"/>
    <w:link w:val="Title4Char"/>
    <w:qFormat/>
    <w:rsid w:val="007C012F"/>
    <w:pPr>
      <w:numPr>
        <w:ilvl w:val="3"/>
      </w:numPr>
      <w:ind w:left="1434" w:hanging="1077"/>
      <w:outlineLvl w:val="3"/>
    </w:pPr>
    <w:rPr>
      <w:sz w:val="22"/>
      <w:szCs w:val="22"/>
    </w:rPr>
  </w:style>
  <w:style w:type="paragraph" w:customStyle="1" w:styleId="CSubtitle1">
    <w:name w:val="C Subtitle 1"/>
    <w:basedOn w:val="Normal"/>
    <w:next w:val="Normal"/>
    <w:link w:val="CSubtitle1Char"/>
    <w:qFormat/>
    <w:rsid w:val="00D04F9C"/>
    <w:pPr>
      <w:keepNext/>
      <w:spacing w:before="360"/>
      <w:ind w:left="170"/>
      <w:outlineLvl w:val="3"/>
    </w:pPr>
    <w:rPr>
      <w:b/>
      <w:noProof/>
      <w:color w:val="92D400" w:themeColor="accent2"/>
      <w:sz w:val="24"/>
      <w:lang w:val="fr-FR" w:eastAsia="fr-FR"/>
    </w:rPr>
  </w:style>
  <w:style w:type="character" w:customStyle="1" w:styleId="Title4Char">
    <w:name w:val="Title 4 Char"/>
    <w:basedOn w:val="CSubheadingChar"/>
    <w:link w:val="Title4"/>
    <w:rsid w:val="007C012F"/>
    <w:rPr>
      <w:b/>
      <w:noProof/>
      <w:color w:val="92D400" w:themeColor="accent2"/>
      <w:sz w:val="22"/>
      <w:szCs w:val="22"/>
      <w:lang w:val="en-US" w:eastAsia="en-US"/>
    </w:rPr>
  </w:style>
  <w:style w:type="character" w:customStyle="1" w:styleId="CSubtitle1Char">
    <w:name w:val="C Subtitle 1 Char"/>
    <w:basedOn w:val="BodycopyChar"/>
    <w:link w:val="CSubtitle1"/>
    <w:rsid w:val="00D04F9C"/>
    <w:rPr>
      <w:rFonts w:ascii="Arial" w:hAnsi="Arial"/>
      <w:b/>
      <w:noProof/>
      <w:color w:val="92D400" w:themeColor="accent2"/>
      <w:lang w:val="fr-FR" w:eastAsia="fr-FR"/>
    </w:rPr>
  </w:style>
  <w:style w:type="paragraph" w:customStyle="1" w:styleId="CSubtitle2">
    <w:name w:val="C Subtitle 2"/>
    <w:basedOn w:val="Normal"/>
    <w:next w:val="Normal"/>
    <w:link w:val="CSubtitle2Char"/>
    <w:qFormat/>
    <w:rsid w:val="00A62CE8"/>
    <w:pPr>
      <w:keepNext/>
      <w:spacing w:before="240"/>
      <w:ind w:left="340"/>
    </w:pPr>
    <w:rPr>
      <w:b/>
      <w:noProof/>
      <w:color w:val="3C8A2E" w:themeColor="accent4"/>
      <w:lang w:val="fr-FR" w:eastAsia="fr-FR"/>
    </w:rPr>
  </w:style>
  <w:style w:type="character" w:customStyle="1" w:styleId="CSubtitle2Char">
    <w:name w:val="C Subtitle 2 Char"/>
    <w:basedOn w:val="BodycopyChar"/>
    <w:link w:val="CSubtitle2"/>
    <w:rsid w:val="00A62CE8"/>
    <w:rPr>
      <w:rFonts w:ascii="Arial" w:hAnsi="Arial"/>
      <w:b/>
      <w:noProof/>
      <w:color w:val="3C8A2E" w:themeColor="accent4"/>
      <w:sz w:val="20"/>
      <w:lang w:val="fr-FR" w:eastAsia="fr-FR"/>
    </w:rPr>
  </w:style>
  <w:style w:type="paragraph" w:customStyle="1" w:styleId="ATitle1">
    <w:name w:val="A Title 1"/>
    <w:basedOn w:val="Heading1"/>
    <w:next w:val="Normal"/>
    <w:qFormat/>
    <w:rsid w:val="002F69AA"/>
    <w:pPr>
      <w:keepNext/>
      <w:spacing w:after="720"/>
      <w:ind w:left="811" w:hanging="454"/>
    </w:pPr>
    <w:rPr>
      <w:color w:val="002776" w:themeColor="text2"/>
      <w:lang w:val="en-GB"/>
    </w:rPr>
  </w:style>
  <w:style w:type="paragraph" w:customStyle="1" w:styleId="BTitle2">
    <w:name w:val="B Title 2"/>
    <w:basedOn w:val="Heading2"/>
    <w:next w:val="Normal"/>
    <w:link w:val="BTitle2Char"/>
    <w:qFormat/>
    <w:rsid w:val="002F69AA"/>
    <w:pPr>
      <w:numPr>
        <w:numId w:val="0"/>
      </w:numPr>
      <w:spacing w:after="240"/>
      <w:ind w:left="908" w:hanging="454"/>
    </w:pPr>
  </w:style>
  <w:style w:type="paragraph" w:customStyle="1" w:styleId="BTitle3">
    <w:name w:val="B Title 3"/>
    <w:basedOn w:val="CSubheading"/>
    <w:next w:val="Normal"/>
    <w:link w:val="BTitle3Char"/>
    <w:qFormat/>
    <w:rsid w:val="00D04F9C"/>
    <w:pPr>
      <w:spacing w:before="360"/>
      <w:ind w:left="1430"/>
    </w:pPr>
    <w:rPr>
      <w:color w:val="00A1DE" w:themeColor="accent3"/>
      <w:lang w:val="en-US"/>
    </w:rPr>
  </w:style>
  <w:style w:type="character" w:customStyle="1" w:styleId="BTitle2Char">
    <w:name w:val="B Title 2 Char"/>
    <w:basedOn w:val="Heading2Char"/>
    <w:link w:val="BTitle2"/>
    <w:rsid w:val="002F69AA"/>
    <w:rPr>
      <w:b/>
      <w:noProof/>
      <w:color w:val="00A1DE"/>
      <w:lang w:val="en-US" w:eastAsia="en-US"/>
    </w:rPr>
  </w:style>
  <w:style w:type="character" w:customStyle="1" w:styleId="BTitle3Char">
    <w:name w:val="B Title 3 Char"/>
    <w:basedOn w:val="CSubheadingChar"/>
    <w:link w:val="BTitle3"/>
    <w:rsid w:val="00D04F9C"/>
    <w:rPr>
      <w:b/>
      <w:noProof/>
      <w:color w:val="00A1DE" w:themeColor="accent3"/>
      <w:sz w:val="22"/>
      <w:lang w:val="en-US" w:eastAsia="en-US"/>
    </w:rPr>
  </w:style>
  <w:style w:type="paragraph" w:customStyle="1" w:styleId="CSubtitle3">
    <w:name w:val="C Subtitle 3"/>
    <w:basedOn w:val="Normal"/>
    <w:link w:val="CSubtitle3Char"/>
    <w:qFormat/>
    <w:rsid w:val="002F69AA"/>
    <w:pPr>
      <w:keepNext/>
      <w:spacing w:before="240"/>
    </w:pPr>
    <w:rPr>
      <w:u w:val="single"/>
    </w:rPr>
  </w:style>
  <w:style w:type="character" w:customStyle="1" w:styleId="CSubtitle3Char">
    <w:name w:val="C Subtitle 3 Char"/>
    <w:basedOn w:val="DefaultParagraphFont"/>
    <w:link w:val="CSubtitle3"/>
    <w:rsid w:val="002F69AA"/>
    <w:rPr>
      <w:sz w:val="20"/>
      <w:u w:val="single"/>
    </w:rPr>
  </w:style>
  <w:style w:type="paragraph" w:customStyle="1" w:styleId="ZAnnex-Title2">
    <w:name w:val="Z Annex - Title 2"/>
    <w:basedOn w:val="Heading2"/>
    <w:link w:val="ZAnnex-Title2Char"/>
    <w:rsid w:val="004F328A"/>
    <w:pPr>
      <w:pageBreakBefore/>
      <w:numPr>
        <w:numId w:val="0"/>
      </w:numPr>
      <w:spacing w:before="320"/>
      <w:ind w:left="811" w:hanging="454"/>
    </w:pPr>
    <w:rPr>
      <w:color w:val="00A1DE" w:themeColor="accent3"/>
    </w:rPr>
  </w:style>
  <w:style w:type="character" w:customStyle="1" w:styleId="ZAnnex-Title2Char">
    <w:name w:val="Z Annex - Title 2 Char"/>
    <w:basedOn w:val="Heading2Char"/>
    <w:link w:val="ZAnnex-Title2"/>
    <w:rsid w:val="004F328A"/>
    <w:rPr>
      <w:b/>
      <w:noProof/>
      <w:color w:val="00A1DE" w:themeColor="accent3"/>
      <w:lang w:val="en-US" w:eastAsia="en-US"/>
    </w:rPr>
  </w:style>
  <w:style w:type="character" w:styleId="FollowedHyperlink">
    <w:name w:val="FollowedHyperlink"/>
    <w:basedOn w:val="DefaultParagraphFont"/>
    <w:uiPriority w:val="99"/>
    <w:semiHidden/>
    <w:unhideWhenUsed/>
    <w:rsid w:val="008B5CAB"/>
    <w:rPr>
      <w:color w:val="72C7E7" w:themeColor="followedHyperlink"/>
      <w:u w:val="single"/>
    </w:rPr>
  </w:style>
  <w:style w:type="paragraph" w:customStyle="1" w:styleId="DPuces2">
    <w:name w:val="D Puces 2"/>
    <w:basedOn w:val="DBulletlevel1"/>
    <w:link w:val="DPuces2Char"/>
    <w:qFormat/>
    <w:rsid w:val="00751B3E"/>
    <w:pPr>
      <w:numPr>
        <w:numId w:val="27"/>
      </w:numPr>
      <w:ind w:left="1264" w:hanging="357"/>
    </w:pPr>
    <w:rPr>
      <w:noProof w:val="0"/>
    </w:rPr>
  </w:style>
  <w:style w:type="character" w:customStyle="1" w:styleId="DBulletlevel1Char">
    <w:name w:val="D Bullet level 1 Char"/>
    <w:basedOn w:val="DefaultParagraphFont"/>
    <w:link w:val="DBulletlevel1"/>
    <w:rsid w:val="00CF633B"/>
    <w:rPr>
      <w:rFonts w:eastAsia="Times New Roman" w:cs="Arial"/>
      <w:noProof/>
      <w:sz w:val="20"/>
      <w:lang w:eastAsia="fr-FR"/>
    </w:rPr>
  </w:style>
  <w:style w:type="character" w:customStyle="1" w:styleId="DPuces2Char">
    <w:name w:val="D Puces 2 Char"/>
    <w:basedOn w:val="DBulletlevel1Char"/>
    <w:link w:val="DPuces2"/>
    <w:rsid w:val="00751B3E"/>
    <w:rPr>
      <w:rFonts w:eastAsia="Times New Roman" w:cs="Arial"/>
      <w:noProof/>
      <w:color w:val="auto"/>
      <w:sz w:val="20"/>
      <w:lang w:eastAsia="fr-FR"/>
    </w:rPr>
  </w:style>
  <w:style w:type="paragraph" w:customStyle="1" w:styleId="BTitre2">
    <w:name w:val="B Titre 2"/>
    <w:basedOn w:val="Heading2"/>
    <w:next w:val="Normal"/>
    <w:link w:val="BTitre2Char"/>
    <w:qFormat/>
    <w:rsid w:val="008E0E0E"/>
    <w:pPr>
      <w:numPr>
        <w:numId w:val="0"/>
      </w:numPr>
      <w:spacing w:after="240"/>
      <w:ind w:left="908" w:hanging="454"/>
    </w:pPr>
  </w:style>
  <w:style w:type="character" w:customStyle="1" w:styleId="BTitre2Char">
    <w:name w:val="B Titre 2 Char"/>
    <w:basedOn w:val="Heading2Char"/>
    <w:link w:val="BTitre2"/>
    <w:rsid w:val="008E0E0E"/>
    <w:rPr>
      <w:b/>
      <w:noProof/>
      <w:color w:val="00A1DE"/>
      <w:lang w:val="en-US" w:eastAsia="en-US"/>
    </w:rPr>
  </w:style>
  <w:style w:type="paragraph" w:customStyle="1" w:styleId="puceverte">
    <w:name w:val="puce verte"/>
    <w:basedOn w:val="Normal"/>
    <w:qFormat/>
    <w:rsid w:val="008E0E0E"/>
    <w:pPr>
      <w:widowControl w:val="0"/>
      <w:tabs>
        <w:tab w:val="num" w:pos="1723"/>
      </w:tabs>
      <w:adjustRightInd w:val="0"/>
      <w:spacing w:after="0"/>
      <w:ind w:left="1723" w:hanging="360"/>
      <w:textAlignment w:val="baseline"/>
    </w:pPr>
    <w:rPr>
      <w:rFonts w:eastAsia="Times New Roman" w:cs="Arial"/>
      <w:noProof/>
      <w:color w:val="auto"/>
      <w:lang w:eastAsia="fr-FR"/>
    </w:rPr>
  </w:style>
  <w:style w:type="paragraph" w:styleId="BodyText">
    <w:name w:val="Body Text"/>
    <w:basedOn w:val="Normal"/>
    <w:link w:val="BodyTextChar"/>
    <w:uiPriority w:val="1"/>
    <w:unhideWhenUsed/>
    <w:qFormat/>
    <w:rsid w:val="00BA1D6A"/>
  </w:style>
  <w:style w:type="character" w:customStyle="1" w:styleId="BodyTextChar">
    <w:name w:val="Body Text Char"/>
    <w:basedOn w:val="DefaultParagraphFont"/>
    <w:link w:val="BodyText"/>
    <w:uiPriority w:val="1"/>
    <w:rsid w:val="00BA1D6A"/>
    <w:rPr>
      <w:sz w:val="20"/>
    </w:rPr>
  </w:style>
  <w:style w:type="table" w:customStyle="1" w:styleId="GridTable4-Accent31">
    <w:name w:val="Grid Table 4 - Accent 31"/>
    <w:basedOn w:val="TableNormal"/>
    <w:uiPriority w:val="49"/>
    <w:rsid w:val="00FB3AF0"/>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cPr>
      <w:vAlign w:val="center"/>
    </w:tc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customStyle="1" w:styleId="GridTable5Dark-Accent31">
    <w:name w:val="Grid Table 5 Dark - Accent 31"/>
    <w:basedOn w:val="TableNormal"/>
    <w:uiPriority w:val="50"/>
    <w:rsid w:val="00BE4D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D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D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D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DE" w:themeFill="accent3"/>
      </w:tcPr>
    </w:tblStylePr>
    <w:tblStylePr w:type="band1Vert">
      <w:tblPr/>
      <w:tcPr>
        <w:shd w:val="clear" w:color="auto" w:fill="8BDEFF" w:themeFill="accent3" w:themeFillTint="66"/>
      </w:tcPr>
    </w:tblStylePr>
    <w:tblStylePr w:type="band1Horz">
      <w:tblPr/>
      <w:tcPr>
        <w:shd w:val="clear" w:color="auto" w:fill="8BDEFF" w:themeFill="accent3" w:themeFillTint="66"/>
      </w:tcPr>
    </w:tblStylePr>
  </w:style>
  <w:style w:type="table" w:customStyle="1" w:styleId="GridTable3-Accent31">
    <w:name w:val="Grid Table 3 - Accent 31"/>
    <w:basedOn w:val="TableNormal"/>
    <w:uiPriority w:val="48"/>
    <w:rsid w:val="007C2D8B"/>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EFF" w:themeFill="accent3" w:themeFillTint="33"/>
      </w:tcPr>
    </w:tblStylePr>
    <w:tblStylePr w:type="band1Horz">
      <w:tblPr/>
      <w:tcPr>
        <w:shd w:val="clear" w:color="auto" w:fill="C5EEFF" w:themeFill="accent3" w:themeFillTint="33"/>
      </w:tcPr>
    </w:tblStylePr>
    <w:tblStylePr w:type="neCell">
      <w:tblPr/>
      <w:tcPr>
        <w:tcBorders>
          <w:bottom w:val="single" w:sz="4" w:space="0" w:color="52CEFF" w:themeColor="accent3" w:themeTint="99"/>
        </w:tcBorders>
      </w:tcPr>
    </w:tblStylePr>
    <w:tblStylePr w:type="nwCell">
      <w:tblPr/>
      <w:tcPr>
        <w:tcBorders>
          <w:bottom w:val="single" w:sz="4" w:space="0" w:color="52CEFF" w:themeColor="accent3" w:themeTint="99"/>
        </w:tcBorders>
      </w:tcPr>
    </w:tblStylePr>
    <w:tblStylePr w:type="seCell">
      <w:tblPr/>
      <w:tcPr>
        <w:tcBorders>
          <w:top w:val="single" w:sz="4" w:space="0" w:color="52CEFF" w:themeColor="accent3" w:themeTint="99"/>
        </w:tcBorders>
      </w:tcPr>
    </w:tblStylePr>
    <w:tblStylePr w:type="swCell">
      <w:tblPr/>
      <w:tcPr>
        <w:tcBorders>
          <w:top w:val="single" w:sz="4" w:space="0" w:color="52CEFF" w:themeColor="accent3" w:themeTint="99"/>
        </w:tcBorders>
      </w:tcPr>
    </w:tblStylePr>
  </w:style>
  <w:style w:type="table" w:customStyle="1" w:styleId="GridTable5Dark-Accent51">
    <w:name w:val="Grid Table 5 Dark - Accent 51"/>
    <w:basedOn w:val="TableNormal"/>
    <w:uiPriority w:val="50"/>
    <w:rsid w:val="007C2D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5"/>
      </w:tcPr>
    </w:tblStylePr>
    <w:tblStylePr w:type="band1Vert">
      <w:tblPr/>
      <w:tcPr>
        <w:shd w:val="clear" w:color="auto" w:fill="C6E8F5" w:themeFill="accent5" w:themeFillTint="66"/>
      </w:tcPr>
    </w:tblStylePr>
    <w:tblStylePr w:type="band1Horz">
      <w:tblPr/>
      <w:tcPr>
        <w:shd w:val="clear" w:color="auto" w:fill="C6E8F5" w:themeFill="accent5" w:themeFillTint="66"/>
      </w:tcPr>
    </w:tblStylePr>
  </w:style>
  <w:style w:type="table" w:customStyle="1" w:styleId="GridTable1Light-Accent31">
    <w:name w:val="Grid Table 1 Light - Accent 31"/>
    <w:basedOn w:val="TableNormal"/>
    <w:uiPriority w:val="46"/>
    <w:rsid w:val="00524AA4"/>
    <w:tblPr>
      <w:tblStyleRowBandSize w:val="1"/>
      <w:tblStyleColBandSize w:val="1"/>
      <w:tblBorders>
        <w:top w:val="single" w:sz="4" w:space="0" w:color="8BDEFF" w:themeColor="accent3" w:themeTint="66"/>
        <w:left w:val="single" w:sz="4" w:space="0" w:color="8BDEFF" w:themeColor="accent3" w:themeTint="66"/>
        <w:bottom w:val="single" w:sz="4" w:space="0" w:color="8BDEFF" w:themeColor="accent3" w:themeTint="66"/>
        <w:right w:val="single" w:sz="4" w:space="0" w:color="8BDEFF" w:themeColor="accent3" w:themeTint="66"/>
        <w:insideH w:val="single" w:sz="4" w:space="0" w:color="8BDEFF" w:themeColor="accent3" w:themeTint="66"/>
        <w:insideV w:val="single" w:sz="4" w:space="0" w:color="8BDEFF" w:themeColor="accent3" w:themeTint="66"/>
      </w:tblBorders>
    </w:tblPr>
    <w:tblStylePr w:type="firstRow">
      <w:rPr>
        <w:b/>
        <w:bCs/>
      </w:rPr>
      <w:tblPr/>
      <w:tcPr>
        <w:tcBorders>
          <w:bottom w:val="single" w:sz="12" w:space="0" w:color="52CEFF" w:themeColor="accent3" w:themeTint="99"/>
        </w:tcBorders>
      </w:tcPr>
    </w:tblStylePr>
    <w:tblStylePr w:type="lastRow">
      <w:rPr>
        <w:b/>
        <w:bCs/>
      </w:rPr>
      <w:tblPr/>
      <w:tcPr>
        <w:tcBorders>
          <w:top w:val="double" w:sz="2" w:space="0" w:color="52CEFF"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E7FA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8E7FA1"/>
    <w:rPr>
      <w:sz w:val="20"/>
    </w:rPr>
  </w:style>
  <w:style w:type="paragraph" w:customStyle="1" w:styleId="DListe">
    <w:name w:val="D Liste"/>
    <w:basedOn w:val="ListParagraph"/>
    <w:link w:val="DListeChar"/>
    <w:qFormat/>
    <w:rsid w:val="00B92D51"/>
    <w:pPr>
      <w:numPr>
        <w:numId w:val="28"/>
      </w:numPr>
      <w:spacing w:line="276" w:lineRule="auto"/>
    </w:pPr>
    <w:rPr>
      <w:lang w:val="en-US" w:eastAsia="en-US"/>
    </w:rPr>
  </w:style>
  <w:style w:type="paragraph" w:customStyle="1" w:styleId="DBulletlevel2">
    <w:name w:val="D Bullet level 2"/>
    <w:basedOn w:val="DBulletlevel1"/>
    <w:link w:val="DBulletlevel2Char"/>
    <w:qFormat/>
    <w:rsid w:val="00D75F08"/>
    <w:pPr>
      <w:numPr>
        <w:numId w:val="30"/>
      </w:numPr>
    </w:pPr>
    <w:rPr>
      <w:noProof w:val="0"/>
    </w:rPr>
  </w:style>
  <w:style w:type="character" w:customStyle="1" w:styleId="DListeChar">
    <w:name w:val="D Liste Char"/>
    <w:basedOn w:val="ListParagraphChar"/>
    <w:link w:val="DListe"/>
    <w:rsid w:val="00B92D51"/>
    <w:rPr>
      <w:rFonts w:ascii="Arial" w:hAnsi="Arial"/>
      <w:color w:val="000000" w:themeColor="text1"/>
      <w:sz w:val="20"/>
      <w:lang w:val="en-US" w:eastAsia="en-US"/>
    </w:rPr>
  </w:style>
  <w:style w:type="table" w:customStyle="1" w:styleId="GridTable4-Accent51">
    <w:name w:val="Grid Table 4 - Accent 51"/>
    <w:basedOn w:val="TableNormal"/>
    <w:uiPriority w:val="49"/>
    <w:rsid w:val="000857F6"/>
    <w:tblPr>
      <w:tblStyleRowBandSize w:val="1"/>
      <w:tblStyleColBandSize w:val="1"/>
      <w:tblBorders>
        <w:top w:val="single" w:sz="4" w:space="0" w:color="AADDF0" w:themeColor="accent5" w:themeTint="99"/>
        <w:left w:val="single" w:sz="4" w:space="0" w:color="AADDF0" w:themeColor="accent5" w:themeTint="99"/>
        <w:bottom w:val="single" w:sz="4" w:space="0" w:color="AADDF0" w:themeColor="accent5" w:themeTint="99"/>
        <w:right w:val="single" w:sz="4" w:space="0" w:color="AADDF0" w:themeColor="accent5" w:themeTint="99"/>
        <w:insideH w:val="single" w:sz="4" w:space="0" w:color="AADDF0" w:themeColor="accent5" w:themeTint="99"/>
        <w:insideV w:val="single" w:sz="4" w:space="0" w:color="AADDF0" w:themeColor="accent5" w:themeTint="99"/>
      </w:tblBorders>
    </w:tblPr>
    <w:tblStylePr w:type="firstRow">
      <w:rPr>
        <w:b/>
        <w:bCs/>
        <w:color w:val="FFFFFF" w:themeColor="background1"/>
      </w:rPr>
      <w:tblPr/>
      <w:tcPr>
        <w:tcBorders>
          <w:top w:val="single" w:sz="4" w:space="0" w:color="72C7E7" w:themeColor="accent5"/>
          <w:left w:val="single" w:sz="4" w:space="0" w:color="72C7E7" w:themeColor="accent5"/>
          <w:bottom w:val="single" w:sz="4" w:space="0" w:color="72C7E7" w:themeColor="accent5"/>
          <w:right w:val="single" w:sz="4" w:space="0" w:color="72C7E7" w:themeColor="accent5"/>
          <w:insideH w:val="nil"/>
          <w:insideV w:val="nil"/>
        </w:tcBorders>
        <w:shd w:val="clear" w:color="auto" w:fill="72C7E7" w:themeFill="accent5"/>
      </w:tcPr>
    </w:tblStylePr>
    <w:tblStylePr w:type="lastRow">
      <w:rPr>
        <w:b/>
        <w:bCs/>
      </w:rPr>
      <w:tblPr/>
      <w:tcPr>
        <w:tcBorders>
          <w:top w:val="double" w:sz="4" w:space="0" w:color="72C7E7" w:themeColor="accent5"/>
        </w:tcBorders>
      </w:tcPr>
    </w:tblStylePr>
    <w:tblStylePr w:type="firstCol">
      <w:rPr>
        <w:b/>
        <w:bCs/>
      </w:rPr>
    </w:tblStylePr>
    <w:tblStylePr w:type="lastCol">
      <w:rPr>
        <w:b/>
        <w:bCs/>
      </w:rPr>
    </w:tblStylePr>
    <w:tblStylePr w:type="band1Vert">
      <w:tblPr/>
      <w:tcPr>
        <w:shd w:val="clear" w:color="auto" w:fill="E2F3FA" w:themeFill="accent5" w:themeFillTint="33"/>
      </w:tcPr>
    </w:tblStylePr>
    <w:tblStylePr w:type="band1Horz">
      <w:tblPr/>
      <w:tcPr>
        <w:shd w:val="clear" w:color="auto" w:fill="E2F3FA" w:themeFill="accent5" w:themeFillTint="33"/>
      </w:tcPr>
    </w:tblStylePr>
  </w:style>
  <w:style w:type="character" w:customStyle="1" w:styleId="DBulletlevel2Char">
    <w:name w:val="D Bullet level 2 Char"/>
    <w:basedOn w:val="DBulletlevel1Char"/>
    <w:link w:val="DBulletlevel2"/>
    <w:rsid w:val="00D75F08"/>
    <w:rPr>
      <w:rFonts w:eastAsia="Times New Roman" w:cs="Arial"/>
      <w:noProof/>
      <w:color w:val="auto"/>
      <w:sz w:val="20"/>
      <w:lang w:eastAsia="fr-FR"/>
    </w:rPr>
  </w:style>
  <w:style w:type="table" w:customStyle="1" w:styleId="GridTable4-Accent32">
    <w:name w:val="Grid Table 4 - Accent 32"/>
    <w:basedOn w:val="TableNormal"/>
    <w:uiPriority w:val="49"/>
    <w:rsid w:val="000857F6"/>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paragraph" w:customStyle="1" w:styleId="Char2">
    <w:name w:val="Char2"/>
    <w:basedOn w:val="Normal"/>
    <w:link w:val="FootnoteReference"/>
    <w:uiPriority w:val="99"/>
    <w:rsid w:val="00A00C0B"/>
    <w:pPr>
      <w:spacing w:before="0" w:after="160" w:line="240" w:lineRule="exact"/>
      <w:jc w:val="left"/>
    </w:pPr>
    <w:rPr>
      <w:sz w:val="24"/>
      <w:vertAlign w:val="superscript"/>
    </w:rPr>
  </w:style>
  <w:style w:type="paragraph" w:customStyle="1" w:styleId="TableParagraph">
    <w:name w:val="Table Paragraph"/>
    <w:basedOn w:val="Normal"/>
    <w:uiPriority w:val="1"/>
    <w:qFormat/>
    <w:rsid w:val="00DD1FA8"/>
    <w:pPr>
      <w:widowControl w:val="0"/>
      <w:spacing w:before="0" w:after="0" w:line="240" w:lineRule="auto"/>
      <w:jc w:val="left"/>
    </w:pPr>
    <w:rPr>
      <w:rFonts w:asciiTheme="minorHAnsi" w:eastAsiaTheme="minorHAnsi" w:hAnsiTheme="minorHAnsi" w:cstheme="minorBidi"/>
      <w:color w:val="auto"/>
      <w:sz w:val="22"/>
      <w:szCs w:val="22"/>
      <w:lang w:val="en-US" w:eastAsia="en-US"/>
    </w:rPr>
  </w:style>
  <w:style w:type="paragraph" w:customStyle="1" w:styleId="Ctitre4">
    <w:name w:val="C titre 4"/>
    <w:basedOn w:val="Normal"/>
    <w:next w:val="Normal"/>
    <w:qFormat/>
    <w:rsid w:val="008C5F33"/>
    <w:pPr>
      <w:ind w:left="1434" w:hanging="1077"/>
      <w:outlineLvl w:val="3"/>
    </w:pPr>
    <w:rPr>
      <w:b/>
      <w:lang w:eastAsia="en-US"/>
    </w:rPr>
  </w:style>
  <w:style w:type="table" w:styleId="LightShading-Accent3">
    <w:name w:val="Light Shading Accent 3"/>
    <w:basedOn w:val="TableNormal"/>
    <w:uiPriority w:val="60"/>
    <w:rsid w:val="008C5F33"/>
    <w:rPr>
      <w:color w:val="0077A6" w:themeColor="accent3" w:themeShade="BF"/>
    </w:rPr>
    <w:tblPr>
      <w:tblStyleRowBandSize w:val="1"/>
      <w:tblStyleColBandSize w:val="1"/>
      <w:tblBorders>
        <w:top w:val="single" w:sz="8" w:space="0" w:color="00A1DE" w:themeColor="accent3"/>
        <w:bottom w:val="single" w:sz="8" w:space="0" w:color="00A1DE" w:themeColor="accent3"/>
      </w:tblBorders>
    </w:tblPr>
    <w:tblStylePr w:type="fir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la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BFF" w:themeFill="accent3" w:themeFillTint="3F"/>
      </w:tcPr>
    </w:tblStylePr>
    <w:tblStylePr w:type="band1Horz">
      <w:tblPr/>
      <w:tcPr>
        <w:tcBorders>
          <w:left w:val="nil"/>
          <w:right w:val="nil"/>
          <w:insideH w:val="nil"/>
          <w:insideV w:val="nil"/>
        </w:tcBorders>
        <w:shd w:val="clear" w:color="auto" w:fill="B7EBFF" w:themeFill="accent3" w:themeFillTint="3F"/>
      </w:tcPr>
    </w:tblStylePr>
  </w:style>
  <w:style w:type="table" w:customStyle="1" w:styleId="MediumShading1-Accent11">
    <w:name w:val="Medium Shading 1 - Accent 11"/>
    <w:basedOn w:val="TableNormal"/>
    <w:uiPriority w:val="63"/>
    <w:rsid w:val="00046675"/>
    <w:tblPr>
      <w:tblStyleRowBandSize w:val="1"/>
      <w:tblStyleColBandSize w:val="1"/>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046675"/>
    <w:tblPr>
      <w:tblStyleRowBandSize w:val="1"/>
      <w:tblStyleColBandSize w:val="1"/>
      <w:tblBorders>
        <w:top w:val="single" w:sz="8" w:space="0" w:color="002776" w:themeColor="accent1"/>
        <w:left w:val="single" w:sz="8" w:space="0" w:color="002776" w:themeColor="accent1"/>
        <w:bottom w:val="single" w:sz="8" w:space="0" w:color="002776" w:themeColor="accent1"/>
        <w:right w:val="single" w:sz="8" w:space="0" w:color="002776" w:themeColor="accent1"/>
        <w:insideH w:val="single" w:sz="8" w:space="0" w:color="002776" w:themeColor="accent1"/>
        <w:insideV w:val="single" w:sz="8" w:space="0" w:color="00277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18" w:space="0" w:color="002776" w:themeColor="accent1"/>
          <w:right w:val="single" w:sz="8" w:space="0" w:color="002776" w:themeColor="accent1"/>
          <w:insideH w:val="nil"/>
          <w:insideV w:val="single" w:sz="8" w:space="0" w:color="0027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insideH w:val="nil"/>
          <w:insideV w:val="single" w:sz="8" w:space="0" w:color="0027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shd w:val="clear" w:color="auto" w:fill="9EBDFF" w:themeFill="accent1" w:themeFillTint="3F"/>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shd w:val="clear" w:color="auto" w:fill="9EBDFF" w:themeFill="accent1" w:themeFillTint="3F"/>
      </w:tcPr>
    </w:tblStylePr>
    <w:tblStylePr w:type="band2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tcPr>
    </w:tblStylePr>
  </w:style>
  <w:style w:type="paragraph" w:customStyle="1" w:styleId="Source">
    <w:name w:val="Source"/>
    <w:basedOn w:val="Normal"/>
    <w:link w:val="SourceChar"/>
    <w:qFormat/>
    <w:rsid w:val="008340F4"/>
    <w:pPr>
      <w:spacing w:before="0" w:after="0"/>
    </w:pPr>
    <w:rPr>
      <w:i/>
      <w:sz w:val="16"/>
      <w:szCs w:val="16"/>
      <w:lang w:val="en-ZW"/>
    </w:rPr>
  </w:style>
  <w:style w:type="character" w:customStyle="1" w:styleId="SourceChar">
    <w:name w:val="Source Char"/>
    <w:basedOn w:val="DefaultParagraphFont"/>
    <w:link w:val="Source"/>
    <w:rsid w:val="008340F4"/>
    <w:rPr>
      <w:i/>
      <w:sz w:val="16"/>
      <w:szCs w:val="16"/>
      <w:lang w:val="en-ZW"/>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table" w:customStyle="1" w:styleId="GridTable2-Accent31">
    <w:name w:val="Grid Table 2 - Accent 31"/>
    <w:basedOn w:val="TableNormal"/>
    <w:uiPriority w:val="47"/>
    <w:rsid w:val="00876823"/>
    <w:tblPr>
      <w:tblStyleRowBandSize w:val="1"/>
      <w:tblStyleColBandSize w:val="1"/>
      <w:tblBorders>
        <w:top w:val="single" w:sz="2" w:space="0" w:color="52CEFF" w:themeColor="accent3" w:themeTint="99"/>
        <w:bottom w:val="single" w:sz="2" w:space="0" w:color="52CEFF" w:themeColor="accent3" w:themeTint="99"/>
        <w:insideH w:val="single" w:sz="2" w:space="0" w:color="52CEFF" w:themeColor="accent3" w:themeTint="99"/>
        <w:insideV w:val="single" w:sz="2" w:space="0" w:color="52CEFF" w:themeColor="accent3" w:themeTint="99"/>
      </w:tblBorders>
    </w:tblPr>
    <w:tblStylePr w:type="firstRow">
      <w:rPr>
        <w:b/>
        <w:bCs/>
      </w:rPr>
      <w:tblPr/>
      <w:tcPr>
        <w:tcBorders>
          <w:top w:val="nil"/>
          <w:bottom w:val="single" w:sz="12" w:space="0" w:color="52CEFF" w:themeColor="accent3" w:themeTint="99"/>
          <w:insideH w:val="nil"/>
          <w:insideV w:val="nil"/>
        </w:tcBorders>
        <w:shd w:val="clear" w:color="auto" w:fill="FFFFFF" w:themeFill="background1"/>
      </w:tcPr>
    </w:tblStylePr>
    <w:tblStylePr w:type="lastRow">
      <w:rPr>
        <w:b/>
        <w:bCs/>
      </w:rPr>
      <w:tblPr/>
      <w:tcPr>
        <w:tcBorders>
          <w:top w:val="double" w:sz="2" w:space="0" w:color="52C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customStyle="1" w:styleId="GridTable4-Accent52">
    <w:name w:val="Grid Table 4 - Accent 52"/>
    <w:basedOn w:val="TableNormal"/>
    <w:uiPriority w:val="49"/>
    <w:rsid w:val="00D4214E"/>
    <w:tblPr>
      <w:tblStyleRowBandSize w:val="1"/>
      <w:tblStyleColBandSize w:val="1"/>
      <w:tblBorders>
        <w:top w:val="single" w:sz="4" w:space="0" w:color="AADDF0" w:themeColor="accent5" w:themeTint="99"/>
        <w:left w:val="single" w:sz="4" w:space="0" w:color="AADDF0" w:themeColor="accent5" w:themeTint="99"/>
        <w:bottom w:val="single" w:sz="4" w:space="0" w:color="AADDF0" w:themeColor="accent5" w:themeTint="99"/>
        <w:right w:val="single" w:sz="4" w:space="0" w:color="AADDF0" w:themeColor="accent5" w:themeTint="99"/>
        <w:insideH w:val="single" w:sz="4" w:space="0" w:color="AADDF0" w:themeColor="accent5" w:themeTint="99"/>
        <w:insideV w:val="single" w:sz="4" w:space="0" w:color="AADDF0" w:themeColor="accent5" w:themeTint="99"/>
      </w:tblBorders>
    </w:tblPr>
    <w:tblStylePr w:type="firstRow">
      <w:rPr>
        <w:b/>
        <w:bCs/>
        <w:color w:val="FFFFFF" w:themeColor="background1"/>
      </w:rPr>
      <w:tblPr/>
      <w:tcPr>
        <w:tcBorders>
          <w:top w:val="single" w:sz="4" w:space="0" w:color="72C7E7" w:themeColor="accent5"/>
          <w:left w:val="single" w:sz="4" w:space="0" w:color="72C7E7" w:themeColor="accent5"/>
          <w:bottom w:val="single" w:sz="4" w:space="0" w:color="72C7E7" w:themeColor="accent5"/>
          <w:right w:val="single" w:sz="4" w:space="0" w:color="72C7E7" w:themeColor="accent5"/>
          <w:insideH w:val="nil"/>
          <w:insideV w:val="nil"/>
        </w:tcBorders>
        <w:shd w:val="clear" w:color="auto" w:fill="72C7E7" w:themeFill="accent5"/>
      </w:tcPr>
    </w:tblStylePr>
    <w:tblStylePr w:type="lastRow">
      <w:rPr>
        <w:b/>
        <w:bCs/>
      </w:rPr>
      <w:tblPr/>
      <w:tcPr>
        <w:tcBorders>
          <w:top w:val="double" w:sz="4" w:space="0" w:color="72C7E7" w:themeColor="accent5"/>
        </w:tcBorders>
      </w:tcPr>
    </w:tblStylePr>
    <w:tblStylePr w:type="firstCol">
      <w:rPr>
        <w:b/>
        <w:bCs/>
      </w:rPr>
    </w:tblStylePr>
    <w:tblStylePr w:type="lastCol">
      <w:rPr>
        <w:b/>
        <w:bCs/>
      </w:rPr>
    </w:tblStylePr>
    <w:tblStylePr w:type="band1Vert">
      <w:tblPr/>
      <w:tcPr>
        <w:shd w:val="clear" w:color="auto" w:fill="E2F3FA" w:themeFill="accent5" w:themeFillTint="33"/>
      </w:tcPr>
    </w:tblStylePr>
    <w:tblStylePr w:type="band1Horz">
      <w:tblPr/>
      <w:tcPr>
        <w:shd w:val="clear" w:color="auto" w:fill="E2F3FA" w:themeFill="accent5" w:themeFillTint="33"/>
      </w:tcPr>
    </w:tblStylePr>
  </w:style>
  <w:style w:type="table" w:customStyle="1" w:styleId="ListTable3-Accent31">
    <w:name w:val="List Table 3 - Accent 31"/>
    <w:basedOn w:val="TableNormal"/>
    <w:uiPriority w:val="48"/>
    <w:rsid w:val="00B509DD"/>
    <w:tblPr>
      <w:tblStyleRowBandSize w:val="1"/>
      <w:tblStyleColBandSize w:val="1"/>
      <w:tblBorders>
        <w:top w:val="single" w:sz="4" w:space="0" w:color="00A1DE" w:themeColor="accent3"/>
        <w:left w:val="single" w:sz="4" w:space="0" w:color="00A1DE" w:themeColor="accent3"/>
        <w:bottom w:val="single" w:sz="4" w:space="0" w:color="00A1DE" w:themeColor="accent3"/>
        <w:right w:val="single" w:sz="4" w:space="0" w:color="00A1DE" w:themeColor="accent3"/>
      </w:tblBorders>
    </w:tblPr>
    <w:tblStylePr w:type="firstRow">
      <w:rPr>
        <w:b/>
        <w:bCs/>
        <w:color w:val="FFFFFF" w:themeColor="background1"/>
      </w:rPr>
      <w:tblPr/>
      <w:tcPr>
        <w:shd w:val="clear" w:color="auto" w:fill="00A1DE" w:themeFill="accent3"/>
      </w:tcPr>
    </w:tblStylePr>
    <w:tblStylePr w:type="lastRow">
      <w:rPr>
        <w:b/>
        <w:bCs/>
      </w:rPr>
      <w:tblPr/>
      <w:tcPr>
        <w:tcBorders>
          <w:top w:val="double" w:sz="4" w:space="0" w:color="00A1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DE" w:themeColor="accent3"/>
          <w:right w:val="single" w:sz="4" w:space="0" w:color="00A1DE" w:themeColor="accent3"/>
        </w:tcBorders>
      </w:tcPr>
    </w:tblStylePr>
    <w:tblStylePr w:type="band1Horz">
      <w:tblPr/>
      <w:tcPr>
        <w:tcBorders>
          <w:top w:val="single" w:sz="4" w:space="0" w:color="00A1DE" w:themeColor="accent3"/>
          <w:bottom w:val="single" w:sz="4" w:space="0" w:color="00A1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DE" w:themeColor="accent3"/>
          <w:left w:val="nil"/>
        </w:tcBorders>
      </w:tcPr>
    </w:tblStylePr>
    <w:tblStylePr w:type="swCell">
      <w:tblPr/>
      <w:tcPr>
        <w:tcBorders>
          <w:top w:val="double" w:sz="4" w:space="0" w:color="00A1DE" w:themeColor="accent3"/>
          <w:right w:val="nil"/>
        </w:tcBorders>
      </w:tcPr>
    </w:tblStylePr>
  </w:style>
  <w:style w:type="paragraph" w:styleId="NormalWeb">
    <w:name w:val="Normal (Web)"/>
    <w:basedOn w:val="Normal"/>
    <w:uiPriority w:val="99"/>
    <w:unhideWhenUsed/>
    <w:rsid w:val="00B509DD"/>
    <w:pPr>
      <w:keepNext/>
      <w:spacing w:before="0" w:after="0" w:line="240" w:lineRule="auto"/>
      <w:jc w:val="left"/>
    </w:pPr>
    <w:rPr>
      <w:rFonts w:ascii="Times New Roman" w:eastAsiaTheme="minorHAnsi" w:hAnsi="Times New Roman"/>
      <w:color w:val="auto"/>
      <w:sz w:val="24"/>
      <w:lang w:val="en-CA" w:eastAsia="en-US"/>
    </w:rPr>
  </w:style>
  <w:style w:type="table" w:customStyle="1" w:styleId="GridTable4-Accent34">
    <w:name w:val="Grid Table 4 - Accent 34"/>
    <w:basedOn w:val="TableNormal"/>
    <w:uiPriority w:val="49"/>
    <w:rsid w:val="00024F70"/>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customStyle="1" w:styleId="GridTable4-Accent33">
    <w:name w:val="Grid Table 4 - Accent 33"/>
    <w:basedOn w:val="TableNormal"/>
    <w:uiPriority w:val="49"/>
    <w:rsid w:val="00505598"/>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customStyle="1" w:styleId="GridTable4-Accent331">
    <w:name w:val="Grid Table 4 - Accent 331"/>
    <w:basedOn w:val="TableNormal"/>
    <w:uiPriority w:val="49"/>
    <w:rsid w:val="00DC269F"/>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paragraph" w:customStyle="1" w:styleId="EndNoteBibliography">
    <w:name w:val="EndNote Bibliography"/>
    <w:basedOn w:val="Normal"/>
    <w:link w:val="EndNoteBibliographyZchn"/>
    <w:rsid w:val="00855426"/>
    <w:pPr>
      <w:spacing w:before="0" w:after="200" w:line="240" w:lineRule="auto"/>
      <w:jc w:val="left"/>
    </w:pPr>
    <w:rPr>
      <w:rFonts w:ascii="Calibri" w:eastAsiaTheme="minorHAnsi" w:hAnsi="Calibri" w:cstheme="minorBidi"/>
      <w:noProof/>
      <w:color w:val="auto"/>
      <w:sz w:val="22"/>
      <w:szCs w:val="22"/>
      <w:lang w:val="en-US" w:eastAsia="en-US"/>
    </w:rPr>
  </w:style>
  <w:style w:type="character" w:customStyle="1" w:styleId="EndNoteBibliographyZchn">
    <w:name w:val="EndNote Bibliography Zchn"/>
    <w:basedOn w:val="DefaultParagraphFont"/>
    <w:link w:val="EndNoteBibliography"/>
    <w:rsid w:val="00855426"/>
    <w:rPr>
      <w:rFonts w:ascii="Calibri" w:eastAsiaTheme="minorHAnsi" w:hAnsi="Calibri" w:cstheme="minorBidi"/>
      <w:noProof/>
      <w:color w:val="auto"/>
      <w:sz w:val="22"/>
      <w:szCs w:val="22"/>
      <w:lang w:val="en-US" w:eastAsia="en-US"/>
    </w:rPr>
  </w:style>
  <w:style w:type="paragraph" w:customStyle="1" w:styleId="Annex">
    <w:name w:val="Annex"/>
    <w:basedOn w:val="APageheading"/>
    <w:link w:val="AnnexChar"/>
    <w:qFormat/>
    <w:rsid w:val="006734AE"/>
    <w:pPr>
      <w:numPr>
        <w:numId w:val="0"/>
      </w:numPr>
    </w:pPr>
    <w:rPr>
      <w:lang w:val="fr-FR"/>
    </w:rPr>
  </w:style>
  <w:style w:type="character" w:customStyle="1" w:styleId="AnnexChar">
    <w:name w:val="Annex Char"/>
    <w:basedOn w:val="APageheadingChar"/>
    <w:link w:val="Annex"/>
    <w:rsid w:val="006734AE"/>
    <w:rPr>
      <w:rFonts w:ascii="Times New Roman" w:hAnsi="Times New Roman"/>
      <w:noProof/>
      <w:color w:val="002776" w:themeColor="text2"/>
      <w:kern w:val="32"/>
      <w:sz w:val="60"/>
      <w:szCs w:val="60"/>
      <w:lang w:val="fr-FR" w:eastAsia="en-US"/>
    </w:rPr>
  </w:style>
  <w:style w:type="paragraph" w:customStyle="1" w:styleId="Style1">
    <w:name w:val="Style1"/>
    <w:basedOn w:val="Normal"/>
    <w:link w:val="Style1Char"/>
    <w:qFormat/>
    <w:rsid w:val="00440D96"/>
    <w:pPr>
      <w:keepNext/>
    </w:pPr>
    <w:rPr>
      <w:b/>
      <w:color w:val="92D400" w:themeColor="accent2"/>
      <w:sz w:val="24"/>
    </w:rPr>
  </w:style>
  <w:style w:type="character" w:customStyle="1" w:styleId="Style1Char">
    <w:name w:val="Style1 Char"/>
    <w:basedOn w:val="DefaultParagraphFont"/>
    <w:link w:val="Style1"/>
    <w:rsid w:val="00152ADA"/>
    <w:rPr>
      <w:b/>
      <w:color w:val="92D400" w:themeColor="accent2"/>
    </w:rPr>
  </w:style>
  <w:style w:type="paragraph" w:customStyle="1" w:styleId="Default">
    <w:name w:val="Default"/>
    <w:rsid w:val="00D23BD5"/>
    <w:pPr>
      <w:autoSpaceDE w:val="0"/>
      <w:autoSpaceDN w:val="0"/>
      <w:adjustRightInd w:val="0"/>
    </w:pPr>
    <w:rPr>
      <w:rFonts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107">
      <w:bodyDiv w:val="1"/>
      <w:marLeft w:val="0"/>
      <w:marRight w:val="0"/>
      <w:marTop w:val="0"/>
      <w:marBottom w:val="0"/>
      <w:divBdr>
        <w:top w:val="none" w:sz="0" w:space="0" w:color="auto"/>
        <w:left w:val="none" w:sz="0" w:space="0" w:color="auto"/>
        <w:bottom w:val="none" w:sz="0" w:space="0" w:color="auto"/>
        <w:right w:val="none" w:sz="0" w:space="0" w:color="auto"/>
      </w:divBdr>
    </w:div>
    <w:div w:id="17858214">
      <w:bodyDiv w:val="1"/>
      <w:marLeft w:val="0"/>
      <w:marRight w:val="0"/>
      <w:marTop w:val="0"/>
      <w:marBottom w:val="0"/>
      <w:divBdr>
        <w:top w:val="none" w:sz="0" w:space="0" w:color="auto"/>
        <w:left w:val="none" w:sz="0" w:space="0" w:color="auto"/>
        <w:bottom w:val="none" w:sz="0" w:space="0" w:color="auto"/>
        <w:right w:val="none" w:sz="0" w:space="0" w:color="auto"/>
      </w:divBdr>
    </w:div>
    <w:div w:id="22482078">
      <w:bodyDiv w:val="1"/>
      <w:marLeft w:val="0"/>
      <w:marRight w:val="0"/>
      <w:marTop w:val="0"/>
      <w:marBottom w:val="0"/>
      <w:divBdr>
        <w:top w:val="none" w:sz="0" w:space="0" w:color="auto"/>
        <w:left w:val="none" w:sz="0" w:space="0" w:color="auto"/>
        <w:bottom w:val="none" w:sz="0" w:space="0" w:color="auto"/>
        <w:right w:val="none" w:sz="0" w:space="0" w:color="auto"/>
      </w:divBdr>
    </w:div>
    <w:div w:id="35930529">
      <w:bodyDiv w:val="1"/>
      <w:marLeft w:val="0"/>
      <w:marRight w:val="0"/>
      <w:marTop w:val="0"/>
      <w:marBottom w:val="0"/>
      <w:divBdr>
        <w:top w:val="none" w:sz="0" w:space="0" w:color="auto"/>
        <w:left w:val="none" w:sz="0" w:space="0" w:color="auto"/>
        <w:bottom w:val="none" w:sz="0" w:space="0" w:color="auto"/>
        <w:right w:val="none" w:sz="0" w:space="0" w:color="auto"/>
      </w:divBdr>
    </w:div>
    <w:div w:id="37702141">
      <w:bodyDiv w:val="1"/>
      <w:marLeft w:val="0"/>
      <w:marRight w:val="0"/>
      <w:marTop w:val="0"/>
      <w:marBottom w:val="0"/>
      <w:divBdr>
        <w:top w:val="none" w:sz="0" w:space="0" w:color="auto"/>
        <w:left w:val="none" w:sz="0" w:space="0" w:color="auto"/>
        <w:bottom w:val="none" w:sz="0" w:space="0" w:color="auto"/>
        <w:right w:val="none" w:sz="0" w:space="0" w:color="auto"/>
      </w:divBdr>
    </w:div>
    <w:div w:id="38163466">
      <w:bodyDiv w:val="1"/>
      <w:marLeft w:val="0"/>
      <w:marRight w:val="0"/>
      <w:marTop w:val="0"/>
      <w:marBottom w:val="0"/>
      <w:divBdr>
        <w:top w:val="none" w:sz="0" w:space="0" w:color="auto"/>
        <w:left w:val="none" w:sz="0" w:space="0" w:color="auto"/>
        <w:bottom w:val="none" w:sz="0" w:space="0" w:color="auto"/>
        <w:right w:val="none" w:sz="0" w:space="0" w:color="auto"/>
      </w:divBdr>
    </w:div>
    <w:div w:id="49420948">
      <w:bodyDiv w:val="1"/>
      <w:marLeft w:val="0"/>
      <w:marRight w:val="0"/>
      <w:marTop w:val="0"/>
      <w:marBottom w:val="0"/>
      <w:divBdr>
        <w:top w:val="none" w:sz="0" w:space="0" w:color="auto"/>
        <w:left w:val="none" w:sz="0" w:space="0" w:color="auto"/>
        <w:bottom w:val="none" w:sz="0" w:space="0" w:color="auto"/>
        <w:right w:val="none" w:sz="0" w:space="0" w:color="auto"/>
      </w:divBdr>
    </w:div>
    <w:div w:id="49622199">
      <w:bodyDiv w:val="1"/>
      <w:marLeft w:val="0"/>
      <w:marRight w:val="0"/>
      <w:marTop w:val="0"/>
      <w:marBottom w:val="0"/>
      <w:divBdr>
        <w:top w:val="none" w:sz="0" w:space="0" w:color="auto"/>
        <w:left w:val="none" w:sz="0" w:space="0" w:color="auto"/>
        <w:bottom w:val="none" w:sz="0" w:space="0" w:color="auto"/>
        <w:right w:val="none" w:sz="0" w:space="0" w:color="auto"/>
      </w:divBdr>
    </w:div>
    <w:div w:id="50082751">
      <w:bodyDiv w:val="1"/>
      <w:marLeft w:val="0"/>
      <w:marRight w:val="0"/>
      <w:marTop w:val="0"/>
      <w:marBottom w:val="0"/>
      <w:divBdr>
        <w:top w:val="none" w:sz="0" w:space="0" w:color="auto"/>
        <w:left w:val="none" w:sz="0" w:space="0" w:color="auto"/>
        <w:bottom w:val="none" w:sz="0" w:space="0" w:color="auto"/>
        <w:right w:val="none" w:sz="0" w:space="0" w:color="auto"/>
      </w:divBdr>
      <w:divsChild>
        <w:div w:id="689913730">
          <w:marLeft w:val="274"/>
          <w:marRight w:val="0"/>
          <w:marTop w:val="0"/>
          <w:marBottom w:val="0"/>
          <w:divBdr>
            <w:top w:val="none" w:sz="0" w:space="0" w:color="auto"/>
            <w:left w:val="none" w:sz="0" w:space="0" w:color="auto"/>
            <w:bottom w:val="none" w:sz="0" w:space="0" w:color="auto"/>
            <w:right w:val="none" w:sz="0" w:space="0" w:color="auto"/>
          </w:divBdr>
        </w:div>
      </w:divsChild>
    </w:div>
    <w:div w:id="57478436">
      <w:bodyDiv w:val="1"/>
      <w:marLeft w:val="0"/>
      <w:marRight w:val="0"/>
      <w:marTop w:val="0"/>
      <w:marBottom w:val="0"/>
      <w:divBdr>
        <w:top w:val="none" w:sz="0" w:space="0" w:color="auto"/>
        <w:left w:val="none" w:sz="0" w:space="0" w:color="auto"/>
        <w:bottom w:val="none" w:sz="0" w:space="0" w:color="auto"/>
        <w:right w:val="none" w:sz="0" w:space="0" w:color="auto"/>
      </w:divBdr>
    </w:div>
    <w:div w:id="63262100">
      <w:bodyDiv w:val="1"/>
      <w:marLeft w:val="0"/>
      <w:marRight w:val="0"/>
      <w:marTop w:val="0"/>
      <w:marBottom w:val="0"/>
      <w:divBdr>
        <w:top w:val="none" w:sz="0" w:space="0" w:color="auto"/>
        <w:left w:val="none" w:sz="0" w:space="0" w:color="auto"/>
        <w:bottom w:val="none" w:sz="0" w:space="0" w:color="auto"/>
        <w:right w:val="none" w:sz="0" w:space="0" w:color="auto"/>
      </w:divBdr>
    </w:div>
    <w:div w:id="65735497">
      <w:bodyDiv w:val="1"/>
      <w:marLeft w:val="0"/>
      <w:marRight w:val="0"/>
      <w:marTop w:val="0"/>
      <w:marBottom w:val="0"/>
      <w:divBdr>
        <w:top w:val="none" w:sz="0" w:space="0" w:color="auto"/>
        <w:left w:val="none" w:sz="0" w:space="0" w:color="auto"/>
        <w:bottom w:val="none" w:sz="0" w:space="0" w:color="auto"/>
        <w:right w:val="none" w:sz="0" w:space="0" w:color="auto"/>
      </w:divBdr>
    </w:div>
    <w:div w:id="66734789">
      <w:bodyDiv w:val="1"/>
      <w:marLeft w:val="0"/>
      <w:marRight w:val="0"/>
      <w:marTop w:val="0"/>
      <w:marBottom w:val="0"/>
      <w:divBdr>
        <w:top w:val="none" w:sz="0" w:space="0" w:color="auto"/>
        <w:left w:val="none" w:sz="0" w:space="0" w:color="auto"/>
        <w:bottom w:val="none" w:sz="0" w:space="0" w:color="auto"/>
        <w:right w:val="none" w:sz="0" w:space="0" w:color="auto"/>
      </w:divBdr>
    </w:div>
    <w:div w:id="93869789">
      <w:bodyDiv w:val="1"/>
      <w:marLeft w:val="0"/>
      <w:marRight w:val="0"/>
      <w:marTop w:val="0"/>
      <w:marBottom w:val="0"/>
      <w:divBdr>
        <w:top w:val="none" w:sz="0" w:space="0" w:color="auto"/>
        <w:left w:val="none" w:sz="0" w:space="0" w:color="auto"/>
        <w:bottom w:val="none" w:sz="0" w:space="0" w:color="auto"/>
        <w:right w:val="none" w:sz="0" w:space="0" w:color="auto"/>
      </w:divBdr>
    </w:div>
    <w:div w:id="96214594">
      <w:bodyDiv w:val="1"/>
      <w:marLeft w:val="0"/>
      <w:marRight w:val="0"/>
      <w:marTop w:val="0"/>
      <w:marBottom w:val="0"/>
      <w:divBdr>
        <w:top w:val="none" w:sz="0" w:space="0" w:color="auto"/>
        <w:left w:val="none" w:sz="0" w:space="0" w:color="auto"/>
        <w:bottom w:val="none" w:sz="0" w:space="0" w:color="auto"/>
        <w:right w:val="none" w:sz="0" w:space="0" w:color="auto"/>
      </w:divBdr>
      <w:divsChild>
        <w:div w:id="543909078">
          <w:marLeft w:val="0"/>
          <w:marRight w:val="0"/>
          <w:marTop w:val="0"/>
          <w:marBottom w:val="0"/>
          <w:divBdr>
            <w:top w:val="none" w:sz="0" w:space="0" w:color="auto"/>
            <w:left w:val="none" w:sz="0" w:space="0" w:color="auto"/>
            <w:bottom w:val="none" w:sz="0" w:space="0" w:color="auto"/>
            <w:right w:val="none" w:sz="0" w:space="0" w:color="auto"/>
          </w:divBdr>
        </w:div>
        <w:div w:id="1300383241">
          <w:marLeft w:val="0"/>
          <w:marRight w:val="0"/>
          <w:marTop w:val="0"/>
          <w:marBottom w:val="0"/>
          <w:divBdr>
            <w:top w:val="none" w:sz="0" w:space="0" w:color="auto"/>
            <w:left w:val="none" w:sz="0" w:space="0" w:color="auto"/>
            <w:bottom w:val="none" w:sz="0" w:space="0" w:color="auto"/>
            <w:right w:val="none" w:sz="0" w:space="0" w:color="auto"/>
          </w:divBdr>
        </w:div>
        <w:div w:id="1304504839">
          <w:marLeft w:val="0"/>
          <w:marRight w:val="0"/>
          <w:marTop w:val="0"/>
          <w:marBottom w:val="0"/>
          <w:divBdr>
            <w:top w:val="none" w:sz="0" w:space="0" w:color="auto"/>
            <w:left w:val="none" w:sz="0" w:space="0" w:color="auto"/>
            <w:bottom w:val="none" w:sz="0" w:space="0" w:color="auto"/>
            <w:right w:val="none" w:sz="0" w:space="0" w:color="auto"/>
          </w:divBdr>
        </w:div>
        <w:div w:id="1544828279">
          <w:marLeft w:val="0"/>
          <w:marRight w:val="0"/>
          <w:marTop w:val="0"/>
          <w:marBottom w:val="0"/>
          <w:divBdr>
            <w:top w:val="none" w:sz="0" w:space="0" w:color="auto"/>
            <w:left w:val="none" w:sz="0" w:space="0" w:color="auto"/>
            <w:bottom w:val="none" w:sz="0" w:space="0" w:color="auto"/>
            <w:right w:val="none" w:sz="0" w:space="0" w:color="auto"/>
          </w:divBdr>
        </w:div>
        <w:div w:id="1619750611">
          <w:marLeft w:val="0"/>
          <w:marRight w:val="0"/>
          <w:marTop w:val="0"/>
          <w:marBottom w:val="0"/>
          <w:divBdr>
            <w:top w:val="none" w:sz="0" w:space="0" w:color="auto"/>
            <w:left w:val="none" w:sz="0" w:space="0" w:color="auto"/>
            <w:bottom w:val="none" w:sz="0" w:space="0" w:color="auto"/>
            <w:right w:val="none" w:sz="0" w:space="0" w:color="auto"/>
          </w:divBdr>
        </w:div>
      </w:divsChild>
    </w:div>
    <w:div w:id="99617006">
      <w:bodyDiv w:val="1"/>
      <w:marLeft w:val="0"/>
      <w:marRight w:val="0"/>
      <w:marTop w:val="0"/>
      <w:marBottom w:val="0"/>
      <w:divBdr>
        <w:top w:val="none" w:sz="0" w:space="0" w:color="auto"/>
        <w:left w:val="none" w:sz="0" w:space="0" w:color="auto"/>
        <w:bottom w:val="none" w:sz="0" w:space="0" w:color="auto"/>
        <w:right w:val="none" w:sz="0" w:space="0" w:color="auto"/>
      </w:divBdr>
      <w:divsChild>
        <w:div w:id="1143734459">
          <w:marLeft w:val="547"/>
          <w:marRight w:val="0"/>
          <w:marTop w:val="200"/>
          <w:marBottom w:val="0"/>
          <w:divBdr>
            <w:top w:val="none" w:sz="0" w:space="0" w:color="auto"/>
            <w:left w:val="none" w:sz="0" w:space="0" w:color="auto"/>
            <w:bottom w:val="none" w:sz="0" w:space="0" w:color="auto"/>
            <w:right w:val="none" w:sz="0" w:space="0" w:color="auto"/>
          </w:divBdr>
        </w:div>
      </w:divsChild>
    </w:div>
    <w:div w:id="110319509">
      <w:bodyDiv w:val="1"/>
      <w:marLeft w:val="0"/>
      <w:marRight w:val="0"/>
      <w:marTop w:val="0"/>
      <w:marBottom w:val="0"/>
      <w:divBdr>
        <w:top w:val="none" w:sz="0" w:space="0" w:color="auto"/>
        <w:left w:val="none" w:sz="0" w:space="0" w:color="auto"/>
        <w:bottom w:val="none" w:sz="0" w:space="0" w:color="auto"/>
        <w:right w:val="none" w:sz="0" w:space="0" w:color="auto"/>
      </w:divBdr>
    </w:div>
    <w:div w:id="117727347">
      <w:bodyDiv w:val="1"/>
      <w:marLeft w:val="0"/>
      <w:marRight w:val="0"/>
      <w:marTop w:val="0"/>
      <w:marBottom w:val="0"/>
      <w:divBdr>
        <w:top w:val="none" w:sz="0" w:space="0" w:color="auto"/>
        <w:left w:val="none" w:sz="0" w:space="0" w:color="auto"/>
        <w:bottom w:val="none" w:sz="0" w:space="0" w:color="auto"/>
        <w:right w:val="none" w:sz="0" w:space="0" w:color="auto"/>
      </w:divBdr>
      <w:divsChild>
        <w:div w:id="117142192">
          <w:marLeft w:val="835"/>
          <w:marRight w:val="0"/>
          <w:marTop w:val="20"/>
          <w:marBottom w:val="20"/>
          <w:divBdr>
            <w:top w:val="none" w:sz="0" w:space="0" w:color="auto"/>
            <w:left w:val="none" w:sz="0" w:space="0" w:color="auto"/>
            <w:bottom w:val="none" w:sz="0" w:space="0" w:color="auto"/>
            <w:right w:val="none" w:sz="0" w:space="0" w:color="auto"/>
          </w:divBdr>
        </w:div>
        <w:div w:id="193420815">
          <w:marLeft w:val="835"/>
          <w:marRight w:val="0"/>
          <w:marTop w:val="20"/>
          <w:marBottom w:val="20"/>
          <w:divBdr>
            <w:top w:val="none" w:sz="0" w:space="0" w:color="auto"/>
            <w:left w:val="none" w:sz="0" w:space="0" w:color="auto"/>
            <w:bottom w:val="none" w:sz="0" w:space="0" w:color="auto"/>
            <w:right w:val="none" w:sz="0" w:space="0" w:color="auto"/>
          </w:divBdr>
        </w:div>
        <w:div w:id="505822389">
          <w:marLeft w:val="547"/>
          <w:marRight w:val="0"/>
          <w:marTop w:val="120"/>
          <w:marBottom w:val="20"/>
          <w:divBdr>
            <w:top w:val="none" w:sz="0" w:space="0" w:color="auto"/>
            <w:left w:val="none" w:sz="0" w:space="0" w:color="auto"/>
            <w:bottom w:val="none" w:sz="0" w:space="0" w:color="auto"/>
            <w:right w:val="none" w:sz="0" w:space="0" w:color="auto"/>
          </w:divBdr>
        </w:div>
        <w:div w:id="810248145">
          <w:marLeft w:val="547"/>
          <w:marRight w:val="0"/>
          <w:marTop w:val="120"/>
          <w:marBottom w:val="20"/>
          <w:divBdr>
            <w:top w:val="none" w:sz="0" w:space="0" w:color="auto"/>
            <w:left w:val="none" w:sz="0" w:space="0" w:color="auto"/>
            <w:bottom w:val="none" w:sz="0" w:space="0" w:color="auto"/>
            <w:right w:val="none" w:sz="0" w:space="0" w:color="auto"/>
          </w:divBdr>
        </w:div>
        <w:div w:id="1478254876">
          <w:marLeft w:val="835"/>
          <w:marRight w:val="0"/>
          <w:marTop w:val="20"/>
          <w:marBottom w:val="20"/>
          <w:divBdr>
            <w:top w:val="none" w:sz="0" w:space="0" w:color="auto"/>
            <w:left w:val="none" w:sz="0" w:space="0" w:color="auto"/>
            <w:bottom w:val="none" w:sz="0" w:space="0" w:color="auto"/>
            <w:right w:val="none" w:sz="0" w:space="0" w:color="auto"/>
          </w:divBdr>
        </w:div>
        <w:div w:id="1797916479">
          <w:marLeft w:val="835"/>
          <w:marRight w:val="0"/>
          <w:marTop w:val="20"/>
          <w:marBottom w:val="20"/>
          <w:divBdr>
            <w:top w:val="none" w:sz="0" w:space="0" w:color="auto"/>
            <w:left w:val="none" w:sz="0" w:space="0" w:color="auto"/>
            <w:bottom w:val="none" w:sz="0" w:space="0" w:color="auto"/>
            <w:right w:val="none" w:sz="0" w:space="0" w:color="auto"/>
          </w:divBdr>
        </w:div>
        <w:div w:id="1823811173">
          <w:marLeft w:val="274"/>
          <w:marRight w:val="0"/>
          <w:marTop w:val="20"/>
          <w:marBottom w:val="20"/>
          <w:divBdr>
            <w:top w:val="none" w:sz="0" w:space="0" w:color="auto"/>
            <w:left w:val="none" w:sz="0" w:space="0" w:color="auto"/>
            <w:bottom w:val="none" w:sz="0" w:space="0" w:color="auto"/>
            <w:right w:val="none" w:sz="0" w:space="0" w:color="auto"/>
          </w:divBdr>
        </w:div>
      </w:divsChild>
    </w:div>
    <w:div w:id="122771160">
      <w:bodyDiv w:val="1"/>
      <w:marLeft w:val="0"/>
      <w:marRight w:val="0"/>
      <w:marTop w:val="0"/>
      <w:marBottom w:val="0"/>
      <w:divBdr>
        <w:top w:val="none" w:sz="0" w:space="0" w:color="auto"/>
        <w:left w:val="none" w:sz="0" w:space="0" w:color="auto"/>
        <w:bottom w:val="none" w:sz="0" w:space="0" w:color="auto"/>
        <w:right w:val="none" w:sz="0" w:space="0" w:color="auto"/>
      </w:divBdr>
    </w:div>
    <w:div w:id="144588301">
      <w:bodyDiv w:val="1"/>
      <w:marLeft w:val="0"/>
      <w:marRight w:val="0"/>
      <w:marTop w:val="0"/>
      <w:marBottom w:val="0"/>
      <w:divBdr>
        <w:top w:val="none" w:sz="0" w:space="0" w:color="auto"/>
        <w:left w:val="none" w:sz="0" w:space="0" w:color="auto"/>
        <w:bottom w:val="none" w:sz="0" w:space="0" w:color="auto"/>
        <w:right w:val="none" w:sz="0" w:space="0" w:color="auto"/>
      </w:divBdr>
    </w:div>
    <w:div w:id="149371995">
      <w:bodyDiv w:val="1"/>
      <w:marLeft w:val="0"/>
      <w:marRight w:val="0"/>
      <w:marTop w:val="0"/>
      <w:marBottom w:val="0"/>
      <w:divBdr>
        <w:top w:val="none" w:sz="0" w:space="0" w:color="auto"/>
        <w:left w:val="none" w:sz="0" w:space="0" w:color="auto"/>
        <w:bottom w:val="none" w:sz="0" w:space="0" w:color="auto"/>
        <w:right w:val="none" w:sz="0" w:space="0" w:color="auto"/>
      </w:divBdr>
      <w:divsChild>
        <w:div w:id="341666351">
          <w:marLeft w:val="432"/>
          <w:marRight w:val="0"/>
          <w:marTop w:val="0"/>
          <w:marBottom w:val="0"/>
          <w:divBdr>
            <w:top w:val="none" w:sz="0" w:space="0" w:color="auto"/>
            <w:left w:val="none" w:sz="0" w:space="0" w:color="auto"/>
            <w:bottom w:val="none" w:sz="0" w:space="0" w:color="auto"/>
            <w:right w:val="none" w:sz="0" w:space="0" w:color="auto"/>
          </w:divBdr>
        </w:div>
        <w:div w:id="1663894362">
          <w:marLeft w:val="432"/>
          <w:marRight w:val="0"/>
          <w:marTop w:val="0"/>
          <w:marBottom w:val="0"/>
          <w:divBdr>
            <w:top w:val="none" w:sz="0" w:space="0" w:color="auto"/>
            <w:left w:val="none" w:sz="0" w:space="0" w:color="auto"/>
            <w:bottom w:val="none" w:sz="0" w:space="0" w:color="auto"/>
            <w:right w:val="none" w:sz="0" w:space="0" w:color="auto"/>
          </w:divBdr>
        </w:div>
        <w:div w:id="1793357315">
          <w:marLeft w:val="432"/>
          <w:marRight w:val="0"/>
          <w:marTop w:val="0"/>
          <w:marBottom w:val="0"/>
          <w:divBdr>
            <w:top w:val="none" w:sz="0" w:space="0" w:color="auto"/>
            <w:left w:val="none" w:sz="0" w:space="0" w:color="auto"/>
            <w:bottom w:val="none" w:sz="0" w:space="0" w:color="auto"/>
            <w:right w:val="none" w:sz="0" w:space="0" w:color="auto"/>
          </w:divBdr>
        </w:div>
        <w:div w:id="1843817520">
          <w:marLeft w:val="432"/>
          <w:marRight w:val="0"/>
          <w:marTop w:val="0"/>
          <w:marBottom w:val="0"/>
          <w:divBdr>
            <w:top w:val="none" w:sz="0" w:space="0" w:color="auto"/>
            <w:left w:val="none" w:sz="0" w:space="0" w:color="auto"/>
            <w:bottom w:val="none" w:sz="0" w:space="0" w:color="auto"/>
            <w:right w:val="none" w:sz="0" w:space="0" w:color="auto"/>
          </w:divBdr>
        </w:div>
      </w:divsChild>
    </w:div>
    <w:div w:id="149833536">
      <w:bodyDiv w:val="1"/>
      <w:marLeft w:val="0"/>
      <w:marRight w:val="0"/>
      <w:marTop w:val="0"/>
      <w:marBottom w:val="0"/>
      <w:divBdr>
        <w:top w:val="none" w:sz="0" w:space="0" w:color="auto"/>
        <w:left w:val="none" w:sz="0" w:space="0" w:color="auto"/>
        <w:bottom w:val="none" w:sz="0" w:space="0" w:color="auto"/>
        <w:right w:val="none" w:sz="0" w:space="0" w:color="auto"/>
      </w:divBdr>
    </w:div>
    <w:div w:id="155340376">
      <w:bodyDiv w:val="1"/>
      <w:marLeft w:val="0"/>
      <w:marRight w:val="0"/>
      <w:marTop w:val="0"/>
      <w:marBottom w:val="0"/>
      <w:divBdr>
        <w:top w:val="none" w:sz="0" w:space="0" w:color="auto"/>
        <w:left w:val="none" w:sz="0" w:space="0" w:color="auto"/>
        <w:bottom w:val="none" w:sz="0" w:space="0" w:color="auto"/>
        <w:right w:val="none" w:sz="0" w:space="0" w:color="auto"/>
      </w:divBdr>
    </w:div>
    <w:div w:id="158546414">
      <w:bodyDiv w:val="1"/>
      <w:marLeft w:val="0"/>
      <w:marRight w:val="0"/>
      <w:marTop w:val="0"/>
      <w:marBottom w:val="0"/>
      <w:divBdr>
        <w:top w:val="none" w:sz="0" w:space="0" w:color="auto"/>
        <w:left w:val="none" w:sz="0" w:space="0" w:color="auto"/>
        <w:bottom w:val="none" w:sz="0" w:space="0" w:color="auto"/>
        <w:right w:val="none" w:sz="0" w:space="0" w:color="auto"/>
      </w:divBdr>
    </w:div>
    <w:div w:id="166485251">
      <w:bodyDiv w:val="1"/>
      <w:marLeft w:val="0"/>
      <w:marRight w:val="0"/>
      <w:marTop w:val="0"/>
      <w:marBottom w:val="0"/>
      <w:divBdr>
        <w:top w:val="none" w:sz="0" w:space="0" w:color="auto"/>
        <w:left w:val="none" w:sz="0" w:space="0" w:color="auto"/>
        <w:bottom w:val="none" w:sz="0" w:space="0" w:color="auto"/>
        <w:right w:val="none" w:sz="0" w:space="0" w:color="auto"/>
      </w:divBdr>
      <w:divsChild>
        <w:div w:id="428041467">
          <w:marLeft w:val="288"/>
          <w:marRight w:val="0"/>
          <w:marTop w:val="120"/>
          <w:marBottom w:val="120"/>
          <w:divBdr>
            <w:top w:val="none" w:sz="0" w:space="0" w:color="auto"/>
            <w:left w:val="none" w:sz="0" w:space="0" w:color="auto"/>
            <w:bottom w:val="none" w:sz="0" w:space="0" w:color="auto"/>
            <w:right w:val="none" w:sz="0" w:space="0" w:color="auto"/>
          </w:divBdr>
        </w:div>
        <w:div w:id="474302147">
          <w:marLeft w:val="288"/>
          <w:marRight w:val="0"/>
          <w:marTop w:val="120"/>
          <w:marBottom w:val="120"/>
          <w:divBdr>
            <w:top w:val="none" w:sz="0" w:space="0" w:color="auto"/>
            <w:left w:val="none" w:sz="0" w:space="0" w:color="auto"/>
            <w:bottom w:val="none" w:sz="0" w:space="0" w:color="auto"/>
            <w:right w:val="none" w:sz="0" w:space="0" w:color="auto"/>
          </w:divBdr>
        </w:div>
      </w:divsChild>
    </w:div>
    <w:div w:id="168524099">
      <w:bodyDiv w:val="1"/>
      <w:marLeft w:val="0"/>
      <w:marRight w:val="0"/>
      <w:marTop w:val="0"/>
      <w:marBottom w:val="0"/>
      <w:divBdr>
        <w:top w:val="none" w:sz="0" w:space="0" w:color="auto"/>
        <w:left w:val="none" w:sz="0" w:space="0" w:color="auto"/>
        <w:bottom w:val="none" w:sz="0" w:space="0" w:color="auto"/>
        <w:right w:val="none" w:sz="0" w:space="0" w:color="auto"/>
      </w:divBdr>
    </w:div>
    <w:div w:id="181365502">
      <w:bodyDiv w:val="1"/>
      <w:marLeft w:val="0"/>
      <w:marRight w:val="0"/>
      <w:marTop w:val="0"/>
      <w:marBottom w:val="0"/>
      <w:divBdr>
        <w:top w:val="none" w:sz="0" w:space="0" w:color="auto"/>
        <w:left w:val="none" w:sz="0" w:space="0" w:color="auto"/>
        <w:bottom w:val="none" w:sz="0" w:space="0" w:color="auto"/>
        <w:right w:val="none" w:sz="0" w:space="0" w:color="auto"/>
      </w:divBdr>
      <w:divsChild>
        <w:div w:id="300498868">
          <w:marLeft w:val="432"/>
          <w:marRight w:val="0"/>
          <w:marTop w:val="0"/>
          <w:marBottom w:val="0"/>
          <w:divBdr>
            <w:top w:val="none" w:sz="0" w:space="0" w:color="auto"/>
            <w:left w:val="none" w:sz="0" w:space="0" w:color="auto"/>
            <w:bottom w:val="none" w:sz="0" w:space="0" w:color="auto"/>
            <w:right w:val="none" w:sz="0" w:space="0" w:color="auto"/>
          </w:divBdr>
        </w:div>
        <w:div w:id="429474264">
          <w:marLeft w:val="432"/>
          <w:marRight w:val="0"/>
          <w:marTop w:val="0"/>
          <w:marBottom w:val="0"/>
          <w:divBdr>
            <w:top w:val="none" w:sz="0" w:space="0" w:color="auto"/>
            <w:left w:val="none" w:sz="0" w:space="0" w:color="auto"/>
            <w:bottom w:val="none" w:sz="0" w:space="0" w:color="auto"/>
            <w:right w:val="none" w:sz="0" w:space="0" w:color="auto"/>
          </w:divBdr>
        </w:div>
        <w:div w:id="1035423495">
          <w:marLeft w:val="432"/>
          <w:marRight w:val="0"/>
          <w:marTop w:val="0"/>
          <w:marBottom w:val="0"/>
          <w:divBdr>
            <w:top w:val="none" w:sz="0" w:space="0" w:color="auto"/>
            <w:left w:val="none" w:sz="0" w:space="0" w:color="auto"/>
            <w:bottom w:val="none" w:sz="0" w:space="0" w:color="auto"/>
            <w:right w:val="none" w:sz="0" w:space="0" w:color="auto"/>
          </w:divBdr>
        </w:div>
        <w:div w:id="2060086076">
          <w:marLeft w:val="432"/>
          <w:marRight w:val="0"/>
          <w:marTop w:val="0"/>
          <w:marBottom w:val="0"/>
          <w:divBdr>
            <w:top w:val="none" w:sz="0" w:space="0" w:color="auto"/>
            <w:left w:val="none" w:sz="0" w:space="0" w:color="auto"/>
            <w:bottom w:val="none" w:sz="0" w:space="0" w:color="auto"/>
            <w:right w:val="none" w:sz="0" w:space="0" w:color="auto"/>
          </w:divBdr>
        </w:div>
      </w:divsChild>
    </w:div>
    <w:div w:id="184835217">
      <w:bodyDiv w:val="1"/>
      <w:marLeft w:val="0"/>
      <w:marRight w:val="0"/>
      <w:marTop w:val="0"/>
      <w:marBottom w:val="0"/>
      <w:divBdr>
        <w:top w:val="none" w:sz="0" w:space="0" w:color="auto"/>
        <w:left w:val="none" w:sz="0" w:space="0" w:color="auto"/>
        <w:bottom w:val="none" w:sz="0" w:space="0" w:color="auto"/>
        <w:right w:val="none" w:sz="0" w:space="0" w:color="auto"/>
      </w:divBdr>
    </w:div>
    <w:div w:id="191039412">
      <w:bodyDiv w:val="1"/>
      <w:marLeft w:val="0"/>
      <w:marRight w:val="0"/>
      <w:marTop w:val="0"/>
      <w:marBottom w:val="0"/>
      <w:divBdr>
        <w:top w:val="none" w:sz="0" w:space="0" w:color="auto"/>
        <w:left w:val="none" w:sz="0" w:space="0" w:color="auto"/>
        <w:bottom w:val="none" w:sz="0" w:space="0" w:color="auto"/>
        <w:right w:val="none" w:sz="0" w:space="0" w:color="auto"/>
      </w:divBdr>
      <w:divsChild>
        <w:div w:id="456339979">
          <w:marLeft w:val="274"/>
          <w:marRight w:val="0"/>
          <w:marTop w:val="0"/>
          <w:marBottom w:val="0"/>
          <w:divBdr>
            <w:top w:val="none" w:sz="0" w:space="0" w:color="auto"/>
            <w:left w:val="none" w:sz="0" w:space="0" w:color="auto"/>
            <w:bottom w:val="none" w:sz="0" w:space="0" w:color="auto"/>
            <w:right w:val="none" w:sz="0" w:space="0" w:color="auto"/>
          </w:divBdr>
        </w:div>
        <w:div w:id="560555739">
          <w:marLeft w:val="274"/>
          <w:marRight w:val="0"/>
          <w:marTop w:val="0"/>
          <w:marBottom w:val="0"/>
          <w:divBdr>
            <w:top w:val="none" w:sz="0" w:space="0" w:color="auto"/>
            <w:left w:val="none" w:sz="0" w:space="0" w:color="auto"/>
            <w:bottom w:val="none" w:sz="0" w:space="0" w:color="auto"/>
            <w:right w:val="none" w:sz="0" w:space="0" w:color="auto"/>
          </w:divBdr>
        </w:div>
        <w:div w:id="1492137866">
          <w:marLeft w:val="274"/>
          <w:marRight w:val="0"/>
          <w:marTop w:val="0"/>
          <w:marBottom w:val="0"/>
          <w:divBdr>
            <w:top w:val="none" w:sz="0" w:space="0" w:color="auto"/>
            <w:left w:val="none" w:sz="0" w:space="0" w:color="auto"/>
            <w:bottom w:val="none" w:sz="0" w:space="0" w:color="auto"/>
            <w:right w:val="none" w:sz="0" w:space="0" w:color="auto"/>
          </w:divBdr>
        </w:div>
        <w:div w:id="1740983582">
          <w:marLeft w:val="274"/>
          <w:marRight w:val="0"/>
          <w:marTop w:val="0"/>
          <w:marBottom w:val="0"/>
          <w:divBdr>
            <w:top w:val="none" w:sz="0" w:space="0" w:color="auto"/>
            <w:left w:val="none" w:sz="0" w:space="0" w:color="auto"/>
            <w:bottom w:val="none" w:sz="0" w:space="0" w:color="auto"/>
            <w:right w:val="none" w:sz="0" w:space="0" w:color="auto"/>
          </w:divBdr>
        </w:div>
        <w:div w:id="1783308374">
          <w:marLeft w:val="274"/>
          <w:marRight w:val="0"/>
          <w:marTop w:val="0"/>
          <w:marBottom w:val="0"/>
          <w:divBdr>
            <w:top w:val="none" w:sz="0" w:space="0" w:color="auto"/>
            <w:left w:val="none" w:sz="0" w:space="0" w:color="auto"/>
            <w:bottom w:val="none" w:sz="0" w:space="0" w:color="auto"/>
            <w:right w:val="none" w:sz="0" w:space="0" w:color="auto"/>
          </w:divBdr>
        </w:div>
      </w:divsChild>
    </w:div>
    <w:div w:id="191185215">
      <w:bodyDiv w:val="1"/>
      <w:marLeft w:val="0"/>
      <w:marRight w:val="0"/>
      <w:marTop w:val="0"/>
      <w:marBottom w:val="0"/>
      <w:divBdr>
        <w:top w:val="none" w:sz="0" w:space="0" w:color="auto"/>
        <w:left w:val="none" w:sz="0" w:space="0" w:color="auto"/>
        <w:bottom w:val="none" w:sz="0" w:space="0" w:color="auto"/>
        <w:right w:val="none" w:sz="0" w:space="0" w:color="auto"/>
      </w:divBdr>
    </w:div>
    <w:div w:id="192110919">
      <w:bodyDiv w:val="1"/>
      <w:marLeft w:val="0"/>
      <w:marRight w:val="0"/>
      <w:marTop w:val="0"/>
      <w:marBottom w:val="0"/>
      <w:divBdr>
        <w:top w:val="none" w:sz="0" w:space="0" w:color="auto"/>
        <w:left w:val="none" w:sz="0" w:space="0" w:color="auto"/>
        <w:bottom w:val="none" w:sz="0" w:space="0" w:color="auto"/>
        <w:right w:val="none" w:sz="0" w:space="0" w:color="auto"/>
      </w:divBdr>
      <w:divsChild>
        <w:div w:id="1625769589">
          <w:marLeft w:val="274"/>
          <w:marRight w:val="0"/>
          <w:marTop w:val="60"/>
          <w:marBottom w:val="60"/>
          <w:divBdr>
            <w:top w:val="none" w:sz="0" w:space="0" w:color="auto"/>
            <w:left w:val="none" w:sz="0" w:space="0" w:color="auto"/>
            <w:bottom w:val="none" w:sz="0" w:space="0" w:color="auto"/>
            <w:right w:val="none" w:sz="0" w:space="0" w:color="auto"/>
          </w:divBdr>
        </w:div>
        <w:div w:id="2088577811">
          <w:marLeft w:val="274"/>
          <w:marRight w:val="0"/>
          <w:marTop w:val="60"/>
          <w:marBottom w:val="60"/>
          <w:divBdr>
            <w:top w:val="none" w:sz="0" w:space="0" w:color="auto"/>
            <w:left w:val="none" w:sz="0" w:space="0" w:color="auto"/>
            <w:bottom w:val="none" w:sz="0" w:space="0" w:color="auto"/>
            <w:right w:val="none" w:sz="0" w:space="0" w:color="auto"/>
          </w:divBdr>
        </w:div>
      </w:divsChild>
    </w:div>
    <w:div w:id="209191502">
      <w:bodyDiv w:val="1"/>
      <w:marLeft w:val="0"/>
      <w:marRight w:val="0"/>
      <w:marTop w:val="0"/>
      <w:marBottom w:val="0"/>
      <w:divBdr>
        <w:top w:val="none" w:sz="0" w:space="0" w:color="auto"/>
        <w:left w:val="none" w:sz="0" w:space="0" w:color="auto"/>
        <w:bottom w:val="none" w:sz="0" w:space="0" w:color="auto"/>
        <w:right w:val="none" w:sz="0" w:space="0" w:color="auto"/>
      </w:divBdr>
    </w:div>
    <w:div w:id="215967809">
      <w:bodyDiv w:val="1"/>
      <w:marLeft w:val="0"/>
      <w:marRight w:val="0"/>
      <w:marTop w:val="0"/>
      <w:marBottom w:val="0"/>
      <w:divBdr>
        <w:top w:val="none" w:sz="0" w:space="0" w:color="auto"/>
        <w:left w:val="none" w:sz="0" w:space="0" w:color="auto"/>
        <w:bottom w:val="none" w:sz="0" w:space="0" w:color="auto"/>
        <w:right w:val="none" w:sz="0" w:space="0" w:color="auto"/>
      </w:divBdr>
    </w:div>
    <w:div w:id="223638566">
      <w:bodyDiv w:val="1"/>
      <w:marLeft w:val="0"/>
      <w:marRight w:val="0"/>
      <w:marTop w:val="0"/>
      <w:marBottom w:val="0"/>
      <w:divBdr>
        <w:top w:val="none" w:sz="0" w:space="0" w:color="auto"/>
        <w:left w:val="none" w:sz="0" w:space="0" w:color="auto"/>
        <w:bottom w:val="none" w:sz="0" w:space="0" w:color="auto"/>
        <w:right w:val="none" w:sz="0" w:space="0" w:color="auto"/>
      </w:divBdr>
      <w:divsChild>
        <w:div w:id="1550217077">
          <w:marLeft w:val="144"/>
          <w:marRight w:val="0"/>
          <w:marTop w:val="0"/>
          <w:marBottom w:val="0"/>
          <w:divBdr>
            <w:top w:val="none" w:sz="0" w:space="0" w:color="auto"/>
            <w:left w:val="none" w:sz="0" w:space="0" w:color="auto"/>
            <w:bottom w:val="none" w:sz="0" w:space="0" w:color="auto"/>
            <w:right w:val="none" w:sz="0" w:space="0" w:color="auto"/>
          </w:divBdr>
        </w:div>
      </w:divsChild>
    </w:div>
    <w:div w:id="226458379">
      <w:bodyDiv w:val="1"/>
      <w:marLeft w:val="0"/>
      <w:marRight w:val="0"/>
      <w:marTop w:val="0"/>
      <w:marBottom w:val="0"/>
      <w:divBdr>
        <w:top w:val="none" w:sz="0" w:space="0" w:color="auto"/>
        <w:left w:val="none" w:sz="0" w:space="0" w:color="auto"/>
        <w:bottom w:val="none" w:sz="0" w:space="0" w:color="auto"/>
        <w:right w:val="none" w:sz="0" w:space="0" w:color="auto"/>
      </w:divBdr>
    </w:div>
    <w:div w:id="228422569">
      <w:bodyDiv w:val="1"/>
      <w:marLeft w:val="0"/>
      <w:marRight w:val="0"/>
      <w:marTop w:val="0"/>
      <w:marBottom w:val="0"/>
      <w:divBdr>
        <w:top w:val="none" w:sz="0" w:space="0" w:color="auto"/>
        <w:left w:val="none" w:sz="0" w:space="0" w:color="auto"/>
        <w:bottom w:val="none" w:sz="0" w:space="0" w:color="auto"/>
        <w:right w:val="none" w:sz="0" w:space="0" w:color="auto"/>
      </w:divBdr>
    </w:div>
    <w:div w:id="233316714">
      <w:bodyDiv w:val="1"/>
      <w:marLeft w:val="0"/>
      <w:marRight w:val="0"/>
      <w:marTop w:val="0"/>
      <w:marBottom w:val="0"/>
      <w:divBdr>
        <w:top w:val="none" w:sz="0" w:space="0" w:color="auto"/>
        <w:left w:val="none" w:sz="0" w:space="0" w:color="auto"/>
        <w:bottom w:val="none" w:sz="0" w:space="0" w:color="auto"/>
        <w:right w:val="none" w:sz="0" w:space="0" w:color="auto"/>
      </w:divBdr>
      <w:divsChild>
        <w:div w:id="32312608">
          <w:marLeft w:val="547"/>
          <w:marRight w:val="0"/>
          <w:marTop w:val="20"/>
          <w:marBottom w:val="20"/>
          <w:divBdr>
            <w:top w:val="none" w:sz="0" w:space="0" w:color="auto"/>
            <w:left w:val="none" w:sz="0" w:space="0" w:color="auto"/>
            <w:bottom w:val="none" w:sz="0" w:space="0" w:color="auto"/>
            <w:right w:val="none" w:sz="0" w:space="0" w:color="auto"/>
          </w:divBdr>
        </w:div>
        <w:div w:id="1746151023">
          <w:marLeft w:val="547"/>
          <w:marRight w:val="0"/>
          <w:marTop w:val="20"/>
          <w:marBottom w:val="20"/>
          <w:divBdr>
            <w:top w:val="none" w:sz="0" w:space="0" w:color="auto"/>
            <w:left w:val="none" w:sz="0" w:space="0" w:color="auto"/>
            <w:bottom w:val="none" w:sz="0" w:space="0" w:color="auto"/>
            <w:right w:val="none" w:sz="0" w:space="0" w:color="auto"/>
          </w:divBdr>
        </w:div>
      </w:divsChild>
    </w:div>
    <w:div w:id="235633324">
      <w:bodyDiv w:val="1"/>
      <w:marLeft w:val="0"/>
      <w:marRight w:val="0"/>
      <w:marTop w:val="0"/>
      <w:marBottom w:val="0"/>
      <w:divBdr>
        <w:top w:val="none" w:sz="0" w:space="0" w:color="auto"/>
        <w:left w:val="none" w:sz="0" w:space="0" w:color="auto"/>
        <w:bottom w:val="none" w:sz="0" w:space="0" w:color="auto"/>
        <w:right w:val="none" w:sz="0" w:space="0" w:color="auto"/>
      </w:divBdr>
    </w:div>
    <w:div w:id="238368205">
      <w:bodyDiv w:val="1"/>
      <w:marLeft w:val="0"/>
      <w:marRight w:val="0"/>
      <w:marTop w:val="0"/>
      <w:marBottom w:val="0"/>
      <w:divBdr>
        <w:top w:val="none" w:sz="0" w:space="0" w:color="auto"/>
        <w:left w:val="none" w:sz="0" w:space="0" w:color="auto"/>
        <w:bottom w:val="none" w:sz="0" w:space="0" w:color="auto"/>
        <w:right w:val="none" w:sz="0" w:space="0" w:color="auto"/>
      </w:divBdr>
    </w:div>
    <w:div w:id="243413169">
      <w:bodyDiv w:val="1"/>
      <w:marLeft w:val="0"/>
      <w:marRight w:val="0"/>
      <w:marTop w:val="0"/>
      <w:marBottom w:val="0"/>
      <w:divBdr>
        <w:top w:val="none" w:sz="0" w:space="0" w:color="auto"/>
        <w:left w:val="none" w:sz="0" w:space="0" w:color="auto"/>
        <w:bottom w:val="none" w:sz="0" w:space="0" w:color="auto"/>
        <w:right w:val="none" w:sz="0" w:space="0" w:color="auto"/>
      </w:divBdr>
      <w:divsChild>
        <w:div w:id="577132007">
          <w:marLeft w:val="288"/>
          <w:marRight w:val="0"/>
          <w:marTop w:val="54"/>
          <w:marBottom w:val="54"/>
          <w:divBdr>
            <w:top w:val="none" w:sz="0" w:space="0" w:color="auto"/>
            <w:left w:val="none" w:sz="0" w:space="0" w:color="auto"/>
            <w:bottom w:val="none" w:sz="0" w:space="0" w:color="auto"/>
            <w:right w:val="none" w:sz="0" w:space="0" w:color="auto"/>
          </w:divBdr>
        </w:div>
      </w:divsChild>
    </w:div>
    <w:div w:id="248589506">
      <w:bodyDiv w:val="1"/>
      <w:marLeft w:val="0"/>
      <w:marRight w:val="0"/>
      <w:marTop w:val="0"/>
      <w:marBottom w:val="0"/>
      <w:divBdr>
        <w:top w:val="none" w:sz="0" w:space="0" w:color="auto"/>
        <w:left w:val="none" w:sz="0" w:space="0" w:color="auto"/>
        <w:bottom w:val="none" w:sz="0" w:space="0" w:color="auto"/>
        <w:right w:val="none" w:sz="0" w:space="0" w:color="auto"/>
      </w:divBdr>
    </w:div>
    <w:div w:id="249044170">
      <w:bodyDiv w:val="1"/>
      <w:marLeft w:val="0"/>
      <w:marRight w:val="0"/>
      <w:marTop w:val="0"/>
      <w:marBottom w:val="0"/>
      <w:divBdr>
        <w:top w:val="none" w:sz="0" w:space="0" w:color="auto"/>
        <w:left w:val="none" w:sz="0" w:space="0" w:color="auto"/>
        <w:bottom w:val="none" w:sz="0" w:space="0" w:color="auto"/>
        <w:right w:val="none" w:sz="0" w:space="0" w:color="auto"/>
      </w:divBdr>
    </w:div>
    <w:div w:id="255938645">
      <w:bodyDiv w:val="1"/>
      <w:marLeft w:val="0"/>
      <w:marRight w:val="0"/>
      <w:marTop w:val="0"/>
      <w:marBottom w:val="0"/>
      <w:divBdr>
        <w:top w:val="none" w:sz="0" w:space="0" w:color="auto"/>
        <w:left w:val="none" w:sz="0" w:space="0" w:color="auto"/>
        <w:bottom w:val="none" w:sz="0" w:space="0" w:color="auto"/>
        <w:right w:val="none" w:sz="0" w:space="0" w:color="auto"/>
      </w:divBdr>
      <w:divsChild>
        <w:div w:id="992104097">
          <w:marLeft w:val="274"/>
          <w:marRight w:val="0"/>
          <w:marTop w:val="0"/>
          <w:marBottom w:val="0"/>
          <w:divBdr>
            <w:top w:val="none" w:sz="0" w:space="0" w:color="auto"/>
            <w:left w:val="none" w:sz="0" w:space="0" w:color="auto"/>
            <w:bottom w:val="none" w:sz="0" w:space="0" w:color="auto"/>
            <w:right w:val="none" w:sz="0" w:space="0" w:color="auto"/>
          </w:divBdr>
        </w:div>
        <w:div w:id="1423647139">
          <w:marLeft w:val="274"/>
          <w:marRight w:val="0"/>
          <w:marTop w:val="0"/>
          <w:marBottom w:val="0"/>
          <w:divBdr>
            <w:top w:val="none" w:sz="0" w:space="0" w:color="auto"/>
            <w:left w:val="none" w:sz="0" w:space="0" w:color="auto"/>
            <w:bottom w:val="none" w:sz="0" w:space="0" w:color="auto"/>
            <w:right w:val="none" w:sz="0" w:space="0" w:color="auto"/>
          </w:divBdr>
        </w:div>
        <w:div w:id="1546943310">
          <w:marLeft w:val="274"/>
          <w:marRight w:val="0"/>
          <w:marTop w:val="0"/>
          <w:marBottom w:val="0"/>
          <w:divBdr>
            <w:top w:val="none" w:sz="0" w:space="0" w:color="auto"/>
            <w:left w:val="none" w:sz="0" w:space="0" w:color="auto"/>
            <w:bottom w:val="none" w:sz="0" w:space="0" w:color="auto"/>
            <w:right w:val="none" w:sz="0" w:space="0" w:color="auto"/>
          </w:divBdr>
        </w:div>
      </w:divsChild>
    </w:div>
    <w:div w:id="261887765">
      <w:bodyDiv w:val="1"/>
      <w:marLeft w:val="0"/>
      <w:marRight w:val="0"/>
      <w:marTop w:val="0"/>
      <w:marBottom w:val="0"/>
      <w:divBdr>
        <w:top w:val="none" w:sz="0" w:space="0" w:color="auto"/>
        <w:left w:val="none" w:sz="0" w:space="0" w:color="auto"/>
        <w:bottom w:val="none" w:sz="0" w:space="0" w:color="auto"/>
        <w:right w:val="none" w:sz="0" w:space="0" w:color="auto"/>
      </w:divBdr>
    </w:div>
    <w:div w:id="261888230">
      <w:bodyDiv w:val="1"/>
      <w:marLeft w:val="0"/>
      <w:marRight w:val="0"/>
      <w:marTop w:val="0"/>
      <w:marBottom w:val="0"/>
      <w:divBdr>
        <w:top w:val="none" w:sz="0" w:space="0" w:color="auto"/>
        <w:left w:val="none" w:sz="0" w:space="0" w:color="auto"/>
        <w:bottom w:val="none" w:sz="0" w:space="0" w:color="auto"/>
        <w:right w:val="none" w:sz="0" w:space="0" w:color="auto"/>
      </w:divBdr>
    </w:div>
    <w:div w:id="269506361">
      <w:bodyDiv w:val="1"/>
      <w:marLeft w:val="0"/>
      <w:marRight w:val="0"/>
      <w:marTop w:val="0"/>
      <w:marBottom w:val="0"/>
      <w:divBdr>
        <w:top w:val="none" w:sz="0" w:space="0" w:color="auto"/>
        <w:left w:val="none" w:sz="0" w:space="0" w:color="auto"/>
        <w:bottom w:val="none" w:sz="0" w:space="0" w:color="auto"/>
        <w:right w:val="none" w:sz="0" w:space="0" w:color="auto"/>
      </w:divBdr>
    </w:div>
    <w:div w:id="277835599">
      <w:bodyDiv w:val="1"/>
      <w:marLeft w:val="0"/>
      <w:marRight w:val="0"/>
      <w:marTop w:val="0"/>
      <w:marBottom w:val="0"/>
      <w:divBdr>
        <w:top w:val="none" w:sz="0" w:space="0" w:color="auto"/>
        <w:left w:val="none" w:sz="0" w:space="0" w:color="auto"/>
        <w:bottom w:val="none" w:sz="0" w:space="0" w:color="auto"/>
        <w:right w:val="none" w:sz="0" w:space="0" w:color="auto"/>
      </w:divBdr>
      <w:divsChild>
        <w:div w:id="5713136">
          <w:marLeft w:val="0"/>
          <w:marRight w:val="0"/>
          <w:marTop w:val="0"/>
          <w:marBottom w:val="0"/>
          <w:divBdr>
            <w:top w:val="none" w:sz="0" w:space="0" w:color="auto"/>
            <w:left w:val="none" w:sz="0" w:space="0" w:color="auto"/>
            <w:bottom w:val="none" w:sz="0" w:space="0" w:color="auto"/>
            <w:right w:val="none" w:sz="0" w:space="0" w:color="auto"/>
          </w:divBdr>
        </w:div>
        <w:div w:id="196554260">
          <w:marLeft w:val="0"/>
          <w:marRight w:val="0"/>
          <w:marTop w:val="0"/>
          <w:marBottom w:val="0"/>
          <w:divBdr>
            <w:top w:val="none" w:sz="0" w:space="0" w:color="auto"/>
            <w:left w:val="none" w:sz="0" w:space="0" w:color="auto"/>
            <w:bottom w:val="none" w:sz="0" w:space="0" w:color="auto"/>
            <w:right w:val="none" w:sz="0" w:space="0" w:color="auto"/>
          </w:divBdr>
        </w:div>
        <w:div w:id="223375744">
          <w:marLeft w:val="0"/>
          <w:marRight w:val="0"/>
          <w:marTop w:val="0"/>
          <w:marBottom w:val="0"/>
          <w:divBdr>
            <w:top w:val="none" w:sz="0" w:space="0" w:color="auto"/>
            <w:left w:val="none" w:sz="0" w:space="0" w:color="auto"/>
            <w:bottom w:val="none" w:sz="0" w:space="0" w:color="auto"/>
            <w:right w:val="none" w:sz="0" w:space="0" w:color="auto"/>
          </w:divBdr>
        </w:div>
        <w:div w:id="308748530">
          <w:marLeft w:val="0"/>
          <w:marRight w:val="0"/>
          <w:marTop w:val="0"/>
          <w:marBottom w:val="0"/>
          <w:divBdr>
            <w:top w:val="none" w:sz="0" w:space="0" w:color="auto"/>
            <w:left w:val="none" w:sz="0" w:space="0" w:color="auto"/>
            <w:bottom w:val="none" w:sz="0" w:space="0" w:color="auto"/>
            <w:right w:val="none" w:sz="0" w:space="0" w:color="auto"/>
          </w:divBdr>
        </w:div>
        <w:div w:id="351108579">
          <w:marLeft w:val="0"/>
          <w:marRight w:val="0"/>
          <w:marTop w:val="0"/>
          <w:marBottom w:val="0"/>
          <w:divBdr>
            <w:top w:val="none" w:sz="0" w:space="0" w:color="auto"/>
            <w:left w:val="none" w:sz="0" w:space="0" w:color="auto"/>
            <w:bottom w:val="none" w:sz="0" w:space="0" w:color="auto"/>
            <w:right w:val="none" w:sz="0" w:space="0" w:color="auto"/>
          </w:divBdr>
        </w:div>
        <w:div w:id="891187356">
          <w:marLeft w:val="0"/>
          <w:marRight w:val="0"/>
          <w:marTop w:val="0"/>
          <w:marBottom w:val="0"/>
          <w:divBdr>
            <w:top w:val="none" w:sz="0" w:space="0" w:color="auto"/>
            <w:left w:val="none" w:sz="0" w:space="0" w:color="auto"/>
            <w:bottom w:val="none" w:sz="0" w:space="0" w:color="auto"/>
            <w:right w:val="none" w:sz="0" w:space="0" w:color="auto"/>
          </w:divBdr>
        </w:div>
        <w:div w:id="982202665">
          <w:marLeft w:val="0"/>
          <w:marRight w:val="0"/>
          <w:marTop w:val="0"/>
          <w:marBottom w:val="0"/>
          <w:divBdr>
            <w:top w:val="none" w:sz="0" w:space="0" w:color="auto"/>
            <w:left w:val="none" w:sz="0" w:space="0" w:color="auto"/>
            <w:bottom w:val="none" w:sz="0" w:space="0" w:color="auto"/>
            <w:right w:val="none" w:sz="0" w:space="0" w:color="auto"/>
          </w:divBdr>
        </w:div>
        <w:div w:id="1072894194">
          <w:marLeft w:val="0"/>
          <w:marRight w:val="0"/>
          <w:marTop w:val="0"/>
          <w:marBottom w:val="0"/>
          <w:divBdr>
            <w:top w:val="none" w:sz="0" w:space="0" w:color="auto"/>
            <w:left w:val="none" w:sz="0" w:space="0" w:color="auto"/>
            <w:bottom w:val="none" w:sz="0" w:space="0" w:color="auto"/>
            <w:right w:val="none" w:sz="0" w:space="0" w:color="auto"/>
          </w:divBdr>
        </w:div>
        <w:div w:id="1087849722">
          <w:marLeft w:val="0"/>
          <w:marRight w:val="0"/>
          <w:marTop w:val="0"/>
          <w:marBottom w:val="0"/>
          <w:divBdr>
            <w:top w:val="none" w:sz="0" w:space="0" w:color="auto"/>
            <w:left w:val="none" w:sz="0" w:space="0" w:color="auto"/>
            <w:bottom w:val="none" w:sz="0" w:space="0" w:color="auto"/>
            <w:right w:val="none" w:sz="0" w:space="0" w:color="auto"/>
          </w:divBdr>
        </w:div>
        <w:div w:id="1263150386">
          <w:marLeft w:val="0"/>
          <w:marRight w:val="0"/>
          <w:marTop w:val="0"/>
          <w:marBottom w:val="0"/>
          <w:divBdr>
            <w:top w:val="none" w:sz="0" w:space="0" w:color="auto"/>
            <w:left w:val="none" w:sz="0" w:space="0" w:color="auto"/>
            <w:bottom w:val="none" w:sz="0" w:space="0" w:color="auto"/>
            <w:right w:val="none" w:sz="0" w:space="0" w:color="auto"/>
          </w:divBdr>
        </w:div>
        <w:div w:id="1389301937">
          <w:marLeft w:val="0"/>
          <w:marRight w:val="0"/>
          <w:marTop w:val="0"/>
          <w:marBottom w:val="0"/>
          <w:divBdr>
            <w:top w:val="none" w:sz="0" w:space="0" w:color="auto"/>
            <w:left w:val="none" w:sz="0" w:space="0" w:color="auto"/>
            <w:bottom w:val="none" w:sz="0" w:space="0" w:color="auto"/>
            <w:right w:val="none" w:sz="0" w:space="0" w:color="auto"/>
          </w:divBdr>
        </w:div>
        <w:div w:id="1406148230">
          <w:marLeft w:val="0"/>
          <w:marRight w:val="0"/>
          <w:marTop w:val="0"/>
          <w:marBottom w:val="0"/>
          <w:divBdr>
            <w:top w:val="none" w:sz="0" w:space="0" w:color="auto"/>
            <w:left w:val="none" w:sz="0" w:space="0" w:color="auto"/>
            <w:bottom w:val="none" w:sz="0" w:space="0" w:color="auto"/>
            <w:right w:val="none" w:sz="0" w:space="0" w:color="auto"/>
          </w:divBdr>
        </w:div>
        <w:div w:id="1426880519">
          <w:marLeft w:val="0"/>
          <w:marRight w:val="0"/>
          <w:marTop w:val="0"/>
          <w:marBottom w:val="0"/>
          <w:divBdr>
            <w:top w:val="none" w:sz="0" w:space="0" w:color="auto"/>
            <w:left w:val="none" w:sz="0" w:space="0" w:color="auto"/>
            <w:bottom w:val="none" w:sz="0" w:space="0" w:color="auto"/>
            <w:right w:val="none" w:sz="0" w:space="0" w:color="auto"/>
          </w:divBdr>
        </w:div>
        <w:div w:id="1509057430">
          <w:marLeft w:val="0"/>
          <w:marRight w:val="0"/>
          <w:marTop w:val="0"/>
          <w:marBottom w:val="0"/>
          <w:divBdr>
            <w:top w:val="none" w:sz="0" w:space="0" w:color="auto"/>
            <w:left w:val="none" w:sz="0" w:space="0" w:color="auto"/>
            <w:bottom w:val="none" w:sz="0" w:space="0" w:color="auto"/>
            <w:right w:val="none" w:sz="0" w:space="0" w:color="auto"/>
          </w:divBdr>
        </w:div>
        <w:div w:id="1512723941">
          <w:marLeft w:val="0"/>
          <w:marRight w:val="0"/>
          <w:marTop w:val="0"/>
          <w:marBottom w:val="0"/>
          <w:divBdr>
            <w:top w:val="none" w:sz="0" w:space="0" w:color="auto"/>
            <w:left w:val="none" w:sz="0" w:space="0" w:color="auto"/>
            <w:bottom w:val="none" w:sz="0" w:space="0" w:color="auto"/>
            <w:right w:val="none" w:sz="0" w:space="0" w:color="auto"/>
          </w:divBdr>
        </w:div>
        <w:div w:id="1538733155">
          <w:marLeft w:val="0"/>
          <w:marRight w:val="0"/>
          <w:marTop w:val="0"/>
          <w:marBottom w:val="0"/>
          <w:divBdr>
            <w:top w:val="none" w:sz="0" w:space="0" w:color="auto"/>
            <w:left w:val="none" w:sz="0" w:space="0" w:color="auto"/>
            <w:bottom w:val="none" w:sz="0" w:space="0" w:color="auto"/>
            <w:right w:val="none" w:sz="0" w:space="0" w:color="auto"/>
          </w:divBdr>
        </w:div>
        <w:div w:id="1589777030">
          <w:marLeft w:val="0"/>
          <w:marRight w:val="0"/>
          <w:marTop w:val="0"/>
          <w:marBottom w:val="0"/>
          <w:divBdr>
            <w:top w:val="none" w:sz="0" w:space="0" w:color="auto"/>
            <w:left w:val="none" w:sz="0" w:space="0" w:color="auto"/>
            <w:bottom w:val="none" w:sz="0" w:space="0" w:color="auto"/>
            <w:right w:val="none" w:sz="0" w:space="0" w:color="auto"/>
          </w:divBdr>
        </w:div>
        <w:div w:id="1748113644">
          <w:marLeft w:val="0"/>
          <w:marRight w:val="0"/>
          <w:marTop w:val="0"/>
          <w:marBottom w:val="0"/>
          <w:divBdr>
            <w:top w:val="none" w:sz="0" w:space="0" w:color="auto"/>
            <w:left w:val="none" w:sz="0" w:space="0" w:color="auto"/>
            <w:bottom w:val="none" w:sz="0" w:space="0" w:color="auto"/>
            <w:right w:val="none" w:sz="0" w:space="0" w:color="auto"/>
          </w:divBdr>
        </w:div>
        <w:div w:id="1787456317">
          <w:marLeft w:val="0"/>
          <w:marRight w:val="0"/>
          <w:marTop w:val="0"/>
          <w:marBottom w:val="0"/>
          <w:divBdr>
            <w:top w:val="none" w:sz="0" w:space="0" w:color="auto"/>
            <w:left w:val="none" w:sz="0" w:space="0" w:color="auto"/>
            <w:bottom w:val="none" w:sz="0" w:space="0" w:color="auto"/>
            <w:right w:val="none" w:sz="0" w:space="0" w:color="auto"/>
          </w:divBdr>
        </w:div>
        <w:div w:id="2020426132">
          <w:marLeft w:val="0"/>
          <w:marRight w:val="0"/>
          <w:marTop w:val="0"/>
          <w:marBottom w:val="0"/>
          <w:divBdr>
            <w:top w:val="none" w:sz="0" w:space="0" w:color="auto"/>
            <w:left w:val="none" w:sz="0" w:space="0" w:color="auto"/>
            <w:bottom w:val="none" w:sz="0" w:space="0" w:color="auto"/>
            <w:right w:val="none" w:sz="0" w:space="0" w:color="auto"/>
          </w:divBdr>
        </w:div>
        <w:div w:id="2113698440">
          <w:marLeft w:val="0"/>
          <w:marRight w:val="0"/>
          <w:marTop w:val="0"/>
          <w:marBottom w:val="0"/>
          <w:divBdr>
            <w:top w:val="none" w:sz="0" w:space="0" w:color="auto"/>
            <w:left w:val="none" w:sz="0" w:space="0" w:color="auto"/>
            <w:bottom w:val="none" w:sz="0" w:space="0" w:color="auto"/>
            <w:right w:val="none" w:sz="0" w:space="0" w:color="auto"/>
          </w:divBdr>
        </w:div>
      </w:divsChild>
    </w:div>
    <w:div w:id="289938285">
      <w:bodyDiv w:val="1"/>
      <w:marLeft w:val="0"/>
      <w:marRight w:val="0"/>
      <w:marTop w:val="0"/>
      <w:marBottom w:val="0"/>
      <w:divBdr>
        <w:top w:val="none" w:sz="0" w:space="0" w:color="auto"/>
        <w:left w:val="none" w:sz="0" w:space="0" w:color="auto"/>
        <w:bottom w:val="none" w:sz="0" w:space="0" w:color="auto"/>
        <w:right w:val="none" w:sz="0" w:space="0" w:color="auto"/>
      </w:divBdr>
    </w:div>
    <w:div w:id="294720426">
      <w:bodyDiv w:val="1"/>
      <w:marLeft w:val="0"/>
      <w:marRight w:val="0"/>
      <w:marTop w:val="0"/>
      <w:marBottom w:val="0"/>
      <w:divBdr>
        <w:top w:val="none" w:sz="0" w:space="0" w:color="auto"/>
        <w:left w:val="none" w:sz="0" w:space="0" w:color="auto"/>
        <w:bottom w:val="none" w:sz="0" w:space="0" w:color="auto"/>
        <w:right w:val="none" w:sz="0" w:space="0" w:color="auto"/>
      </w:divBdr>
    </w:div>
    <w:div w:id="312680242">
      <w:bodyDiv w:val="1"/>
      <w:marLeft w:val="0"/>
      <w:marRight w:val="0"/>
      <w:marTop w:val="0"/>
      <w:marBottom w:val="0"/>
      <w:divBdr>
        <w:top w:val="none" w:sz="0" w:space="0" w:color="auto"/>
        <w:left w:val="none" w:sz="0" w:space="0" w:color="auto"/>
        <w:bottom w:val="none" w:sz="0" w:space="0" w:color="auto"/>
        <w:right w:val="none" w:sz="0" w:space="0" w:color="auto"/>
      </w:divBdr>
    </w:div>
    <w:div w:id="317656700">
      <w:bodyDiv w:val="1"/>
      <w:marLeft w:val="0"/>
      <w:marRight w:val="0"/>
      <w:marTop w:val="0"/>
      <w:marBottom w:val="0"/>
      <w:divBdr>
        <w:top w:val="none" w:sz="0" w:space="0" w:color="auto"/>
        <w:left w:val="none" w:sz="0" w:space="0" w:color="auto"/>
        <w:bottom w:val="none" w:sz="0" w:space="0" w:color="auto"/>
        <w:right w:val="none" w:sz="0" w:space="0" w:color="auto"/>
      </w:divBdr>
      <w:divsChild>
        <w:div w:id="33122163">
          <w:marLeft w:val="547"/>
          <w:marRight w:val="0"/>
          <w:marTop w:val="20"/>
          <w:marBottom w:val="20"/>
          <w:divBdr>
            <w:top w:val="none" w:sz="0" w:space="0" w:color="auto"/>
            <w:left w:val="none" w:sz="0" w:space="0" w:color="auto"/>
            <w:bottom w:val="none" w:sz="0" w:space="0" w:color="auto"/>
            <w:right w:val="none" w:sz="0" w:space="0" w:color="auto"/>
          </w:divBdr>
        </w:div>
        <w:div w:id="177164094">
          <w:marLeft w:val="547"/>
          <w:marRight w:val="0"/>
          <w:marTop w:val="20"/>
          <w:marBottom w:val="20"/>
          <w:divBdr>
            <w:top w:val="none" w:sz="0" w:space="0" w:color="auto"/>
            <w:left w:val="none" w:sz="0" w:space="0" w:color="auto"/>
            <w:bottom w:val="none" w:sz="0" w:space="0" w:color="auto"/>
            <w:right w:val="none" w:sz="0" w:space="0" w:color="auto"/>
          </w:divBdr>
        </w:div>
        <w:div w:id="301270328">
          <w:marLeft w:val="547"/>
          <w:marRight w:val="0"/>
          <w:marTop w:val="20"/>
          <w:marBottom w:val="20"/>
          <w:divBdr>
            <w:top w:val="none" w:sz="0" w:space="0" w:color="auto"/>
            <w:left w:val="none" w:sz="0" w:space="0" w:color="auto"/>
            <w:bottom w:val="none" w:sz="0" w:space="0" w:color="auto"/>
            <w:right w:val="none" w:sz="0" w:space="0" w:color="auto"/>
          </w:divBdr>
        </w:div>
        <w:div w:id="311452207">
          <w:marLeft w:val="547"/>
          <w:marRight w:val="0"/>
          <w:marTop w:val="20"/>
          <w:marBottom w:val="20"/>
          <w:divBdr>
            <w:top w:val="none" w:sz="0" w:space="0" w:color="auto"/>
            <w:left w:val="none" w:sz="0" w:space="0" w:color="auto"/>
            <w:bottom w:val="none" w:sz="0" w:space="0" w:color="auto"/>
            <w:right w:val="none" w:sz="0" w:space="0" w:color="auto"/>
          </w:divBdr>
        </w:div>
        <w:div w:id="655693390">
          <w:marLeft w:val="835"/>
          <w:marRight w:val="0"/>
          <w:marTop w:val="20"/>
          <w:marBottom w:val="20"/>
          <w:divBdr>
            <w:top w:val="none" w:sz="0" w:space="0" w:color="auto"/>
            <w:left w:val="none" w:sz="0" w:space="0" w:color="auto"/>
            <w:bottom w:val="none" w:sz="0" w:space="0" w:color="auto"/>
            <w:right w:val="none" w:sz="0" w:space="0" w:color="auto"/>
          </w:divBdr>
        </w:div>
        <w:div w:id="898709532">
          <w:marLeft w:val="835"/>
          <w:marRight w:val="0"/>
          <w:marTop w:val="20"/>
          <w:marBottom w:val="20"/>
          <w:divBdr>
            <w:top w:val="none" w:sz="0" w:space="0" w:color="auto"/>
            <w:left w:val="none" w:sz="0" w:space="0" w:color="auto"/>
            <w:bottom w:val="none" w:sz="0" w:space="0" w:color="auto"/>
            <w:right w:val="none" w:sz="0" w:space="0" w:color="auto"/>
          </w:divBdr>
        </w:div>
        <w:div w:id="922180590">
          <w:marLeft w:val="274"/>
          <w:marRight w:val="0"/>
          <w:marTop w:val="20"/>
          <w:marBottom w:val="20"/>
          <w:divBdr>
            <w:top w:val="none" w:sz="0" w:space="0" w:color="auto"/>
            <w:left w:val="none" w:sz="0" w:space="0" w:color="auto"/>
            <w:bottom w:val="none" w:sz="0" w:space="0" w:color="auto"/>
            <w:right w:val="none" w:sz="0" w:space="0" w:color="auto"/>
          </w:divBdr>
        </w:div>
        <w:div w:id="1001811866">
          <w:marLeft w:val="547"/>
          <w:marRight w:val="0"/>
          <w:marTop w:val="20"/>
          <w:marBottom w:val="20"/>
          <w:divBdr>
            <w:top w:val="none" w:sz="0" w:space="0" w:color="auto"/>
            <w:left w:val="none" w:sz="0" w:space="0" w:color="auto"/>
            <w:bottom w:val="none" w:sz="0" w:space="0" w:color="auto"/>
            <w:right w:val="none" w:sz="0" w:space="0" w:color="auto"/>
          </w:divBdr>
        </w:div>
        <w:div w:id="1131358798">
          <w:marLeft w:val="547"/>
          <w:marRight w:val="0"/>
          <w:marTop w:val="20"/>
          <w:marBottom w:val="20"/>
          <w:divBdr>
            <w:top w:val="none" w:sz="0" w:space="0" w:color="auto"/>
            <w:left w:val="none" w:sz="0" w:space="0" w:color="auto"/>
            <w:bottom w:val="none" w:sz="0" w:space="0" w:color="auto"/>
            <w:right w:val="none" w:sz="0" w:space="0" w:color="auto"/>
          </w:divBdr>
        </w:div>
        <w:div w:id="1371801697">
          <w:marLeft w:val="835"/>
          <w:marRight w:val="0"/>
          <w:marTop w:val="20"/>
          <w:marBottom w:val="20"/>
          <w:divBdr>
            <w:top w:val="none" w:sz="0" w:space="0" w:color="auto"/>
            <w:left w:val="none" w:sz="0" w:space="0" w:color="auto"/>
            <w:bottom w:val="none" w:sz="0" w:space="0" w:color="auto"/>
            <w:right w:val="none" w:sz="0" w:space="0" w:color="auto"/>
          </w:divBdr>
        </w:div>
        <w:div w:id="1625962103">
          <w:marLeft w:val="547"/>
          <w:marRight w:val="0"/>
          <w:marTop w:val="20"/>
          <w:marBottom w:val="20"/>
          <w:divBdr>
            <w:top w:val="none" w:sz="0" w:space="0" w:color="auto"/>
            <w:left w:val="none" w:sz="0" w:space="0" w:color="auto"/>
            <w:bottom w:val="none" w:sz="0" w:space="0" w:color="auto"/>
            <w:right w:val="none" w:sz="0" w:space="0" w:color="auto"/>
          </w:divBdr>
        </w:div>
        <w:div w:id="1660504048">
          <w:marLeft w:val="547"/>
          <w:marRight w:val="0"/>
          <w:marTop w:val="20"/>
          <w:marBottom w:val="20"/>
          <w:divBdr>
            <w:top w:val="none" w:sz="0" w:space="0" w:color="auto"/>
            <w:left w:val="none" w:sz="0" w:space="0" w:color="auto"/>
            <w:bottom w:val="none" w:sz="0" w:space="0" w:color="auto"/>
            <w:right w:val="none" w:sz="0" w:space="0" w:color="auto"/>
          </w:divBdr>
        </w:div>
        <w:div w:id="1760633722">
          <w:marLeft w:val="835"/>
          <w:marRight w:val="0"/>
          <w:marTop w:val="20"/>
          <w:marBottom w:val="20"/>
          <w:divBdr>
            <w:top w:val="none" w:sz="0" w:space="0" w:color="auto"/>
            <w:left w:val="none" w:sz="0" w:space="0" w:color="auto"/>
            <w:bottom w:val="none" w:sz="0" w:space="0" w:color="auto"/>
            <w:right w:val="none" w:sz="0" w:space="0" w:color="auto"/>
          </w:divBdr>
        </w:div>
        <w:div w:id="2012024311">
          <w:marLeft w:val="547"/>
          <w:marRight w:val="0"/>
          <w:marTop w:val="20"/>
          <w:marBottom w:val="20"/>
          <w:divBdr>
            <w:top w:val="none" w:sz="0" w:space="0" w:color="auto"/>
            <w:left w:val="none" w:sz="0" w:space="0" w:color="auto"/>
            <w:bottom w:val="none" w:sz="0" w:space="0" w:color="auto"/>
            <w:right w:val="none" w:sz="0" w:space="0" w:color="auto"/>
          </w:divBdr>
        </w:div>
        <w:div w:id="2063366707">
          <w:marLeft w:val="274"/>
          <w:marRight w:val="0"/>
          <w:marTop w:val="20"/>
          <w:marBottom w:val="20"/>
          <w:divBdr>
            <w:top w:val="none" w:sz="0" w:space="0" w:color="auto"/>
            <w:left w:val="none" w:sz="0" w:space="0" w:color="auto"/>
            <w:bottom w:val="none" w:sz="0" w:space="0" w:color="auto"/>
            <w:right w:val="none" w:sz="0" w:space="0" w:color="auto"/>
          </w:divBdr>
        </w:div>
      </w:divsChild>
    </w:div>
    <w:div w:id="325406806">
      <w:bodyDiv w:val="1"/>
      <w:marLeft w:val="0"/>
      <w:marRight w:val="0"/>
      <w:marTop w:val="0"/>
      <w:marBottom w:val="0"/>
      <w:divBdr>
        <w:top w:val="none" w:sz="0" w:space="0" w:color="auto"/>
        <w:left w:val="none" w:sz="0" w:space="0" w:color="auto"/>
        <w:bottom w:val="none" w:sz="0" w:space="0" w:color="auto"/>
        <w:right w:val="none" w:sz="0" w:space="0" w:color="auto"/>
      </w:divBdr>
    </w:div>
    <w:div w:id="325793514">
      <w:bodyDiv w:val="1"/>
      <w:marLeft w:val="0"/>
      <w:marRight w:val="0"/>
      <w:marTop w:val="0"/>
      <w:marBottom w:val="0"/>
      <w:divBdr>
        <w:top w:val="none" w:sz="0" w:space="0" w:color="auto"/>
        <w:left w:val="none" w:sz="0" w:space="0" w:color="auto"/>
        <w:bottom w:val="none" w:sz="0" w:space="0" w:color="auto"/>
        <w:right w:val="none" w:sz="0" w:space="0" w:color="auto"/>
      </w:divBdr>
      <w:divsChild>
        <w:div w:id="307638593">
          <w:marLeft w:val="288"/>
          <w:marRight w:val="0"/>
          <w:marTop w:val="120"/>
          <w:marBottom w:val="120"/>
          <w:divBdr>
            <w:top w:val="none" w:sz="0" w:space="0" w:color="auto"/>
            <w:left w:val="none" w:sz="0" w:space="0" w:color="auto"/>
            <w:bottom w:val="none" w:sz="0" w:space="0" w:color="auto"/>
            <w:right w:val="none" w:sz="0" w:space="0" w:color="auto"/>
          </w:divBdr>
        </w:div>
        <w:div w:id="1794711616">
          <w:marLeft w:val="288"/>
          <w:marRight w:val="0"/>
          <w:marTop w:val="120"/>
          <w:marBottom w:val="120"/>
          <w:divBdr>
            <w:top w:val="none" w:sz="0" w:space="0" w:color="auto"/>
            <w:left w:val="none" w:sz="0" w:space="0" w:color="auto"/>
            <w:bottom w:val="none" w:sz="0" w:space="0" w:color="auto"/>
            <w:right w:val="none" w:sz="0" w:space="0" w:color="auto"/>
          </w:divBdr>
        </w:div>
      </w:divsChild>
    </w:div>
    <w:div w:id="336880849">
      <w:bodyDiv w:val="1"/>
      <w:marLeft w:val="0"/>
      <w:marRight w:val="0"/>
      <w:marTop w:val="0"/>
      <w:marBottom w:val="0"/>
      <w:divBdr>
        <w:top w:val="none" w:sz="0" w:space="0" w:color="auto"/>
        <w:left w:val="none" w:sz="0" w:space="0" w:color="auto"/>
        <w:bottom w:val="none" w:sz="0" w:space="0" w:color="auto"/>
        <w:right w:val="none" w:sz="0" w:space="0" w:color="auto"/>
      </w:divBdr>
    </w:div>
    <w:div w:id="338970108">
      <w:bodyDiv w:val="1"/>
      <w:marLeft w:val="0"/>
      <w:marRight w:val="0"/>
      <w:marTop w:val="0"/>
      <w:marBottom w:val="0"/>
      <w:divBdr>
        <w:top w:val="none" w:sz="0" w:space="0" w:color="auto"/>
        <w:left w:val="none" w:sz="0" w:space="0" w:color="auto"/>
        <w:bottom w:val="none" w:sz="0" w:space="0" w:color="auto"/>
        <w:right w:val="none" w:sz="0" w:space="0" w:color="auto"/>
      </w:divBdr>
    </w:div>
    <w:div w:id="347367973">
      <w:bodyDiv w:val="1"/>
      <w:marLeft w:val="0"/>
      <w:marRight w:val="0"/>
      <w:marTop w:val="0"/>
      <w:marBottom w:val="0"/>
      <w:divBdr>
        <w:top w:val="none" w:sz="0" w:space="0" w:color="auto"/>
        <w:left w:val="none" w:sz="0" w:space="0" w:color="auto"/>
        <w:bottom w:val="none" w:sz="0" w:space="0" w:color="auto"/>
        <w:right w:val="none" w:sz="0" w:space="0" w:color="auto"/>
      </w:divBdr>
    </w:div>
    <w:div w:id="354768861">
      <w:bodyDiv w:val="1"/>
      <w:marLeft w:val="0"/>
      <w:marRight w:val="0"/>
      <w:marTop w:val="0"/>
      <w:marBottom w:val="0"/>
      <w:divBdr>
        <w:top w:val="none" w:sz="0" w:space="0" w:color="auto"/>
        <w:left w:val="none" w:sz="0" w:space="0" w:color="auto"/>
        <w:bottom w:val="none" w:sz="0" w:space="0" w:color="auto"/>
        <w:right w:val="none" w:sz="0" w:space="0" w:color="auto"/>
      </w:divBdr>
      <w:divsChild>
        <w:div w:id="11878732">
          <w:marLeft w:val="274"/>
          <w:marRight w:val="0"/>
          <w:marTop w:val="0"/>
          <w:marBottom w:val="0"/>
          <w:divBdr>
            <w:top w:val="none" w:sz="0" w:space="0" w:color="auto"/>
            <w:left w:val="none" w:sz="0" w:space="0" w:color="auto"/>
            <w:bottom w:val="none" w:sz="0" w:space="0" w:color="auto"/>
            <w:right w:val="none" w:sz="0" w:space="0" w:color="auto"/>
          </w:divBdr>
        </w:div>
        <w:div w:id="929048895">
          <w:marLeft w:val="274"/>
          <w:marRight w:val="0"/>
          <w:marTop w:val="0"/>
          <w:marBottom w:val="0"/>
          <w:divBdr>
            <w:top w:val="none" w:sz="0" w:space="0" w:color="auto"/>
            <w:left w:val="none" w:sz="0" w:space="0" w:color="auto"/>
            <w:bottom w:val="none" w:sz="0" w:space="0" w:color="auto"/>
            <w:right w:val="none" w:sz="0" w:space="0" w:color="auto"/>
          </w:divBdr>
        </w:div>
        <w:div w:id="1005674087">
          <w:marLeft w:val="274"/>
          <w:marRight w:val="0"/>
          <w:marTop w:val="0"/>
          <w:marBottom w:val="0"/>
          <w:divBdr>
            <w:top w:val="none" w:sz="0" w:space="0" w:color="auto"/>
            <w:left w:val="none" w:sz="0" w:space="0" w:color="auto"/>
            <w:bottom w:val="none" w:sz="0" w:space="0" w:color="auto"/>
            <w:right w:val="none" w:sz="0" w:space="0" w:color="auto"/>
          </w:divBdr>
        </w:div>
      </w:divsChild>
    </w:div>
    <w:div w:id="358703382">
      <w:bodyDiv w:val="1"/>
      <w:marLeft w:val="0"/>
      <w:marRight w:val="0"/>
      <w:marTop w:val="0"/>
      <w:marBottom w:val="0"/>
      <w:divBdr>
        <w:top w:val="none" w:sz="0" w:space="0" w:color="auto"/>
        <w:left w:val="none" w:sz="0" w:space="0" w:color="auto"/>
        <w:bottom w:val="none" w:sz="0" w:space="0" w:color="auto"/>
        <w:right w:val="none" w:sz="0" w:space="0" w:color="auto"/>
      </w:divBdr>
    </w:div>
    <w:div w:id="361905930">
      <w:bodyDiv w:val="1"/>
      <w:marLeft w:val="0"/>
      <w:marRight w:val="0"/>
      <w:marTop w:val="0"/>
      <w:marBottom w:val="0"/>
      <w:divBdr>
        <w:top w:val="none" w:sz="0" w:space="0" w:color="auto"/>
        <w:left w:val="none" w:sz="0" w:space="0" w:color="auto"/>
        <w:bottom w:val="none" w:sz="0" w:space="0" w:color="auto"/>
        <w:right w:val="none" w:sz="0" w:space="0" w:color="auto"/>
      </w:divBdr>
    </w:div>
    <w:div w:id="364060586">
      <w:bodyDiv w:val="1"/>
      <w:marLeft w:val="0"/>
      <w:marRight w:val="0"/>
      <w:marTop w:val="0"/>
      <w:marBottom w:val="0"/>
      <w:divBdr>
        <w:top w:val="none" w:sz="0" w:space="0" w:color="auto"/>
        <w:left w:val="none" w:sz="0" w:space="0" w:color="auto"/>
        <w:bottom w:val="none" w:sz="0" w:space="0" w:color="auto"/>
        <w:right w:val="none" w:sz="0" w:space="0" w:color="auto"/>
      </w:divBdr>
    </w:div>
    <w:div w:id="364408852">
      <w:bodyDiv w:val="1"/>
      <w:marLeft w:val="0"/>
      <w:marRight w:val="0"/>
      <w:marTop w:val="0"/>
      <w:marBottom w:val="0"/>
      <w:divBdr>
        <w:top w:val="none" w:sz="0" w:space="0" w:color="auto"/>
        <w:left w:val="none" w:sz="0" w:space="0" w:color="auto"/>
        <w:bottom w:val="none" w:sz="0" w:space="0" w:color="auto"/>
        <w:right w:val="none" w:sz="0" w:space="0" w:color="auto"/>
      </w:divBdr>
    </w:div>
    <w:div w:id="378671604">
      <w:bodyDiv w:val="1"/>
      <w:marLeft w:val="0"/>
      <w:marRight w:val="0"/>
      <w:marTop w:val="0"/>
      <w:marBottom w:val="0"/>
      <w:divBdr>
        <w:top w:val="none" w:sz="0" w:space="0" w:color="auto"/>
        <w:left w:val="none" w:sz="0" w:space="0" w:color="auto"/>
        <w:bottom w:val="none" w:sz="0" w:space="0" w:color="auto"/>
        <w:right w:val="none" w:sz="0" w:space="0" w:color="auto"/>
      </w:divBdr>
    </w:div>
    <w:div w:id="381641837">
      <w:bodyDiv w:val="1"/>
      <w:marLeft w:val="0"/>
      <w:marRight w:val="0"/>
      <w:marTop w:val="0"/>
      <w:marBottom w:val="0"/>
      <w:divBdr>
        <w:top w:val="none" w:sz="0" w:space="0" w:color="auto"/>
        <w:left w:val="none" w:sz="0" w:space="0" w:color="auto"/>
        <w:bottom w:val="none" w:sz="0" w:space="0" w:color="auto"/>
        <w:right w:val="none" w:sz="0" w:space="0" w:color="auto"/>
      </w:divBdr>
    </w:div>
    <w:div w:id="383673529">
      <w:bodyDiv w:val="1"/>
      <w:marLeft w:val="0"/>
      <w:marRight w:val="0"/>
      <w:marTop w:val="0"/>
      <w:marBottom w:val="0"/>
      <w:divBdr>
        <w:top w:val="none" w:sz="0" w:space="0" w:color="auto"/>
        <w:left w:val="none" w:sz="0" w:space="0" w:color="auto"/>
        <w:bottom w:val="none" w:sz="0" w:space="0" w:color="auto"/>
        <w:right w:val="none" w:sz="0" w:space="0" w:color="auto"/>
      </w:divBdr>
    </w:div>
    <w:div w:id="384305213">
      <w:bodyDiv w:val="1"/>
      <w:marLeft w:val="0"/>
      <w:marRight w:val="0"/>
      <w:marTop w:val="0"/>
      <w:marBottom w:val="0"/>
      <w:divBdr>
        <w:top w:val="none" w:sz="0" w:space="0" w:color="auto"/>
        <w:left w:val="none" w:sz="0" w:space="0" w:color="auto"/>
        <w:bottom w:val="none" w:sz="0" w:space="0" w:color="auto"/>
        <w:right w:val="none" w:sz="0" w:space="0" w:color="auto"/>
      </w:divBdr>
    </w:div>
    <w:div w:id="391462054">
      <w:bodyDiv w:val="1"/>
      <w:marLeft w:val="0"/>
      <w:marRight w:val="0"/>
      <w:marTop w:val="0"/>
      <w:marBottom w:val="0"/>
      <w:divBdr>
        <w:top w:val="none" w:sz="0" w:space="0" w:color="auto"/>
        <w:left w:val="none" w:sz="0" w:space="0" w:color="auto"/>
        <w:bottom w:val="none" w:sz="0" w:space="0" w:color="auto"/>
        <w:right w:val="none" w:sz="0" w:space="0" w:color="auto"/>
      </w:divBdr>
    </w:div>
    <w:div w:id="392503885">
      <w:bodyDiv w:val="1"/>
      <w:marLeft w:val="0"/>
      <w:marRight w:val="0"/>
      <w:marTop w:val="0"/>
      <w:marBottom w:val="0"/>
      <w:divBdr>
        <w:top w:val="none" w:sz="0" w:space="0" w:color="auto"/>
        <w:left w:val="none" w:sz="0" w:space="0" w:color="auto"/>
        <w:bottom w:val="none" w:sz="0" w:space="0" w:color="auto"/>
        <w:right w:val="none" w:sz="0" w:space="0" w:color="auto"/>
      </w:divBdr>
    </w:div>
    <w:div w:id="404299031">
      <w:bodyDiv w:val="1"/>
      <w:marLeft w:val="0"/>
      <w:marRight w:val="0"/>
      <w:marTop w:val="0"/>
      <w:marBottom w:val="0"/>
      <w:divBdr>
        <w:top w:val="none" w:sz="0" w:space="0" w:color="auto"/>
        <w:left w:val="none" w:sz="0" w:space="0" w:color="auto"/>
        <w:bottom w:val="none" w:sz="0" w:space="0" w:color="auto"/>
        <w:right w:val="none" w:sz="0" w:space="0" w:color="auto"/>
      </w:divBdr>
    </w:div>
    <w:div w:id="405566434">
      <w:bodyDiv w:val="1"/>
      <w:marLeft w:val="0"/>
      <w:marRight w:val="0"/>
      <w:marTop w:val="0"/>
      <w:marBottom w:val="0"/>
      <w:divBdr>
        <w:top w:val="none" w:sz="0" w:space="0" w:color="auto"/>
        <w:left w:val="none" w:sz="0" w:space="0" w:color="auto"/>
        <w:bottom w:val="none" w:sz="0" w:space="0" w:color="auto"/>
        <w:right w:val="none" w:sz="0" w:space="0" w:color="auto"/>
      </w:divBdr>
    </w:div>
    <w:div w:id="407266490">
      <w:bodyDiv w:val="1"/>
      <w:marLeft w:val="0"/>
      <w:marRight w:val="0"/>
      <w:marTop w:val="0"/>
      <w:marBottom w:val="0"/>
      <w:divBdr>
        <w:top w:val="none" w:sz="0" w:space="0" w:color="auto"/>
        <w:left w:val="none" w:sz="0" w:space="0" w:color="auto"/>
        <w:bottom w:val="none" w:sz="0" w:space="0" w:color="auto"/>
        <w:right w:val="none" w:sz="0" w:space="0" w:color="auto"/>
      </w:divBdr>
    </w:div>
    <w:div w:id="412090888">
      <w:bodyDiv w:val="1"/>
      <w:marLeft w:val="0"/>
      <w:marRight w:val="0"/>
      <w:marTop w:val="0"/>
      <w:marBottom w:val="0"/>
      <w:divBdr>
        <w:top w:val="none" w:sz="0" w:space="0" w:color="auto"/>
        <w:left w:val="none" w:sz="0" w:space="0" w:color="auto"/>
        <w:bottom w:val="none" w:sz="0" w:space="0" w:color="auto"/>
        <w:right w:val="none" w:sz="0" w:space="0" w:color="auto"/>
      </w:divBdr>
    </w:div>
    <w:div w:id="414984254">
      <w:bodyDiv w:val="1"/>
      <w:marLeft w:val="0"/>
      <w:marRight w:val="0"/>
      <w:marTop w:val="0"/>
      <w:marBottom w:val="0"/>
      <w:divBdr>
        <w:top w:val="none" w:sz="0" w:space="0" w:color="auto"/>
        <w:left w:val="none" w:sz="0" w:space="0" w:color="auto"/>
        <w:bottom w:val="none" w:sz="0" w:space="0" w:color="auto"/>
        <w:right w:val="none" w:sz="0" w:space="0" w:color="auto"/>
      </w:divBdr>
    </w:div>
    <w:div w:id="422994376">
      <w:bodyDiv w:val="1"/>
      <w:marLeft w:val="0"/>
      <w:marRight w:val="0"/>
      <w:marTop w:val="0"/>
      <w:marBottom w:val="0"/>
      <w:divBdr>
        <w:top w:val="none" w:sz="0" w:space="0" w:color="auto"/>
        <w:left w:val="none" w:sz="0" w:space="0" w:color="auto"/>
        <w:bottom w:val="none" w:sz="0" w:space="0" w:color="auto"/>
        <w:right w:val="none" w:sz="0" w:space="0" w:color="auto"/>
      </w:divBdr>
    </w:div>
    <w:div w:id="423457955">
      <w:bodyDiv w:val="1"/>
      <w:marLeft w:val="0"/>
      <w:marRight w:val="0"/>
      <w:marTop w:val="0"/>
      <w:marBottom w:val="0"/>
      <w:divBdr>
        <w:top w:val="none" w:sz="0" w:space="0" w:color="auto"/>
        <w:left w:val="none" w:sz="0" w:space="0" w:color="auto"/>
        <w:bottom w:val="none" w:sz="0" w:space="0" w:color="auto"/>
        <w:right w:val="none" w:sz="0" w:space="0" w:color="auto"/>
      </w:divBdr>
      <w:divsChild>
        <w:div w:id="754202668">
          <w:marLeft w:val="446"/>
          <w:marRight w:val="0"/>
          <w:marTop w:val="120"/>
          <w:marBottom w:val="120"/>
          <w:divBdr>
            <w:top w:val="none" w:sz="0" w:space="0" w:color="auto"/>
            <w:left w:val="none" w:sz="0" w:space="0" w:color="auto"/>
            <w:bottom w:val="none" w:sz="0" w:space="0" w:color="auto"/>
            <w:right w:val="none" w:sz="0" w:space="0" w:color="auto"/>
          </w:divBdr>
        </w:div>
        <w:div w:id="1112744407">
          <w:marLeft w:val="446"/>
          <w:marRight w:val="0"/>
          <w:marTop w:val="120"/>
          <w:marBottom w:val="120"/>
          <w:divBdr>
            <w:top w:val="none" w:sz="0" w:space="0" w:color="auto"/>
            <w:left w:val="none" w:sz="0" w:space="0" w:color="auto"/>
            <w:bottom w:val="none" w:sz="0" w:space="0" w:color="auto"/>
            <w:right w:val="none" w:sz="0" w:space="0" w:color="auto"/>
          </w:divBdr>
        </w:div>
        <w:div w:id="1519271964">
          <w:marLeft w:val="446"/>
          <w:marRight w:val="0"/>
          <w:marTop w:val="120"/>
          <w:marBottom w:val="120"/>
          <w:divBdr>
            <w:top w:val="none" w:sz="0" w:space="0" w:color="auto"/>
            <w:left w:val="none" w:sz="0" w:space="0" w:color="auto"/>
            <w:bottom w:val="none" w:sz="0" w:space="0" w:color="auto"/>
            <w:right w:val="none" w:sz="0" w:space="0" w:color="auto"/>
          </w:divBdr>
        </w:div>
      </w:divsChild>
    </w:div>
    <w:div w:id="428819395">
      <w:bodyDiv w:val="1"/>
      <w:marLeft w:val="0"/>
      <w:marRight w:val="0"/>
      <w:marTop w:val="0"/>
      <w:marBottom w:val="0"/>
      <w:divBdr>
        <w:top w:val="none" w:sz="0" w:space="0" w:color="auto"/>
        <w:left w:val="none" w:sz="0" w:space="0" w:color="auto"/>
        <w:bottom w:val="none" w:sz="0" w:space="0" w:color="auto"/>
        <w:right w:val="none" w:sz="0" w:space="0" w:color="auto"/>
      </w:divBdr>
    </w:div>
    <w:div w:id="430006533">
      <w:bodyDiv w:val="1"/>
      <w:marLeft w:val="0"/>
      <w:marRight w:val="0"/>
      <w:marTop w:val="0"/>
      <w:marBottom w:val="0"/>
      <w:divBdr>
        <w:top w:val="none" w:sz="0" w:space="0" w:color="auto"/>
        <w:left w:val="none" w:sz="0" w:space="0" w:color="auto"/>
        <w:bottom w:val="none" w:sz="0" w:space="0" w:color="auto"/>
        <w:right w:val="none" w:sz="0" w:space="0" w:color="auto"/>
      </w:divBdr>
    </w:div>
    <w:div w:id="445856674">
      <w:bodyDiv w:val="1"/>
      <w:marLeft w:val="0"/>
      <w:marRight w:val="0"/>
      <w:marTop w:val="0"/>
      <w:marBottom w:val="0"/>
      <w:divBdr>
        <w:top w:val="none" w:sz="0" w:space="0" w:color="auto"/>
        <w:left w:val="none" w:sz="0" w:space="0" w:color="auto"/>
        <w:bottom w:val="none" w:sz="0" w:space="0" w:color="auto"/>
        <w:right w:val="none" w:sz="0" w:space="0" w:color="auto"/>
      </w:divBdr>
      <w:divsChild>
        <w:div w:id="844520003">
          <w:marLeft w:val="288"/>
          <w:marRight w:val="0"/>
          <w:marTop w:val="120"/>
          <w:marBottom w:val="120"/>
          <w:divBdr>
            <w:top w:val="none" w:sz="0" w:space="0" w:color="auto"/>
            <w:left w:val="none" w:sz="0" w:space="0" w:color="auto"/>
            <w:bottom w:val="none" w:sz="0" w:space="0" w:color="auto"/>
            <w:right w:val="none" w:sz="0" w:space="0" w:color="auto"/>
          </w:divBdr>
        </w:div>
        <w:div w:id="900796454">
          <w:marLeft w:val="288"/>
          <w:marRight w:val="0"/>
          <w:marTop w:val="120"/>
          <w:marBottom w:val="120"/>
          <w:divBdr>
            <w:top w:val="none" w:sz="0" w:space="0" w:color="auto"/>
            <w:left w:val="none" w:sz="0" w:space="0" w:color="auto"/>
            <w:bottom w:val="none" w:sz="0" w:space="0" w:color="auto"/>
            <w:right w:val="none" w:sz="0" w:space="0" w:color="auto"/>
          </w:divBdr>
        </w:div>
      </w:divsChild>
    </w:div>
    <w:div w:id="448816170">
      <w:bodyDiv w:val="1"/>
      <w:marLeft w:val="0"/>
      <w:marRight w:val="0"/>
      <w:marTop w:val="0"/>
      <w:marBottom w:val="0"/>
      <w:divBdr>
        <w:top w:val="none" w:sz="0" w:space="0" w:color="auto"/>
        <w:left w:val="none" w:sz="0" w:space="0" w:color="auto"/>
        <w:bottom w:val="none" w:sz="0" w:space="0" w:color="auto"/>
        <w:right w:val="none" w:sz="0" w:space="0" w:color="auto"/>
      </w:divBdr>
    </w:div>
    <w:div w:id="455297181">
      <w:bodyDiv w:val="1"/>
      <w:marLeft w:val="0"/>
      <w:marRight w:val="0"/>
      <w:marTop w:val="0"/>
      <w:marBottom w:val="0"/>
      <w:divBdr>
        <w:top w:val="none" w:sz="0" w:space="0" w:color="auto"/>
        <w:left w:val="none" w:sz="0" w:space="0" w:color="auto"/>
        <w:bottom w:val="none" w:sz="0" w:space="0" w:color="auto"/>
        <w:right w:val="none" w:sz="0" w:space="0" w:color="auto"/>
      </w:divBdr>
    </w:div>
    <w:div w:id="455953586">
      <w:bodyDiv w:val="1"/>
      <w:marLeft w:val="0"/>
      <w:marRight w:val="0"/>
      <w:marTop w:val="0"/>
      <w:marBottom w:val="0"/>
      <w:divBdr>
        <w:top w:val="none" w:sz="0" w:space="0" w:color="auto"/>
        <w:left w:val="none" w:sz="0" w:space="0" w:color="auto"/>
        <w:bottom w:val="none" w:sz="0" w:space="0" w:color="auto"/>
        <w:right w:val="none" w:sz="0" w:space="0" w:color="auto"/>
      </w:divBdr>
      <w:divsChild>
        <w:div w:id="974408384">
          <w:marLeft w:val="274"/>
          <w:marRight w:val="0"/>
          <w:marTop w:val="0"/>
          <w:marBottom w:val="120"/>
          <w:divBdr>
            <w:top w:val="none" w:sz="0" w:space="0" w:color="auto"/>
            <w:left w:val="none" w:sz="0" w:space="0" w:color="auto"/>
            <w:bottom w:val="none" w:sz="0" w:space="0" w:color="auto"/>
            <w:right w:val="none" w:sz="0" w:space="0" w:color="auto"/>
          </w:divBdr>
        </w:div>
        <w:div w:id="1965260493">
          <w:marLeft w:val="274"/>
          <w:marRight w:val="0"/>
          <w:marTop w:val="0"/>
          <w:marBottom w:val="120"/>
          <w:divBdr>
            <w:top w:val="none" w:sz="0" w:space="0" w:color="auto"/>
            <w:left w:val="none" w:sz="0" w:space="0" w:color="auto"/>
            <w:bottom w:val="none" w:sz="0" w:space="0" w:color="auto"/>
            <w:right w:val="none" w:sz="0" w:space="0" w:color="auto"/>
          </w:divBdr>
        </w:div>
      </w:divsChild>
    </w:div>
    <w:div w:id="461775625">
      <w:bodyDiv w:val="1"/>
      <w:marLeft w:val="0"/>
      <w:marRight w:val="0"/>
      <w:marTop w:val="0"/>
      <w:marBottom w:val="0"/>
      <w:divBdr>
        <w:top w:val="none" w:sz="0" w:space="0" w:color="auto"/>
        <w:left w:val="none" w:sz="0" w:space="0" w:color="auto"/>
        <w:bottom w:val="none" w:sz="0" w:space="0" w:color="auto"/>
        <w:right w:val="none" w:sz="0" w:space="0" w:color="auto"/>
      </w:divBdr>
    </w:div>
    <w:div w:id="472648776">
      <w:bodyDiv w:val="1"/>
      <w:marLeft w:val="0"/>
      <w:marRight w:val="0"/>
      <w:marTop w:val="0"/>
      <w:marBottom w:val="0"/>
      <w:divBdr>
        <w:top w:val="none" w:sz="0" w:space="0" w:color="auto"/>
        <w:left w:val="none" w:sz="0" w:space="0" w:color="auto"/>
        <w:bottom w:val="none" w:sz="0" w:space="0" w:color="auto"/>
        <w:right w:val="none" w:sz="0" w:space="0" w:color="auto"/>
      </w:divBdr>
    </w:div>
    <w:div w:id="480734146">
      <w:bodyDiv w:val="1"/>
      <w:marLeft w:val="0"/>
      <w:marRight w:val="0"/>
      <w:marTop w:val="0"/>
      <w:marBottom w:val="0"/>
      <w:divBdr>
        <w:top w:val="none" w:sz="0" w:space="0" w:color="auto"/>
        <w:left w:val="none" w:sz="0" w:space="0" w:color="auto"/>
        <w:bottom w:val="none" w:sz="0" w:space="0" w:color="auto"/>
        <w:right w:val="none" w:sz="0" w:space="0" w:color="auto"/>
      </w:divBdr>
    </w:div>
    <w:div w:id="487064300">
      <w:bodyDiv w:val="1"/>
      <w:marLeft w:val="0"/>
      <w:marRight w:val="0"/>
      <w:marTop w:val="0"/>
      <w:marBottom w:val="0"/>
      <w:divBdr>
        <w:top w:val="none" w:sz="0" w:space="0" w:color="auto"/>
        <w:left w:val="none" w:sz="0" w:space="0" w:color="auto"/>
        <w:bottom w:val="none" w:sz="0" w:space="0" w:color="auto"/>
        <w:right w:val="none" w:sz="0" w:space="0" w:color="auto"/>
      </w:divBdr>
      <w:divsChild>
        <w:div w:id="953631815">
          <w:marLeft w:val="288"/>
          <w:marRight w:val="0"/>
          <w:marTop w:val="54"/>
          <w:marBottom w:val="54"/>
          <w:divBdr>
            <w:top w:val="none" w:sz="0" w:space="0" w:color="auto"/>
            <w:left w:val="none" w:sz="0" w:space="0" w:color="auto"/>
            <w:bottom w:val="none" w:sz="0" w:space="0" w:color="auto"/>
            <w:right w:val="none" w:sz="0" w:space="0" w:color="auto"/>
          </w:divBdr>
        </w:div>
        <w:div w:id="1584728032">
          <w:marLeft w:val="288"/>
          <w:marRight w:val="0"/>
          <w:marTop w:val="54"/>
          <w:marBottom w:val="54"/>
          <w:divBdr>
            <w:top w:val="none" w:sz="0" w:space="0" w:color="auto"/>
            <w:left w:val="none" w:sz="0" w:space="0" w:color="auto"/>
            <w:bottom w:val="none" w:sz="0" w:space="0" w:color="auto"/>
            <w:right w:val="none" w:sz="0" w:space="0" w:color="auto"/>
          </w:divBdr>
        </w:div>
      </w:divsChild>
    </w:div>
    <w:div w:id="490828012">
      <w:bodyDiv w:val="1"/>
      <w:marLeft w:val="0"/>
      <w:marRight w:val="0"/>
      <w:marTop w:val="0"/>
      <w:marBottom w:val="0"/>
      <w:divBdr>
        <w:top w:val="none" w:sz="0" w:space="0" w:color="auto"/>
        <w:left w:val="none" w:sz="0" w:space="0" w:color="auto"/>
        <w:bottom w:val="none" w:sz="0" w:space="0" w:color="auto"/>
        <w:right w:val="none" w:sz="0" w:space="0" w:color="auto"/>
      </w:divBdr>
    </w:div>
    <w:div w:id="504787246">
      <w:bodyDiv w:val="1"/>
      <w:marLeft w:val="0"/>
      <w:marRight w:val="0"/>
      <w:marTop w:val="0"/>
      <w:marBottom w:val="0"/>
      <w:divBdr>
        <w:top w:val="none" w:sz="0" w:space="0" w:color="auto"/>
        <w:left w:val="none" w:sz="0" w:space="0" w:color="auto"/>
        <w:bottom w:val="none" w:sz="0" w:space="0" w:color="auto"/>
        <w:right w:val="none" w:sz="0" w:space="0" w:color="auto"/>
      </w:divBdr>
    </w:div>
    <w:div w:id="509950309">
      <w:bodyDiv w:val="1"/>
      <w:marLeft w:val="0"/>
      <w:marRight w:val="0"/>
      <w:marTop w:val="0"/>
      <w:marBottom w:val="0"/>
      <w:divBdr>
        <w:top w:val="none" w:sz="0" w:space="0" w:color="auto"/>
        <w:left w:val="none" w:sz="0" w:space="0" w:color="auto"/>
        <w:bottom w:val="none" w:sz="0" w:space="0" w:color="auto"/>
        <w:right w:val="none" w:sz="0" w:space="0" w:color="auto"/>
      </w:divBdr>
    </w:div>
    <w:div w:id="525482929">
      <w:bodyDiv w:val="1"/>
      <w:marLeft w:val="0"/>
      <w:marRight w:val="0"/>
      <w:marTop w:val="0"/>
      <w:marBottom w:val="0"/>
      <w:divBdr>
        <w:top w:val="none" w:sz="0" w:space="0" w:color="auto"/>
        <w:left w:val="none" w:sz="0" w:space="0" w:color="auto"/>
        <w:bottom w:val="none" w:sz="0" w:space="0" w:color="auto"/>
        <w:right w:val="none" w:sz="0" w:space="0" w:color="auto"/>
      </w:divBdr>
    </w:div>
    <w:div w:id="526211650">
      <w:bodyDiv w:val="1"/>
      <w:marLeft w:val="0"/>
      <w:marRight w:val="0"/>
      <w:marTop w:val="0"/>
      <w:marBottom w:val="0"/>
      <w:divBdr>
        <w:top w:val="none" w:sz="0" w:space="0" w:color="auto"/>
        <w:left w:val="none" w:sz="0" w:space="0" w:color="auto"/>
        <w:bottom w:val="none" w:sz="0" w:space="0" w:color="auto"/>
        <w:right w:val="none" w:sz="0" w:space="0" w:color="auto"/>
      </w:divBdr>
    </w:div>
    <w:div w:id="538202818">
      <w:bodyDiv w:val="1"/>
      <w:marLeft w:val="0"/>
      <w:marRight w:val="0"/>
      <w:marTop w:val="0"/>
      <w:marBottom w:val="0"/>
      <w:divBdr>
        <w:top w:val="none" w:sz="0" w:space="0" w:color="auto"/>
        <w:left w:val="none" w:sz="0" w:space="0" w:color="auto"/>
        <w:bottom w:val="none" w:sz="0" w:space="0" w:color="auto"/>
        <w:right w:val="none" w:sz="0" w:space="0" w:color="auto"/>
      </w:divBdr>
    </w:div>
    <w:div w:id="549463823">
      <w:bodyDiv w:val="1"/>
      <w:marLeft w:val="0"/>
      <w:marRight w:val="0"/>
      <w:marTop w:val="0"/>
      <w:marBottom w:val="0"/>
      <w:divBdr>
        <w:top w:val="none" w:sz="0" w:space="0" w:color="auto"/>
        <w:left w:val="none" w:sz="0" w:space="0" w:color="auto"/>
        <w:bottom w:val="none" w:sz="0" w:space="0" w:color="auto"/>
        <w:right w:val="none" w:sz="0" w:space="0" w:color="auto"/>
      </w:divBdr>
    </w:div>
    <w:div w:id="551429655">
      <w:bodyDiv w:val="1"/>
      <w:marLeft w:val="0"/>
      <w:marRight w:val="0"/>
      <w:marTop w:val="0"/>
      <w:marBottom w:val="0"/>
      <w:divBdr>
        <w:top w:val="none" w:sz="0" w:space="0" w:color="auto"/>
        <w:left w:val="none" w:sz="0" w:space="0" w:color="auto"/>
        <w:bottom w:val="none" w:sz="0" w:space="0" w:color="auto"/>
        <w:right w:val="none" w:sz="0" w:space="0" w:color="auto"/>
      </w:divBdr>
    </w:div>
    <w:div w:id="552430086">
      <w:bodyDiv w:val="1"/>
      <w:marLeft w:val="0"/>
      <w:marRight w:val="0"/>
      <w:marTop w:val="0"/>
      <w:marBottom w:val="0"/>
      <w:divBdr>
        <w:top w:val="none" w:sz="0" w:space="0" w:color="auto"/>
        <w:left w:val="none" w:sz="0" w:space="0" w:color="auto"/>
        <w:bottom w:val="none" w:sz="0" w:space="0" w:color="auto"/>
        <w:right w:val="none" w:sz="0" w:space="0" w:color="auto"/>
      </w:divBdr>
    </w:div>
    <w:div w:id="552470452">
      <w:bodyDiv w:val="1"/>
      <w:marLeft w:val="0"/>
      <w:marRight w:val="0"/>
      <w:marTop w:val="0"/>
      <w:marBottom w:val="0"/>
      <w:divBdr>
        <w:top w:val="none" w:sz="0" w:space="0" w:color="auto"/>
        <w:left w:val="none" w:sz="0" w:space="0" w:color="auto"/>
        <w:bottom w:val="none" w:sz="0" w:space="0" w:color="auto"/>
        <w:right w:val="none" w:sz="0" w:space="0" w:color="auto"/>
      </w:divBdr>
    </w:div>
    <w:div w:id="553588790">
      <w:bodyDiv w:val="1"/>
      <w:marLeft w:val="0"/>
      <w:marRight w:val="0"/>
      <w:marTop w:val="0"/>
      <w:marBottom w:val="0"/>
      <w:divBdr>
        <w:top w:val="none" w:sz="0" w:space="0" w:color="auto"/>
        <w:left w:val="none" w:sz="0" w:space="0" w:color="auto"/>
        <w:bottom w:val="none" w:sz="0" w:space="0" w:color="auto"/>
        <w:right w:val="none" w:sz="0" w:space="0" w:color="auto"/>
      </w:divBdr>
    </w:div>
    <w:div w:id="554970390">
      <w:bodyDiv w:val="1"/>
      <w:marLeft w:val="0"/>
      <w:marRight w:val="0"/>
      <w:marTop w:val="0"/>
      <w:marBottom w:val="0"/>
      <w:divBdr>
        <w:top w:val="none" w:sz="0" w:space="0" w:color="auto"/>
        <w:left w:val="none" w:sz="0" w:space="0" w:color="auto"/>
        <w:bottom w:val="none" w:sz="0" w:space="0" w:color="auto"/>
        <w:right w:val="none" w:sz="0" w:space="0" w:color="auto"/>
      </w:divBdr>
    </w:div>
    <w:div w:id="564805975">
      <w:bodyDiv w:val="1"/>
      <w:marLeft w:val="0"/>
      <w:marRight w:val="0"/>
      <w:marTop w:val="0"/>
      <w:marBottom w:val="0"/>
      <w:divBdr>
        <w:top w:val="none" w:sz="0" w:space="0" w:color="auto"/>
        <w:left w:val="none" w:sz="0" w:space="0" w:color="auto"/>
        <w:bottom w:val="none" w:sz="0" w:space="0" w:color="auto"/>
        <w:right w:val="none" w:sz="0" w:space="0" w:color="auto"/>
      </w:divBdr>
    </w:div>
    <w:div w:id="572738915">
      <w:bodyDiv w:val="1"/>
      <w:marLeft w:val="0"/>
      <w:marRight w:val="0"/>
      <w:marTop w:val="0"/>
      <w:marBottom w:val="0"/>
      <w:divBdr>
        <w:top w:val="none" w:sz="0" w:space="0" w:color="auto"/>
        <w:left w:val="none" w:sz="0" w:space="0" w:color="auto"/>
        <w:bottom w:val="none" w:sz="0" w:space="0" w:color="auto"/>
        <w:right w:val="none" w:sz="0" w:space="0" w:color="auto"/>
      </w:divBdr>
    </w:div>
    <w:div w:id="574365579">
      <w:bodyDiv w:val="1"/>
      <w:marLeft w:val="0"/>
      <w:marRight w:val="0"/>
      <w:marTop w:val="0"/>
      <w:marBottom w:val="0"/>
      <w:divBdr>
        <w:top w:val="none" w:sz="0" w:space="0" w:color="auto"/>
        <w:left w:val="none" w:sz="0" w:space="0" w:color="auto"/>
        <w:bottom w:val="none" w:sz="0" w:space="0" w:color="auto"/>
        <w:right w:val="none" w:sz="0" w:space="0" w:color="auto"/>
      </w:divBdr>
      <w:divsChild>
        <w:div w:id="1266232084">
          <w:marLeft w:val="432"/>
          <w:marRight w:val="0"/>
          <w:marTop w:val="0"/>
          <w:marBottom w:val="0"/>
          <w:divBdr>
            <w:top w:val="none" w:sz="0" w:space="0" w:color="auto"/>
            <w:left w:val="none" w:sz="0" w:space="0" w:color="auto"/>
            <w:bottom w:val="none" w:sz="0" w:space="0" w:color="auto"/>
            <w:right w:val="none" w:sz="0" w:space="0" w:color="auto"/>
          </w:divBdr>
        </w:div>
        <w:div w:id="1672760228">
          <w:marLeft w:val="432"/>
          <w:marRight w:val="0"/>
          <w:marTop w:val="0"/>
          <w:marBottom w:val="0"/>
          <w:divBdr>
            <w:top w:val="none" w:sz="0" w:space="0" w:color="auto"/>
            <w:left w:val="none" w:sz="0" w:space="0" w:color="auto"/>
            <w:bottom w:val="none" w:sz="0" w:space="0" w:color="auto"/>
            <w:right w:val="none" w:sz="0" w:space="0" w:color="auto"/>
          </w:divBdr>
        </w:div>
        <w:div w:id="1877422568">
          <w:marLeft w:val="432"/>
          <w:marRight w:val="0"/>
          <w:marTop w:val="0"/>
          <w:marBottom w:val="0"/>
          <w:divBdr>
            <w:top w:val="none" w:sz="0" w:space="0" w:color="auto"/>
            <w:left w:val="none" w:sz="0" w:space="0" w:color="auto"/>
            <w:bottom w:val="none" w:sz="0" w:space="0" w:color="auto"/>
            <w:right w:val="none" w:sz="0" w:space="0" w:color="auto"/>
          </w:divBdr>
        </w:div>
      </w:divsChild>
    </w:div>
    <w:div w:id="576983462">
      <w:bodyDiv w:val="1"/>
      <w:marLeft w:val="0"/>
      <w:marRight w:val="0"/>
      <w:marTop w:val="0"/>
      <w:marBottom w:val="0"/>
      <w:divBdr>
        <w:top w:val="none" w:sz="0" w:space="0" w:color="auto"/>
        <w:left w:val="none" w:sz="0" w:space="0" w:color="auto"/>
        <w:bottom w:val="none" w:sz="0" w:space="0" w:color="auto"/>
        <w:right w:val="none" w:sz="0" w:space="0" w:color="auto"/>
      </w:divBdr>
      <w:divsChild>
        <w:div w:id="691611276">
          <w:marLeft w:val="547"/>
          <w:marRight w:val="0"/>
          <w:marTop w:val="200"/>
          <w:marBottom w:val="0"/>
          <w:divBdr>
            <w:top w:val="none" w:sz="0" w:space="0" w:color="auto"/>
            <w:left w:val="none" w:sz="0" w:space="0" w:color="auto"/>
            <w:bottom w:val="none" w:sz="0" w:space="0" w:color="auto"/>
            <w:right w:val="none" w:sz="0" w:space="0" w:color="auto"/>
          </w:divBdr>
        </w:div>
        <w:div w:id="1041396868">
          <w:marLeft w:val="547"/>
          <w:marRight w:val="0"/>
          <w:marTop w:val="200"/>
          <w:marBottom w:val="0"/>
          <w:divBdr>
            <w:top w:val="none" w:sz="0" w:space="0" w:color="auto"/>
            <w:left w:val="none" w:sz="0" w:space="0" w:color="auto"/>
            <w:bottom w:val="none" w:sz="0" w:space="0" w:color="auto"/>
            <w:right w:val="none" w:sz="0" w:space="0" w:color="auto"/>
          </w:divBdr>
        </w:div>
        <w:div w:id="1129013877">
          <w:marLeft w:val="547"/>
          <w:marRight w:val="0"/>
          <w:marTop w:val="200"/>
          <w:marBottom w:val="0"/>
          <w:divBdr>
            <w:top w:val="none" w:sz="0" w:space="0" w:color="auto"/>
            <w:left w:val="none" w:sz="0" w:space="0" w:color="auto"/>
            <w:bottom w:val="none" w:sz="0" w:space="0" w:color="auto"/>
            <w:right w:val="none" w:sz="0" w:space="0" w:color="auto"/>
          </w:divBdr>
        </w:div>
        <w:div w:id="1258439710">
          <w:marLeft w:val="547"/>
          <w:marRight w:val="0"/>
          <w:marTop w:val="200"/>
          <w:marBottom w:val="0"/>
          <w:divBdr>
            <w:top w:val="none" w:sz="0" w:space="0" w:color="auto"/>
            <w:left w:val="none" w:sz="0" w:space="0" w:color="auto"/>
            <w:bottom w:val="none" w:sz="0" w:space="0" w:color="auto"/>
            <w:right w:val="none" w:sz="0" w:space="0" w:color="auto"/>
          </w:divBdr>
        </w:div>
        <w:div w:id="1981497297">
          <w:marLeft w:val="547"/>
          <w:marRight w:val="0"/>
          <w:marTop w:val="200"/>
          <w:marBottom w:val="0"/>
          <w:divBdr>
            <w:top w:val="none" w:sz="0" w:space="0" w:color="auto"/>
            <w:left w:val="none" w:sz="0" w:space="0" w:color="auto"/>
            <w:bottom w:val="none" w:sz="0" w:space="0" w:color="auto"/>
            <w:right w:val="none" w:sz="0" w:space="0" w:color="auto"/>
          </w:divBdr>
        </w:div>
      </w:divsChild>
    </w:div>
    <w:div w:id="580723530">
      <w:bodyDiv w:val="1"/>
      <w:marLeft w:val="0"/>
      <w:marRight w:val="0"/>
      <w:marTop w:val="0"/>
      <w:marBottom w:val="0"/>
      <w:divBdr>
        <w:top w:val="none" w:sz="0" w:space="0" w:color="auto"/>
        <w:left w:val="none" w:sz="0" w:space="0" w:color="auto"/>
        <w:bottom w:val="none" w:sz="0" w:space="0" w:color="auto"/>
        <w:right w:val="none" w:sz="0" w:space="0" w:color="auto"/>
      </w:divBdr>
    </w:div>
    <w:div w:id="592863898">
      <w:bodyDiv w:val="1"/>
      <w:marLeft w:val="0"/>
      <w:marRight w:val="0"/>
      <w:marTop w:val="0"/>
      <w:marBottom w:val="0"/>
      <w:divBdr>
        <w:top w:val="none" w:sz="0" w:space="0" w:color="auto"/>
        <w:left w:val="none" w:sz="0" w:space="0" w:color="auto"/>
        <w:bottom w:val="none" w:sz="0" w:space="0" w:color="auto"/>
        <w:right w:val="none" w:sz="0" w:space="0" w:color="auto"/>
      </w:divBdr>
    </w:div>
    <w:div w:id="595555491">
      <w:bodyDiv w:val="1"/>
      <w:marLeft w:val="0"/>
      <w:marRight w:val="0"/>
      <w:marTop w:val="0"/>
      <w:marBottom w:val="0"/>
      <w:divBdr>
        <w:top w:val="none" w:sz="0" w:space="0" w:color="auto"/>
        <w:left w:val="none" w:sz="0" w:space="0" w:color="auto"/>
        <w:bottom w:val="none" w:sz="0" w:space="0" w:color="auto"/>
        <w:right w:val="none" w:sz="0" w:space="0" w:color="auto"/>
      </w:divBdr>
    </w:div>
    <w:div w:id="599140633">
      <w:bodyDiv w:val="1"/>
      <w:marLeft w:val="0"/>
      <w:marRight w:val="0"/>
      <w:marTop w:val="0"/>
      <w:marBottom w:val="0"/>
      <w:divBdr>
        <w:top w:val="none" w:sz="0" w:space="0" w:color="auto"/>
        <w:left w:val="none" w:sz="0" w:space="0" w:color="auto"/>
        <w:bottom w:val="none" w:sz="0" w:space="0" w:color="auto"/>
        <w:right w:val="none" w:sz="0" w:space="0" w:color="auto"/>
      </w:divBdr>
    </w:div>
    <w:div w:id="600913639">
      <w:bodyDiv w:val="1"/>
      <w:marLeft w:val="0"/>
      <w:marRight w:val="0"/>
      <w:marTop w:val="0"/>
      <w:marBottom w:val="0"/>
      <w:divBdr>
        <w:top w:val="none" w:sz="0" w:space="0" w:color="auto"/>
        <w:left w:val="none" w:sz="0" w:space="0" w:color="auto"/>
        <w:bottom w:val="none" w:sz="0" w:space="0" w:color="auto"/>
        <w:right w:val="none" w:sz="0" w:space="0" w:color="auto"/>
      </w:divBdr>
    </w:div>
    <w:div w:id="602423572">
      <w:bodyDiv w:val="1"/>
      <w:marLeft w:val="0"/>
      <w:marRight w:val="0"/>
      <w:marTop w:val="0"/>
      <w:marBottom w:val="0"/>
      <w:divBdr>
        <w:top w:val="none" w:sz="0" w:space="0" w:color="auto"/>
        <w:left w:val="none" w:sz="0" w:space="0" w:color="auto"/>
        <w:bottom w:val="none" w:sz="0" w:space="0" w:color="auto"/>
        <w:right w:val="none" w:sz="0" w:space="0" w:color="auto"/>
      </w:divBdr>
    </w:div>
    <w:div w:id="605162155">
      <w:bodyDiv w:val="1"/>
      <w:marLeft w:val="0"/>
      <w:marRight w:val="0"/>
      <w:marTop w:val="0"/>
      <w:marBottom w:val="0"/>
      <w:divBdr>
        <w:top w:val="none" w:sz="0" w:space="0" w:color="auto"/>
        <w:left w:val="none" w:sz="0" w:space="0" w:color="auto"/>
        <w:bottom w:val="none" w:sz="0" w:space="0" w:color="auto"/>
        <w:right w:val="none" w:sz="0" w:space="0" w:color="auto"/>
      </w:divBdr>
    </w:div>
    <w:div w:id="609238827">
      <w:bodyDiv w:val="1"/>
      <w:marLeft w:val="0"/>
      <w:marRight w:val="0"/>
      <w:marTop w:val="0"/>
      <w:marBottom w:val="0"/>
      <w:divBdr>
        <w:top w:val="none" w:sz="0" w:space="0" w:color="auto"/>
        <w:left w:val="none" w:sz="0" w:space="0" w:color="auto"/>
        <w:bottom w:val="none" w:sz="0" w:space="0" w:color="auto"/>
        <w:right w:val="none" w:sz="0" w:space="0" w:color="auto"/>
      </w:divBdr>
    </w:div>
    <w:div w:id="621229139">
      <w:bodyDiv w:val="1"/>
      <w:marLeft w:val="0"/>
      <w:marRight w:val="0"/>
      <w:marTop w:val="0"/>
      <w:marBottom w:val="0"/>
      <w:divBdr>
        <w:top w:val="none" w:sz="0" w:space="0" w:color="auto"/>
        <w:left w:val="none" w:sz="0" w:space="0" w:color="auto"/>
        <w:bottom w:val="none" w:sz="0" w:space="0" w:color="auto"/>
        <w:right w:val="none" w:sz="0" w:space="0" w:color="auto"/>
      </w:divBdr>
    </w:div>
    <w:div w:id="622809391">
      <w:bodyDiv w:val="1"/>
      <w:marLeft w:val="0"/>
      <w:marRight w:val="0"/>
      <w:marTop w:val="0"/>
      <w:marBottom w:val="0"/>
      <w:divBdr>
        <w:top w:val="none" w:sz="0" w:space="0" w:color="auto"/>
        <w:left w:val="none" w:sz="0" w:space="0" w:color="auto"/>
        <w:bottom w:val="none" w:sz="0" w:space="0" w:color="auto"/>
        <w:right w:val="none" w:sz="0" w:space="0" w:color="auto"/>
      </w:divBdr>
    </w:div>
    <w:div w:id="636379870">
      <w:bodyDiv w:val="1"/>
      <w:marLeft w:val="0"/>
      <w:marRight w:val="0"/>
      <w:marTop w:val="0"/>
      <w:marBottom w:val="0"/>
      <w:divBdr>
        <w:top w:val="none" w:sz="0" w:space="0" w:color="auto"/>
        <w:left w:val="none" w:sz="0" w:space="0" w:color="auto"/>
        <w:bottom w:val="none" w:sz="0" w:space="0" w:color="auto"/>
        <w:right w:val="none" w:sz="0" w:space="0" w:color="auto"/>
      </w:divBdr>
    </w:div>
    <w:div w:id="646786345">
      <w:bodyDiv w:val="1"/>
      <w:marLeft w:val="0"/>
      <w:marRight w:val="0"/>
      <w:marTop w:val="0"/>
      <w:marBottom w:val="0"/>
      <w:divBdr>
        <w:top w:val="none" w:sz="0" w:space="0" w:color="auto"/>
        <w:left w:val="none" w:sz="0" w:space="0" w:color="auto"/>
        <w:bottom w:val="none" w:sz="0" w:space="0" w:color="auto"/>
        <w:right w:val="none" w:sz="0" w:space="0" w:color="auto"/>
      </w:divBdr>
    </w:div>
    <w:div w:id="664940400">
      <w:bodyDiv w:val="1"/>
      <w:marLeft w:val="0"/>
      <w:marRight w:val="0"/>
      <w:marTop w:val="0"/>
      <w:marBottom w:val="0"/>
      <w:divBdr>
        <w:top w:val="none" w:sz="0" w:space="0" w:color="auto"/>
        <w:left w:val="none" w:sz="0" w:space="0" w:color="auto"/>
        <w:bottom w:val="none" w:sz="0" w:space="0" w:color="auto"/>
        <w:right w:val="none" w:sz="0" w:space="0" w:color="auto"/>
      </w:divBdr>
    </w:div>
    <w:div w:id="674040488">
      <w:bodyDiv w:val="1"/>
      <w:marLeft w:val="0"/>
      <w:marRight w:val="0"/>
      <w:marTop w:val="0"/>
      <w:marBottom w:val="0"/>
      <w:divBdr>
        <w:top w:val="none" w:sz="0" w:space="0" w:color="auto"/>
        <w:left w:val="none" w:sz="0" w:space="0" w:color="auto"/>
        <w:bottom w:val="none" w:sz="0" w:space="0" w:color="auto"/>
        <w:right w:val="none" w:sz="0" w:space="0" w:color="auto"/>
      </w:divBdr>
    </w:div>
    <w:div w:id="677852182">
      <w:bodyDiv w:val="1"/>
      <w:marLeft w:val="0"/>
      <w:marRight w:val="0"/>
      <w:marTop w:val="0"/>
      <w:marBottom w:val="0"/>
      <w:divBdr>
        <w:top w:val="none" w:sz="0" w:space="0" w:color="auto"/>
        <w:left w:val="none" w:sz="0" w:space="0" w:color="auto"/>
        <w:bottom w:val="none" w:sz="0" w:space="0" w:color="auto"/>
        <w:right w:val="none" w:sz="0" w:space="0" w:color="auto"/>
      </w:divBdr>
    </w:div>
    <w:div w:id="689644315">
      <w:bodyDiv w:val="1"/>
      <w:marLeft w:val="0"/>
      <w:marRight w:val="0"/>
      <w:marTop w:val="0"/>
      <w:marBottom w:val="0"/>
      <w:divBdr>
        <w:top w:val="none" w:sz="0" w:space="0" w:color="auto"/>
        <w:left w:val="none" w:sz="0" w:space="0" w:color="auto"/>
        <w:bottom w:val="none" w:sz="0" w:space="0" w:color="auto"/>
        <w:right w:val="none" w:sz="0" w:space="0" w:color="auto"/>
      </w:divBdr>
    </w:div>
    <w:div w:id="690838978">
      <w:bodyDiv w:val="1"/>
      <w:marLeft w:val="0"/>
      <w:marRight w:val="0"/>
      <w:marTop w:val="0"/>
      <w:marBottom w:val="0"/>
      <w:divBdr>
        <w:top w:val="none" w:sz="0" w:space="0" w:color="auto"/>
        <w:left w:val="none" w:sz="0" w:space="0" w:color="auto"/>
        <w:bottom w:val="none" w:sz="0" w:space="0" w:color="auto"/>
        <w:right w:val="none" w:sz="0" w:space="0" w:color="auto"/>
      </w:divBdr>
    </w:div>
    <w:div w:id="712465725">
      <w:bodyDiv w:val="1"/>
      <w:marLeft w:val="0"/>
      <w:marRight w:val="0"/>
      <w:marTop w:val="0"/>
      <w:marBottom w:val="0"/>
      <w:divBdr>
        <w:top w:val="none" w:sz="0" w:space="0" w:color="auto"/>
        <w:left w:val="none" w:sz="0" w:space="0" w:color="auto"/>
        <w:bottom w:val="none" w:sz="0" w:space="0" w:color="auto"/>
        <w:right w:val="none" w:sz="0" w:space="0" w:color="auto"/>
      </w:divBdr>
    </w:div>
    <w:div w:id="712659381">
      <w:bodyDiv w:val="1"/>
      <w:marLeft w:val="0"/>
      <w:marRight w:val="0"/>
      <w:marTop w:val="0"/>
      <w:marBottom w:val="0"/>
      <w:divBdr>
        <w:top w:val="none" w:sz="0" w:space="0" w:color="auto"/>
        <w:left w:val="none" w:sz="0" w:space="0" w:color="auto"/>
        <w:bottom w:val="none" w:sz="0" w:space="0" w:color="auto"/>
        <w:right w:val="none" w:sz="0" w:space="0" w:color="auto"/>
      </w:divBdr>
      <w:divsChild>
        <w:div w:id="336425780">
          <w:marLeft w:val="288"/>
          <w:marRight w:val="0"/>
          <w:marTop w:val="120"/>
          <w:marBottom w:val="120"/>
          <w:divBdr>
            <w:top w:val="none" w:sz="0" w:space="0" w:color="auto"/>
            <w:left w:val="none" w:sz="0" w:space="0" w:color="auto"/>
            <w:bottom w:val="none" w:sz="0" w:space="0" w:color="auto"/>
            <w:right w:val="none" w:sz="0" w:space="0" w:color="auto"/>
          </w:divBdr>
        </w:div>
        <w:div w:id="1509372343">
          <w:marLeft w:val="288"/>
          <w:marRight w:val="0"/>
          <w:marTop w:val="120"/>
          <w:marBottom w:val="120"/>
          <w:divBdr>
            <w:top w:val="none" w:sz="0" w:space="0" w:color="auto"/>
            <w:left w:val="none" w:sz="0" w:space="0" w:color="auto"/>
            <w:bottom w:val="none" w:sz="0" w:space="0" w:color="auto"/>
            <w:right w:val="none" w:sz="0" w:space="0" w:color="auto"/>
          </w:divBdr>
        </w:div>
      </w:divsChild>
    </w:div>
    <w:div w:id="720715817">
      <w:bodyDiv w:val="1"/>
      <w:marLeft w:val="0"/>
      <w:marRight w:val="0"/>
      <w:marTop w:val="0"/>
      <w:marBottom w:val="0"/>
      <w:divBdr>
        <w:top w:val="none" w:sz="0" w:space="0" w:color="auto"/>
        <w:left w:val="none" w:sz="0" w:space="0" w:color="auto"/>
        <w:bottom w:val="none" w:sz="0" w:space="0" w:color="auto"/>
        <w:right w:val="none" w:sz="0" w:space="0" w:color="auto"/>
      </w:divBdr>
    </w:div>
    <w:div w:id="727798036">
      <w:bodyDiv w:val="1"/>
      <w:marLeft w:val="0"/>
      <w:marRight w:val="0"/>
      <w:marTop w:val="0"/>
      <w:marBottom w:val="0"/>
      <w:divBdr>
        <w:top w:val="none" w:sz="0" w:space="0" w:color="auto"/>
        <w:left w:val="none" w:sz="0" w:space="0" w:color="auto"/>
        <w:bottom w:val="none" w:sz="0" w:space="0" w:color="auto"/>
        <w:right w:val="none" w:sz="0" w:space="0" w:color="auto"/>
      </w:divBdr>
    </w:div>
    <w:div w:id="731581901">
      <w:bodyDiv w:val="1"/>
      <w:marLeft w:val="0"/>
      <w:marRight w:val="0"/>
      <w:marTop w:val="0"/>
      <w:marBottom w:val="0"/>
      <w:divBdr>
        <w:top w:val="none" w:sz="0" w:space="0" w:color="auto"/>
        <w:left w:val="none" w:sz="0" w:space="0" w:color="auto"/>
        <w:bottom w:val="none" w:sz="0" w:space="0" w:color="auto"/>
        <w:right w:val="none" w:sz="0" w:space="0" w:color="auto"/>
      </w:divBdr>
      <w:divsChild>
        <w:div w:id="17968179">
          <w:marLeft w:val="547"/>
          <w:marRight w:val="0"/>
          <w:marTop w:val="200"/>
          <w:marBottom w:val="0"/>
          <w:divBdr>
            <w:top w:val="none" w:sz="0" w:space="0" w:color="auto"/>
            <w:left w:val="none" w:sz="0" w:space="0" w:color="auto"/>
            <w:bottom w:val="none" w:sz="0" w:space="0" w:color="auto"/>
            <w:right w:val="none" w:sz="0" w:space="0" w:color="auto"/>
          </w:divBdr>
        </w:div>
        <w:div w:id="178131556">
          <w:marLeft w:val="1166"/>
          <w:marRight w:val="0"/>
          <w:marTop w:val="200"/>
          <w:marBottom w:val="0"/>
          <w:divBdr>
            <w:top w:val="none" w:sz="0" w:space="0" w:color="auto"/>
            <w:left w:val="none" w:sz="0" w:space="0" w:color="auto"/>
            <w:bottom w:val="none" w:sz="0" w:space="0" w:color="auto"/>
            <w:right w:val="none" w:sz="0" w:space="0" w:color="auto"/>
          </w:divBdr>
        </w:div>
        <w:div w:id="1115559229">
          <w:marLeft w:val="547"/>
          <w:marRight w:val="0"/>
          <w:marTop w:val="200"/>
          <w:marBottom w:val="0"/>
          <w:divBdr>
            <w:top w:val="none" w:sz="0" w:space="0" w:color="auto"/>
            <w:left w:val="none" w:sz="0" w:space="0" w:color="auto"/>
            <w:bottom w:val="none" w:sz="0" w:space="0" w:color="auto"/>
            <w:right w:val="none" w:sz="0" w:space="0" w:color="auto"/>
          </w:divBdr>
        </w:div>
        <w:div w:id="1871725764">
          <w:marLeft w:val="547"/>
          <w:marRight w:val="0"/>
          <w:marTop w:val="200"/>
          <w:marBottom w:val="0"/>
          <w:divBdr>
            <w:top w:val="none" w:sz="0" w:space="0" w:color="auto"/>
            <w:left w:val="none" w:sz="0" w:space="0" w:color="auto"/>
            <w:bottom w:val="none" w:sz="0" w:space="0" w:color="auto"/>
            <w:right w:val="none" w:sz="0" w:space="0" w:color="auto"/>
          </w:divBdr>
        </w:div>
      </w:divsChild>
    </w:div>
    <w:div w:id="734091308">
      <w:bodyDiv w:val="1"/>
      <w:marLeft w:val="0"/>
      <w:marRight w:val="0"/>
      <w:marTop w:val="0"/>
      <w:marBottom w:val="0"/>
      <w:divBdr>
        <w:top w:val="none" w:sz="0" w:space="0" w:color="auto"/>
        <w:left w:val="none" w:sz="0" w:space="0" w:color="auto"/>
        <w:bottom w:val="none" w:sz="0" w:space="0" w:color="auto"/>
        <w:right w:val="none" w:sz="0" w:space="0" w:color="auto"/>
      </w:divBdr>
    </w:div>
    <w:div w:id="740642293">
      <w:bodyDiv w:val="1"/>
      <w:marLeft w:val="0"/>
      <w:marRight w:val="0"/>
      <w:marTop w:val="0"/>
      <w:marBottom w:val="0"/>
      <w:divBdr>
        <w:top w:val="none" w:sz="0" w:space="0" w:color="auto"/>
        <w:left w:val="none" w:sz="0" w:space="0" w:color="auto"/>
        <w:bottom w:val="none" w:sz="0" w:space="0" w:color="auto"/>
        <w:right w:val="none" w:sz="0" w:space="0" w:color="auto"/>
      </w:divBdr>
    </w:div>
    <w:div w:id="742215809">
      <w:bodyDiv w:val="1"/>
      <w:marLeft w:val="0"/>
      <w:marRight w:val="0"/>
      <w:marTop w:val="0"/>
      <w:marBottom w:val="0"/>
      <w:divBdr>
        <w:top w:val="none" w:sz="0" w:space="0" w:color="auto"/>
        <w:left w:val="none" w:sz="0" w:space="0" w:color="auto"/>
        <w:bottom w:val="none" w:sz="0" w:space="0" w:color="auto"/>
        <w:right w:val="none" w:sz="0" w:space="0" w:color="auto"/>
      </w:divBdr>
    </w:div>
    <w:div w:id="746616808">
      <w:bodyDiv w:val="1"/>
      <w:marLeft w:val="0"/>
      <w:marRight w:val="0"/>
      <w:marTop w:val="0"/>
      <w:marBottom w:val="0"/>
      <w:divBdr>
        <w:top w:val="none" w:sz="0" w:space="0" w:color="auto"/>
        <w:left w:val="none" w:sz="0" w:space="0" w:color="auto"/>
        <w:bottom w:val="none" w:sz="0" w:space="0" w:color="auto"/>
        <w:right w:val="none" w:sz="0" w:space="0" w:color="auto"/>
      </w:divBdr>
    </w:div>
    <w:div w:id="759714045">
      <w:bodyDiv w:val="1"/>
      <w:marLeft w:val="0"/>
      <w:marRight w:val="0"/>
      <w:marTop w:val="0"/>
      <w:marBottom w:val="0"/>
      <w:divBdr>
        <w:top w:val="none" w:sz="0" w:space="0" w:color="auto"/>
        <w:left w:val="none" w:sz="0" w:space="0" w:color="auto"/>
        <w:bottom w:val="none" w:sz="0" w:space="0" w:color="auto"/>
        <w:right w:val="none" w:sz="0" w:space="0" w:color="auto"/>
      </w:divBdr>
    </w:div>
    <w:div w:id="765076171">
      <w:bodyDiv w:val="1"/>
      <w:marLeft w:val="0"/>
      <w:marRight w:val="0"/>
      <w:marTop w:val="0"/>
      <w:marBottom w:val="0"/>
      <w:divBdr>
        <w:top w:val="none" w:sz="0" w:space="0" w:color="auto"/>
        <w:left w:val="none" w:sz="0" w:space="0" w:color="auto"/>
        <w:bottom w:val="none" w:sz="0" w:space="0" w:color="auto"/>
        <w:right w:val="none" w:sz="0" w:space="0" w:color="auto"/>
      </w:divBdr>
      <w:divsChild>
        <w:div w:id="737022878">
          <w:marLeft w:val="288"/>
          <w:marRight w:val="0"/>
          <w:marTop w:val="0"/>
          <w:marBottom w:val="0"/>
          <w:divBdr>
            <w:top w:val="none" w:sz="0" w:space="0" w:color="auto"/>
            <w:left w:val="none" w:sz="0" w:space="0" w:color="auto"/>
            <w:bottom w:val="none" w:sz="0" w:space="0" w:color="auto"/>
            <w:right w:val="none" w:sz="0" w:space="0" w:color="auto"/>
          </w:divBdr>
        </w:div>
        <w:div w:id="797185443">
          <w:marLeft w:val="288"/>
          <w:marRight w:val="0"/>
          <w:marTop w:val="0"/>
          <w:marBottom w:val="0"/>
          <w:divBdr>
            <w:top w:val="none" w:sz="0" w:space="0" w:color="auto"/>
            <w:left w:val="none" w:sz="0" w:space="0" w:color="auto"/>
            <w:bottom w:val="none" w:sz="0" w:space="0" w:color="auto"/>
            <w:right w:val="none" w:sz="0" w:space="0" w:color="auto"/>
          </w:divBdr>
        </w:div>
        <w:div w:id="1555921250">
          <w:marLeft w:val="965"/>
          <w:marRight w:val="0"/>
          <w:marTop w:val="0"/>
          <w:marBottom w:val="0"/>
          <w:divBdr>
            <w:top w:val="none" w:sz="0" w:space="0" w:color="auto"/>
            <w:left w:val="none" w:sz="0" w:space="0" w:color="auto"/>
            <w:bottom w:val="none" w:sz="0" w:space="0" w:color="auto"/>
            <w:right w:val="none" w:sz="0" w:space="0" w:color="auto"/>
          </w:divBdr>
        </w:div>
        <w:div w:id="1806390272">
          <w:marLeft w:val="288"/>
          <w:marRight w:val="0"/>
          <w:marTop w:val="0"/>
          <w:marBottom w:val="0"/>
          <w:divBdr>
            <w:top w:val="none" w:sz="0" w:space="0" w:color="auto"/>
            <w:left w:val="none" w:sz="0" w:space="0" w:color="auto"/>
            <w:bottom w:val="none" w:sz="0" w:space="0" w:color="auto"/>
            <w:right w:val="none" w:sz="0" w:space="0" w:color="auto"/>
          </w:divBdr>
        </w:div>
        <w:div w:id="2000381844">
          <w:marLeft w:val="965"/>
          <w:marRight w:val="0"/>
          <w:marTop w:val="0"/>
          <w:marBottom w:val="0"/>
          <w:divBdr>
            <w:top w:val="none" w:sz="0" w:space="0" w:color="auto"/>
            <w:left w:val="none" w:sz="0" w:space="0" w:color="auto"/>
            <w:bottom w:val="none" w:sz="0" w:space="0" w:color="auto"/>
            <w:right w:val="none" w:sz="0" w:space="0" w:color="auto"/>
          </w:divBdr>
        </w:div>
      </w:divsChild>
    </w:div>
    <w:div w:id="770272614">
      <w:bodyDiv w:val="1"/>
      <w:marLeft w:val="0"/>
      <w:marRight w:val="0"/>
      <w:marTop w:val="0"/>
      <w:marBottom w:val="0"/>
      <w:divBdr>
        <w:top w:val="none" w:sz="0" w:space="0" w:color="auto"/>
        <w:left w:val="none" w:sz="0" w:space="0" w:color="auto"/>
        <w:bottom w:val="none" w:sz="0" w:space="0" w:color="auto"/>
        <w:right w:val="none" w:sz="0" w:space="0" w:color="auto"/>
      </w:divBdr>
    </w:div>
    <w:div w:id="780146485">
      <w:bodyDiv w:val="1"/>
      <w:marLeft w:val="0"/>
      <w:marRight w:val="0"/>
      <w:marTop w:val="0"/>
      <w:marBottom w:val="0"/>
      <w:divBdr>
        <w:top w:val="none" w:sz="0" w:space="0" w:color="auto"/>
        <w:left w:val="none" w:sz="0" w:space="0" w:color="auto"/>
        <w:bottom w:val="none" w:sz="0" w:space="0" w:color="auto"/>
        <w:right w:val="none" w:sz="0" w:space="0" w:color="auto"/>
      </w:divBdr>
      <w:divsChild>
        <w:div w:id="141965117">
          <w:marLeft w:val="274"/>
          <w:marRight w:val="0"/>
          <w:marTop w:val="20"/>
          <w:marBottom w:val="20"/>
          <w:divBdr>
            <w:top w:val="none" w:sz="0" w:space="0" w:color="auto"/>
            <w:left w:val="none" w:sz="0" w:space="0" w:color="auto"/>
            <w:bottom w:val="none" w:sz="0" w:space="0" w:color="auto"/>
            <w:right w:val="none" w:sz="0" w:space="0" w:color="auto"/>
          </w:divBdr>
        </w:div>
        <w:div w:id="193662643">
          <w:marLeft w:val="835"/>
          <w:marRight w:val="0"/>
          <w:marTop w:val="20"/>
          <w:marBottom w:val="20"/>
          <w:divBdr>
            <w:top w:val="none" w:sz="0" w:space="0" w:color="auto"/>
            <w:left w:val="none" w:sz="0" w:space="0" w:color="auto"/>
            <w:bottom w:val="none" w:sz="0" w:space="0" w:color="auto"/>
            <w:right w:val="none" w:sz="0" w:space="0" w:color="auto"/>
          </w:divBdr>
        </w:div>
        <w:div w:id="293682172">
          <w:marLeft w:val="547"/>
          <w:marRight w:val="0"/>
          <w:marTop w:val="20"/>
          <w:marBottom w:val="20"/>
          <w:divBdr>
            <w:top w:val="none" w:sz="0" w:space="0" w:color="auto"/>
            <w:left w:val="none" w:sz="0" w:space="0" w:color="auto"/>
            <w:bottom w:val="none" w:sz="0" w:space="0" w:color="auto"/>
            <w:right w:val="none" w:sz="0" w:space="0" w:color="auto"/>
          </w:divBdr>
        </w:div>
        <w:div w:id="624772474">
          <w:marLeft w:val="547"/>
          <w:marRight w:val="0"/>
          <w:marTop w:val="20"/>
          <w:marBottom w:val="20"/>
          <w:divBdr>
            <w:top w:val="none" w:sz="0" w:space="0" w:color="auto"/>
            <w:left w:val="none" w:sz="0" w:space="0" w:color="auto"/>
            <w:bottom w:val="none" w:sz="0" w:space="0" w:color="auto"/>
            <w:right w:val="none" w:sz="0" w:space="0" w:color="auto"/>
          </w:divBdr>
        </w:div>
        <w:div w:id="690230194">
          <w:marLeft w:val="547"/>
          <w:marRight w:val="0"/>
          <w:marTop w:val="20"/>
          <w:marBottom w:val="20"/>
          <w:divBdr>
            <w:top w:val="none" w:sz="0" w:space="0" w:color="auto"/>
            <w:left w:val="none" w:sz="0" w:space="0" w:color="auto"/>
            <w:bottom w:val="none" w:sz="0" w:space="0" w:color="auto"/>
            <w:right w:val="none" w:sz="0" w:space="0" w:color="auto"/>
          </w:divBdr>
        </w:div>
        <w:div w:id="748425687">
          <w:marLeft w:val="547"/>
          <w:marRight w:val="0"/>
          <w:marTop w:val="20"/>
          <w:marBottom w:val="20"/>
          <w:divBdr>
            <w:top w:val="none" w:sz="0" w:space="0" w:color="auto"/>
            <w:left w:val="none" w:sz="0" w:space="0" w:color="auto"/>
            <w:bottom w:val="none" w:sz="0" w:space="0" w:color="auto"/>
            <w:right w:val="none" w:sz="0" w:space="0" w:color="auto"/>
          </w:divBdr>
        </w:div>
        <w:div w:id="925303117">
          <w:marLeft w:val="835"/>
          <w:marRight w:val="0"/>
          <w:marTop w:val="20"/>
          <w:marBottom w:val="20"/>
          <w:divBdr>
            <w:top w:val="none" w:sz="0" w:space="0" w:color="auto"/>
            <w:left w:val="none" w:sz="0" w:space="0" w:color="auto"/>
            <w:bottom w:val="none" w:sz="0" w:space="0" w:color="auto"/>
            <w:right w:val="none" w:sz="0" w:space="0" w:color="auto"/>
          </w:divBdr>
        </w:div>
        <w:div w:id="1319920835">
          <w:marLeft w:val="274"/>
          <w:marRight w:val="0"/>
          <w:marTop w:val="20"/>
          <w:marBottom w:val="20"/>
          <w:divBdr>
            <w:top w:val="none" w:sz="0" w:space="0" w:color="auto"/>
            <w:left w:val="none" w:sz="0" w:space="0" w:color="auto"/>
            <w:bottom w:val="none" w:sz="0" w:space="0" w:color="auto"/>
            <w:right w:val="none" w:sz="0" w:space="0" w:color="auto"/>
          </w:divBdr>
        </w:div>
        <w:div w:id="1396587625">
          <w:marLeft w:val="274"/>
          <w:marRight w:val="0"/>
          <w:marTop w:val="20"/>
          <w:marBottom w:val="20"/>
          <w:divBdr>
            <w:top w:val="none" w:sz="0" w:space="0" w:color="auto"/>
            <w:left w:val="none" w:sz="0" w:space="0" w:color="auto"/>
            <w:bottom w:val="none" w:sz="0" w:space="0" w:color="auto"/>
            <w:right w:val="none" w:sz="0" w:space="0" w:color="auto"/>
          </w:divBdr>
        </w:div>
        <w:div w:id="1807355959">
          <w:marLeft w:val="547"/>
          <w:marRight w:val="0"/>
          <w:marTop w:val="20"/>
          <w:marBottom w:val="20"/>
          <w:divBdr>
            <w:top w:val="none" w:sz="0" w:space="0" w:color="auto"/>
            <w:left w:val="none" w:sz="0" w:space="0" w:color="auto"/>
            <w:bottom w:val="none" w:sz="0" w:space="0" w:color="auto"/>
            <w:right w:val="none" w:sz="0" w:space="0" w:color="auto"/>
          </w:divBdr>
        </w:div>
        <w:div w:id="1870751946">
          <w:marLeft w:val="547"/>
          <w:marRight w:val="0"/>
          <w:marTop w:val="20"/>
          <w:marBottom w:val="20"/>
          <w:divBdr>
            <w:top w:val="none" w:sz="0" w:space="0" w:color="auto"/>
            <w:left w:val="none" w:sz="0" w:space="0" w:color="auto"/>
            <w:bottom w:val="none" w:sz="0" w:space="0" w:color="auto"/>
            <w:right w:val="none" w:sz="0" w:space="0" w:color="auto"/>
          </w:divBdr>
        </w:div>
        <w:div w:id="2104304830">
          <w:marLeft w:val="835"/>
          <w:marRight w:val="0"/>
          <w:marTop w:val="20"/>
          <w:marBottom w:val="20"/>
          <w:divBdr>
            <w:top w:val="none" w:sz="0" w:space="0" w:color="auto"/>
            <w:left w:val="none" w:sz="0" w:space="0" w:color="auto"/>
            <w:bottom w:val="none" w:sz="0" w:space="0" w:color="auto"/>
            <w:right w:val="none" w:sz="0" w:space="0" w:color="auto"/>
          </w:divBdr>
        </w:div>
      </w:divsChild>
    </w:div>
    <w:div w:id="783113547">
      <w:bodyDiv w:val="1"/>
      <w:marLeft w:val="0"/>
      <w:marRight w:val="0"/>
      <w:marTop w:val="0"/>
      <w:marBottom w:val="0"/>
      <w:divBdr>
        <w:top w:val="none" w:sz="0" w:space="0" w:color="auto"/>
        <w:left w:val="none" w:sz="0" w:space="0" w:color="auto"/>
        <w:bottom w:val="none" w:sz="0" w:space="0" w:color="auto"/>
        <w:right w:val="none" w:sz="0" w:space="0" w:color="auto"/>
      </w:divBdr>
      <w:divsChild>
        <w:div w:id="990328323">
          <w:marLeft w:val="0"/>
          <w:marRight w:val="0"/>
          <w:marTop w:val="0"/>
          <w:marBottom w:val="0"/>
          <w:divBdr>
            <w:top w:val="none" w:sz="0" w:space="0" w:color="auto"/>
            <w:left w:val="none" w:sz="0" w:space="0" w:color="auto"/>
            <w:bottom w:val="none" w:sz="0" w:space="0" w:color="auto"/>
            <w:right w:val="none" w:sz="0" w:space="0" w:color="auto"/>
          </w:divBdr>
          <w:divsChild>
            <w:div w:id="1209801021">
              <w:marLeft w:val="0"/>
              <w:marRight w:val="0"/>
              <w:marTop w:val="0"/>
              <w:marBottom w:val="0"/>
              <w:divBdr>
                <w:top w:val="none" w:sz="0" w:space="0" w:color="auto"/>
                <w:left w:val="none" w:sz="0" w:space="0" w:color="auto"/>
                <w:bottom w:val="none" w:sz="0" w:space="0" w:color="auto"/>
                <w:right w:val="none" w:sz="0" w:space="0" w:color="auto"/>
              </w:divBdr>
              <w:divsChild>
                <w:div w:id="1112282949">
                  <w:marLeft w:val="0"/>
                  <w:marRight w:val="0"/>
                  <w:marTop w:val="0"/>
                  <w:marBottom w:val="0"/>
                  <w:divBdr>
                    <w:top w:val="none" w:sz="0" w:space="0" w:color="auto"/>
                    <w:left w:val="none" w:sz="0" w:space="0" w:color="auto"/>
                    <w:bottom w:val="none" w:sz="0" w:space="0" w:color="auto"/>
                    <w:right w:val="none" w:sz="0" w:space="0" w:color="auto"/>
                  </w:divBdr>
                  <w:divsChild>
                    <w:div w:id="442648796">
                      <w:marLeft w:val="0"/>
                      <w:marRight w:val="0"/>
                      <w:marTop w:val="0"/>
                      <w:marBottom w:val="0"/>
                      <w:divBdr>
                        <w:top w:val="none" w:sz="0" w:space="0" w:color="auto"/>
                        <w:left w:val="none" w:sz="0" w:space="0" w:color="auto"/>
                        <w:bottom w:val="none" w:sz="0" w:space="0" w:color="auto"/>
                        <w:right w:val="none" w:sz="0" w:space="0" w:color="auto"/>
                      </w:divBdr>
                      <w:divsChild>
                        <w:div w:id="8213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71424">
      <w:bodyDiv w:val="1"/>
      <w:marLeft w:val="0"/>
      <w:marRight w:val="0"/>
      <w:marTop w:val="0"/>
      <w:marBottom w:val="0"/>
      <w:divBdr>
        <w:top w:val="none" w:sz="0" w:space="0" w:color="auto"/>
        <w:left w:val="none" w:sz="0" w:space="0" w:color="auto"/>
        <w:bottom w:val="none" w:sz="0" w:space="0" w:color="auto"/>
        <w:right w:val="none" w:sz="0" w:space="0" w:color="auto"/>
      </w:divBdr>
    </w:div>
    <w:div w:id="791289906">
      <w:bodyDiv w:val="1"/>
      <w:marLeft w:val="0"/>
      <w:marRight w:val="0"/>
      <w:marTop w:val="0"/>
      <w:marBottom w:val="0"/>
      <w:divBdr>
        <w:top w:val="none" w:sz="0" w:space="0" w:color="auto"/>
        <w:left w:val="none" w:sz="0" w:space="0" w:color="auto"/>
        <w:bottom w:val="none" w:sz="0" w:space="0" w:color="auto"/>
        <w:right w:val="none" w:sz="0" w:space="0" w:color="auto"/>
      </w:divBdr>
      <w:divsChild>
        <w:div w:id="544291972">
          <w:marLeft w:val="274"/>
          <w:marRight w:val="0"/>
          <w:marTop w:val="0"/>
          <w:marBottom w:val="0"/>
          <w:divBdr>
            <w:top w:val="none" w:sz="0" w:space="0" w:color="auto"/>
            <w:left w:val="none" w:sz="0" w:space="0" w:color="auto"/>
            <w:bottom w:val="none" w:sz="0" w:space="0" w:color="auto"/>
            <w:right w:val="none" w:sz="0" w:space="0" w:color="auto"/>
          </w:divBdr>
        </w:div>
        <w:div w:id="603341148">
          <w:marLeft w:val="274"/>
          <w:marRight w:val="0"/>
          <w:marTop w:val="0"/>
          <w:marBottom w:val="0"/>
          <w:divBdr>
            <w:top w:val="none" w:sz="0" w:space="0" w:color="auto"/>
            <w:left w:val="none" w:sz="0" w:space="0" w:color="auto"/>
            <w:bottom w:val="none" w:sz="0" w:space="0" w:color="auto"/>
            <w:right w:val="none" w:sz="0" w:space="0" w:color="auto"/>
          </w:divBdr>
        </w:div>
      </w:divsChild>
    </w:div>
    <w:div w:id="792331605">
      <w:bodyDiv w:val="1"/>
      <w:marLeft w:val="0"/>
      <w:marRight w:val="0"/>
      <w:marTop w:val="0"/>
      <w:marBottom w:val="0"/>
      <w:divBdr>
        <w:top w:val="none" w:sz="0" w:space="0" w:color="auto"/>
        <w:left w:val="none" w:sz="0" w:space="0" w:color="auto"/>
        <w:bottom w:val="none" w:sz="0" w:space="0" w:color="auto"/>
        <w:right w:val="none" w:sz="0" w:space="0" w:color="auto"/>
      </w:divBdr>
      <w:divsChild>
        <w:div w:id="1724988541">
          <w:marLeft w:val="288"/>
          <w:marRight w:val="0"/>
          <w:marTop w:val="120"/>
          <w:marBottom w:val="120"/>
          <w:divBdr>
            <w:top w:val="none" w:sz="0" w:space="0" w:color="auto"/>
            <w:left w:val="none" w:sz="0" w:space="0" w:color="auto"/>
            <w:bottom w:val="none" w:sz="0" w:space="0" w:color="auto"/>
            <w:right w:val="none" w:sz="0" w:space="0" w:color="auto"/>
          </w:divBdr>
        </w:div>
      </w:divsChild>
    </w:div>
    <w:div w:id="810027318">
      <w:bodyDiv w:val="1"/>
      <w:marLeft w:val="0"/>
      <w:marRight w:val="0"/>
      <w:marTop w:val="0"/>
      <w:marBottom w:val="0"/>
      <w:divBdr>
        <w:top w:val="none" w:sz="0" w:space="0" w:color="auto"/>
        <w:left w:val="none" w:sz="0" w:space="0" w:color="auto"/>
        <w:bottom w:val="none" w:sz="0" w:space="0" w:color="auto"/>
        <w:right w:val="none" w:sz="0" w:space="0" w:color="auto"/>
      </w:divBdr>
      <w:divsChild>
        <w:div w:id="1132285330">
          <w:marLeft w:val="302"/>
          <w:marRight w:val="0"/>
          <w:marTop w:val="0"/>
          <w:marBottom w:val="120"/>
          <w:divBdr>
            <w:top w:val="none" w:sz="0" w:space="0" w:color="auto"/>
            <w:left w:val="none" w:sz="0" w:space="0" w:color="auto"/>
            <w:bottom w:val="none" w:sz="0" w:space="0" w:color="auto"/>
            <w:right w:val="none" w:sz="0" w:space="0" w:color="auto"/>
          </w:divBdr>
        </w:div>
        <w:div w:id="1678574250">
          <w:marLeft w:val="302"/>
          <w:marRight w:val="0"/>
          <w:marTop w:val="0"/>
          <w:marBottom w:val="120"/>
          <w:divBdr>
            <w:top w:val="none" w:sz="0" w:space="0" w:color="auto"/>
            <w:left w:val="none" w:sz="0" w:space="0" w:color="auto"/>
            <w:bottom w:val="none" w:sz="0" w:space="0" w:color="auto"/>
            <w:right w:val="none" w:sz="0" w:space="0" w:color="auto"/>
          </w:divBdr>
        </w:div>
        <w:div w:id="1692216742">
          <w:marLeft w:val="302"/>
          <w:marRight w:val="0"/>
          <w:marTop w:val="0"/>
          <w:marBottom w:val="120"/>
          <w:divBdr>
            <w:top w:val="none" w:sz="0" w:space="0" w:color="auto"/>
            <w:left w:val="none" w:sz="0" w:space="0" w:color="auto"/>
            <w:bottom w:val="none" w:sz="0" w:space="0" w:color="auto"/>
            <w:right w:val="none" w:sz="0" w:space="0" w:color="auto"/>
          </w:divBdr>
        </w:div>
      </w:divsChild>
    </w:div>
    <w:div w:id="811408509">
      <w:bodyDiv w:val="1"/>
      <w:marLeft w:val="0"/>
      <w:marRight w:val="0"/>
      <w:marTop w:val="0"/>
      <w:marBottom w:val="0"/>
      <w:divBdr>
        <w:top w:val="none" w:sz="0" w:space="0" w:color="auto"/>
        <w:left w:val="none" w:sz="0" w:space="0" w:color="auto"/>
        <w:bottom w:val="none" w:sz="0" w:space="0" w:color="auto"/>
        <w:right w:val="none" w:sz="0" w:space="0" w:color="auto"/>
      </w:divBdr>
    </w:div>
    <w:div w:id="851801896">
      <w:bodyDiv w:val="1"/>
      <w:marLeft w:val="0"/>
      <w:marRight w:val="0"/>
      <w:marTop w:val="0"/>
      <w:marBottom w:val="0"/>
      <w:divBdr>
        <w:top w:val="none" w:sz="0" w:space="0" w:color="auto"/>
        <w:left w:val="none" w:sz="0" w:space="0" w:color="auto"/>
        <w:bottom w:val="none" w:sz="0" w:space="0" w:color="auto"/>
        <w:right w:val="none" w:sz="0" w:space="0" w:color="auto"/>
      </w:divBdr>
      <w:divsChild>
        <w:div w:id="165021083">
          <w:marLeft w:val="274"/>
          <w:marRight w:val="0"/>
          <w:marTop w:val="0"/>
          <w:marBottom w:val="0"/>
          <w:divBdr>
            <w:top w:val="none" w:sz="0" w:space="0" w:color="auto"/>
            <w:left w:val="none" w:sz="0" w:space="0" w:color="auto"/>
            <w:bottom w:val="none" w:sz="0" w:space="0" w:color="auto"/>
            <w:right w:val="none" w:sz="0" w:space="0" w:color="auto"/>
          </w:divBdr>
        </w:div>
        <w:div w:id="309869260">
          <w:marLeft w:val="562"/>
          <w:marRight w:val="0"/>
          <w:marTop w:val="0"/>
          <w:marBottom w:val="0"/>
          <w:divBdr>
            <w:top w:val="none" w:sz="0" w:space="0" w:color="auto"/>
            <w:left w:val="none" w:sz="0" w:space="0" w:color="auto"/>
            <w:bottom w:val="none" w:sz="0" w:space="0" w:color="auto"/>
            <w:right w:val="none" w:sz="0" w:space="0" w:color="auto"/>
          </w:divBdr>
        </w:div>
        <w:div w:id="363217192">
          <w:marLeft w:val="562"/>
          <w:marRight w:val="0"/>
          <w:marTop w:val="0"/>
          <w:marBottom w:val="0"/>
          <w:divBdr>
            <w:top w:val="none" w:sz="0" w:space="0" w:color="auto"/>
            <w:left w:val="none" w:sz="0" w:space="0" w:color="auto"/>
            <w:bottom w:val="none" w:sz="0" w:space="0" w:color="auto"/>
            <w:right w:val="none" w:sz="0" w:space="0" w:color="auto"/>
          </w:divBdr>
        </w:div>
        <w:div w:id="448359677">
          <w:marLeft w:val="562"/>
          <w:marRight w:val="0"/>
          <w:marTop w:val="0"/>
          <w:marBottom w:val="0"/>
          <w:divBdr>
            <w:top w:val="none" w:sz="0" w:space="0" w:color="auto"/>
            <w:left w:val="none" w:sz="0" w:space="0" w:color="auto"/>
            <w:bottom w:val="none" w:sz="0" w:space="0" w:color="auto"/>
            <w:right w:val="none" w:sz="0" w:space="0" w:color="auto"/>
          </w:divBdr>
        </w:div>
        <w:div w:id="512186382">
          <w:marLeft w:val="562"/>
          <w:marRight w:val="0"/>
          <w:marTop w:val="0"/>
          <w:marBottom w:val="0"/>
          <w:divBdr>
            <w:top w:val="none" w:sz="0" w:space="0" w:color="auto"/>
            <w:left w:val="none" w:sz="0" w:space="0" w:color="auto"/>
            <w:bottom w:val="none" w:sz="0" w:space="0" w:color="auto"/>
            <w:right w:val="none" w:sz="0" w:space="0" w:color="auto"/>
          </w:divBdr>
        </w:div>
        <w:div w:id="547305370">
          <w:marLeft w:val="562"/>
          <w:marRight w:val="0"/>
          <w:marTop w:val="0"/>
          <w:marBottom w:val="0"/>
          <w:divBdr>
            <w:top w:val="none" w:sz="0" w:space="0" w:color="auto"/>
            <w:left w:val="none" w:sz="0" w:space="0" w:color="auto"/>
            <w:bottom w:val="none" w:sz="0" w:space="0" w:color="auto"/>
            <w:right w:val="none" w:sz="0" w:space="0" w:color="auto"/>
          </w:divBdr>
        </w:div>
        <w:div w:id="934246403">
          <w:marLeft w:val="562"/>
          <w:marRight w:val="0"/>
          <w:marTop w:val="0"/>
          <w:marBottom w:val="0"/>
          <w:divBdr>
            <w:top w:val="none" w:sz="0" w:space="0" w:color="auto"/>
            <w:left w:val="none" w:sz="0" w:space="0" w:color="auto"/>
            <w:bottom w:val="none" w:sz="0" w:space="0" w:color="auto"/>
            <w:right w:val="none" w:sz="0" w:space="0" w:color="auto"/>
          </w:divBdr>
        </w:div>
        <w:div w:id="969700650">
          <w:marLeft w:val="562"/>
          <w:marRight w:val="0"/>
          <w:marTop w:val="0"/>
          <w:marBottom w:val="0"/>
          <w:divBdr>
            <w:top w:val="none" w:sz="0" w:space="0" w:color="auto"/>
            <w:left w:val="none" w:sz="0" w:space="0" w:color="auto"/>
            <w:bottom w:val="none" w:sz="0" w:space="0" w:color="auto"/>
            <w:right w:val="none" w:sz="0" w:space="0" w:color="auto"/>
          </w:divBdr>
        </w:div>
        <w:div w:id="997808060">
          <w:marLeft w:val="562"/>
          <w:marRight w:val="0"/>
          <w:marTop w:val="0"/>
          <w:marBottom w:val="0"/>
          <w:divBdr>
            <w:top w:val="none" w:sz="0" w:space="0" w:color="auto"/>
            <w:left w:val="none" w:sz="0" w:space="0" w:color="auto"/>
            <w:bottom w:val="none" w:sz="0" w:space="0" w:color="auto"/>
            <w:right w:val="none" w:sz="0" w:space="0" w:color="auto"/>
          </w:divBdr>
        </w:div>
        <w:div w:id="1181748042">
          <w:marLeft w:val="274"/>
          <w:marRight w:val="0"/>
          <w:marTop w:val="0"/>
          <w:marBottom w:val="0"/>
          <w:divBdr>
            <w:top w:val="none" w:sz="0" w:space="0" w:color="auto"/>
            <w:left w:val="none" w:sz="0" w:space="0" w:color="auto"/>
            <w:bottom w:val="none" w:sz="0" w:space="0" w:color="auto"/>
            <w:right w:val="none" w:sz="0" w:space="0" w:color="auto"/>
          </w:divBdr>
        </w:div>
        <w:div w:id="1271275020">
          <w:marLeft w:val="562"/>
          <w:marRight w:val="0"/>
          <w:marTop w:val="0"/>
          <w:marBottom w:val="0"/>
          <w:divBdr>
            <w:top w:val="none" w:sz="0" w:space="0" w:color="auto"/>
            <w:left w:val="none" w:sz="0" w:space="0" w:color="auto"/>
            <w:bottom w:val="none" w:sz="0" w:space="0" w:color="auto"/>
            <w:right w:val="none" w:sz="0" w:space="0" w:color="auto"/>
          </w:divBdr>
        </w:div>
        <w:div w:id="1279947777">
          <w:marLeft w:val="562"/>
          <w:marRight w:val="0"/>
          <w:marTop w:val="0"/>
          <w:marBottom w:val="0"/>
          <w:divBdr>
            <w:top w:val="none" w:sz="0" w:space="0" w:color="auto"/>
            <w:left w:val="none" w:sz="0" w:space="0" w:color="auto"/>
            <w:bottom w:val="none" w:sz="0" w:space="0" w:color="auto"/>
            <w:right w:val="none" w:sz="0" w:space="0" w:color="auto"/>
          </w:divBdr>
        </w:div>
        <w:div w:id="1296834688">
          <w:marLeft w:val="562"/>
          <w:marRight w:val="0"/>
          <w:marTop w:val="0"/>
          <w:marBottom w:val="0"/>
          <w:divBdr>
            <w:top w:val="none" w:sz="0" w:space="0" w:color="auto"/>
            <w:left w:val="none" w:sz="0" w:space="0" w:color="auto"/>
            <w:bottom w:val="none" w:sz="0" w:space="0" w:color="auto"/>
            <w:right w:val="none" w:sz="0" w:space="0" w:color="auto"/>
          </w:divBdr>
        </w:div>
        <w:div w:id="1298218446">
          <w:marLeft w:val="274"/>
          <w:marRight w:val="0"/>
          <w:marTop w:val="0"/>
          <w:marBottom w:val="0"/>
          <w:divBdr>
            <w:top w:val="none" w:sz="0" w:space="0" w:color="auto"/>
            <w:left w:val="none" w:sz="0" w:space="0" w:color="auto"/>
            <w:bottom w:val="none" w:sz="0" w:space="0" w:color="auto"/>
            <w:right w:val="none" w:sz="0" w:space="0" w:color="auto"/>
          </w:divBdr>
        </w:div>
        <w:div w:id="1519196710">
          <w:marLeft w:val="274"/>
          <w:marRight w:val="0"/>
          <w:marTop w:val="0"/>
          <w:marBottom w:val="0"/>
          <w:divBdr>
            <w:top w:val="none" w:sz="0" w:space="0" w:color="auto"/>
            <w:left w:val="none" w:sz="0" w:space="0" w:color="auto"/>
            <w:bottom w:val="none" w:sz="0" w:space="0" w:color="auto"/>
            <w:right w:val="none" w:sz="0" w:space="0" w:color="auto"/>
          </w:divBdr>
        </w:div>
        <w:div w:id="1632708202">
          <w:marLeft w:val="274"/>
          <w:marRight w:val="0"/>
          <w:marTop w:val="0"/>
          <w:marBottom w:val="0"/>
          <w:divBdr>
            <w:top w:val="none" w:sz="0" w:space="0" w:color="auto"/>
            <w:left w:val="none" w:sz="0" w:space="0" w:color="auto"/>
            <w:bottom w:val="none" w:sz="0" w:space="0" w:color="auto"/>
            <w:right w:val="none" w:sz="0" w:space="0" w:color="auto"/>
          </w:divBdr>
        </w:div>
        <w:div w:id="1791699937">
          <w:marLeft w:val="274"/>
          <w:marRight w:val="0"/>
          <w:marTop w:val="0"/>
          <w:marBottom w:val="0"/>
          <w:divBdr>
            <w:top w:val="none" w:sz="0" w:space="0" w:color="auto"/>
            <w:left w:val="none" w:sz="0" w:space="0" w:color="auto"/>
            <w:bottom w:val="none" w:sz="0" w:space="0" w:color="auto"/>
            <w:right w:val="none" w:sz="0" w:space="0" w:color="auto"/>
          </w:divBdr>
        </w:div>
        <w:div w:id="1924685663">
          <w:marLeft w:val="562"/>
          <w:marRight w:val="0"/>
          <w:marTop w:val="0"/>
          <w:marBottom w:val="0"/>
          <w:divBdr>
            <w:top w:val="none" w:sz="0" w:space="0" w:color="auto"/>
            <w:left w:val="none" w:sz="0" w:space="0" w:color="auto"/>
            <w:bottom w:val="none" w:sz="0" w:space="0" w:color="auto"/>
            <w:right w:val="none" w:sz="0" w:space="0" w:color="auto"/>
          </w:divBdr>
        </w:div>
        <w:div w:id="2024551541">
          <w:marLeft w:val="274"/>
          <w:marRight w:val="0"/>
          <w:marTop w:val="0"/>
          <w:marBottom w:val="0"/>
          <w:divBdr>
            <w:top w:val="none" w:sz="0" w:space="0" w:color="auto"/>
            <w:left w:val="none" w:sz="0" w:space="0" w:color="auto"/>
            <w:bottom w:val="none" w:sz="0" w:space="0" w:color="auto"/>
            <w:right w:val="none" w:sz="0" w:space="0" w:color="auto"/>
          </w:divBdr>
        </w:div>
        <w:div w:id="2061322182">
          <w:marLeft w:val="562"/>
          <w:marRight w:val="0"/>
          <w:marTop w:val="0"/>
          <w:marBottom w:val="0"/>
          <w:divBdr>
            <w:top w:val="none" w:sz="0" w:space="0" w:color="auto"/>
            <w:left w:val="none" w:sz="0" w:space="0" w:color="auto"/>
            <w:bottom w:val="none" w:sz="0" w:space="0" w:color="auto"/>
            <w:right w:val="none" w:sz="0" w:space="0" w:color="auto"/>
          </w:divBdr>
        </w:div>
      </w:divsChild>
    </w:div>
    <w:div w:id="852039628">
      <w:bodyDiv w:val="1"/>
      <w:marLeft w:val="0"/>
      <w:marRight w:val="0"/>
      <w:marTop w:val="0"/>
      <w:marBottom w:val="0"/>
      <w:divBdr>
        <w:top w:val="none" w:sz="0" w:space="0" w:color="auto"/>
        <w:left w:val="none" w:sz="0" w:space="0" w:color="auto"/>
        <w:bottom w:val="none" w:sz="0" w:space="0" w:color="auto"/>
        <w:right w:val="none" w:sz="0" w:space="0" w:color="auto"/>
      </w:divBdr>
    </w:div>
    <w:div w:id="852693770">
      <w:bodyDiv w:val="1"/>
      <w:marLeft w:val="0"/>
      <w:marRight w:val="0"/>
      <w:marTop w:val="0"/>
      <w:marBottom w:val="0"/>
      <w:divBdr>
        <w:top w:val="none" w:sz="0" w:space="0" w:color="auto"/>
        <w:left w:val="none" w:sz="0" w:space="0" w:color="auto"/>
        <w:bottom w:val="none" w:sz="0" w:space="0" w:color="auto"/>
        <w:right w:val="none" w:sz="0" w:space="0" w:color="auto"/>
      </w:divBdr>
    </w:div>
    <w:div w:id="863136282">
      <w:bodyDiv w:val="1"/>
      <w:marLeft w:val="0"/>
      <w:marRight w:val="0"/>
      <w:marTop w:val="0"/>
      <w:marBottom w:val="0"/>
      <w:divBdr>
        <w:top w:val="none" w:sz="0" w:space="0" w:color="auto"/>
        <w:left w:val="none" w:sz="0" w:space="0" w:color="auto"/>
        <w:bottom w:val="none" w:sz="0" w:space="0" w:color="auto"/>
        <w:right w:val="none" w:sz="0" w:space="0" w:color="auto"/>
      </w:divBdr>
    </w:div>
    <w:div w:id="892616739">
      <w:bodyDiv w:val="1"/>
      <w:marLeft w:val="0"/>
      <w:marRight w:val="0"/>
      <w:marTop w:val="0"/>
      <w:marBottom w:val="0"/>
      <w:divBdr>
        <w:top w:val="none" w:sz="0" w:space="0" w:color="auto"/>
        <w:left w:val="none" w:sz="0" w:space="0" w:color="auto"/>
        <w:bottom w:val="none" w:sz="0" w:space="0" w:color="auto"/>
        <w:right w:val="none" w:sz="0" w:space="0" w:color="auto"/>
      </w:divBdr>
      <w:divsChild>
        <w:div w:id="184440343">
          <w:marLeft w:val="547"/>
          <w:marRight w:val="0"/>
          <w:marTop w:val="200"/>
          <w:marBottom w:val="0"/>
          <w:divBdr>
            <w:top w:val="none" w:sz="0" w:space="0" w:color="auto"/>
            <w:left w:val="none" w:sz="0" w:space="0" w:color="auto"/>
            <w:bottom w:val="none" w:sz="0" w:space="0" w:color="auto"/>
            <w:right w:val="none" w:sz="0" w:space="0" w:color="auto"/>
          </w:divBdr>
        </w:div>
        <w:div w:id="1315333122">
          <w:marLeft w:val="547"/>
          <w:marRight w:val="0"/>
          <w:marTop w:val="200"/>
          <w:marBottom w:val="0"/>
          <w:divBdr>
            <w:top w:val="none" w:sz="0" w:space="0" w:color="auto"/>
            <w:left w:val="none" w:sz="0" w:space="0" w:color="auto"/>
            <w:bottom w:val="none" w:sz="0" w:space="0" w:color="auto"/>
            <w:right w:val="none" w:sz="0" w:space="0" w:color="auto"/>
          </w:divBdr>
        </w:div>
        <w:div w:id="1491288938">
          <w:marLeft w:val="547"/>
          <w:marRight w:val="0"/>
          <w:marTop w:val="200"/>
          <w:marBottom w:val="0"/>
          <w:divBdr>
            <w:top w:val="none" w:sz="0" w:space="0" w:color="auto"/>
            <w:left w:val="none" w:sz="0" w:space="0" w:color="auto"/>
            <w:bottom w:val="none" w:sz="0" w:space="0" w:color="auto"/>
            <w:right w:val="none" w:sz="0" w:space="0" w:color="auto"/>
          </w:divBdr>
        </w:div>
        <w:div w:id="2134277719">
          <w:marLeft w:val="547"/>
          <w:marRight w:val="0"/>
          <w:marTop w:val="200"/>
          <w:marBottom w:val="0"/>
          <w:divBdr>
            <w:top w:val="none" w:sz="0" w:space="0" w:color="auto"/>
            <w:left w:val="none" w:sz="0" w:space="0" w:color="auto"/>
            <w:bottom w:val="none" w:sz="0" w:space="0" w:color="auto"/>
            <w:right w:val="none" w:sz="0" w:space="0" w:color="auto"/>
          </w:divBdr>
        </w:div>
      </w:divsChild>
    </w:div>
    <w:div w:id="896546162">
      <w:bodyDiv w:val="1"/>
      <w:marLeft w:val="0"/>
      <w:marRight w:val="0"/>
      <w:marTop w:val="0"/>
      <w:marBottom w:val="0"/>
      <w:divBdr>
        <w:top w:val="none" w:sz="0" w:space="0" w:color="auto"/>
        <w:left w:val="none" w:sz="0" w:space="0" w:color="auto"/>
        <w:bottom w:val="none" w:sz="0" w:space="0" w:color="auto"/>
        <w:right w:val="none" w:sz="0" w:space="0" w:color="auto"/>
      </w:divBdr>
    </w:div>
    <w:div w:id="900213375">
      <w:bodyDiv w:val="1"/>
      <w:marLeft w:val="0"/>
      <w:marRight w:val="0"/>
      <w:marTop w:val="0"/>
      <w:marBottom w:val="0"/>
      <w:divBdr>
        <w:top w:val="none" w:sz="0" w:space="0" w:color="auto"/>
        <w:left w:val="none" w:sz="0" w:space="0" w:color="auto"/>
        <w:bottom w:val="none" w:sz="0" w:space="0" w:color="auto"/>
        <w:right w:val="none" w:sz="0" w:space="0" w:color="auto"/>
      </w:divBdr>
    </w:div>
    <w:div w:id="913441103">
      <w:bodyDiv w:val="1"/>
      <w:marLeft w:val="0"/>
      <w:marRight w:val="0"/>
      <w:marTop w:val="0"/>
      <w:marBottom w:val="0"/>
      <w:divBdr>
        <w:top w:val="none" w:sz="0" w:space="0" w:color="auto"/>
        <w:left w:val="none" w:sz="0" w:space="0" w:color="auto"/>
        <w:bottom w:val="none" w:sz="0" w:space="0" w:color="auto"/>
        <w:right w:val="none" w:sz="0" w:space="0" w:color="auto"/>
      </w:divBdr>
      <w:divsChild>
        <w:div w:id="1273702935">
          <w:marLeft w:val="288"/>
          <w:marRight w:val="0"/>
          <w:marTop w:val="120"/>
          <w:marBottom w:val="120"/>
          <w:divBdr>
            <w:top w:val="none" w:sz="0" w:space="0" w:color="auto"/>
            <w:left w:val="none" w:sz="0" w:space="0" w:color="auto"/>
            <w:bottom w:val="none" w:sz="0" w:space="0" w:color="auto"/>
            <w:right w:val="none" w:sz="0" w:space="0" w:color="auto"/>
          </w:divBdr>
        </w:div>
      </w:divsChild>
    </w:div>
    <w:div w:id="916943319">
      <w:bodyDiv w:val="1"/>
      <w:marLeft w:val="0"/>
      <w:marRight w:val="0"/>
      <w:marTop w:val="0"/>
      <w:marBottom w:val="0"/>
      <w:divBdr>
        <w:top w:val="none" w:sz="0" w:space="0" w:color="auto"/>
        <w:left w:val="none" w:sz="0" w:space="0" w:color="auto"/>
        <w:bottom w:val="none" w:sz="0" w:space="0" w:color="auto"/>
        <w:right w:val="none" w:sz="0" w:space="0" w:color="auto"/>
      </w:divBdr>
    </w:div>
    <w:div w:id="925071089">
      <w:bodyDiv w:val="1"/>
      <w:marLeft w:val="0"/>
      <w:marRight w:val="0"/>
      <w:marTop w:val="0"/>
      <w:marBottom w:val="0"/>
      <w:divBdr>
        <w:top w:val="none" w:sz="0" w:space="0" w:color="auto"/>
        <w:left w:val="none" w:sz="0" w:space="0" w:color="auto"/>
        <w:bottom w:val="none" w:sz="0" w:space="0" w:color="auto"/>
        <w:right w:val="none" w:sz="0" w:space="0" w:color="auto"/>
      </w:divBdr>
    </w:div>
    <w:div w:id="932206655">
      <w:bodyDiv w:val="1"/>
      <w:marLeft w:val="0"/>
      <w:marRight w:val="0"/>
      <w:marTop w:val="0"/>
      <w:marBottom w:val="0"/>
      <w:divBdr>
        <w:top w:val="none" w:sz="0" w:space="0" w:color="auto"/>
        <w:left w:val="none" w:sz="0" w:space="0" w:color="auto"/>
        <w:bottom w:val="none" w:sz="0" w:space="0" w:color="auto"/>
        <w:right w:val="none" w:sz="0" w:space="0" w:color="auto"/>
      </w:divBdr>
      <w:divsChild>
        <w:div w:id="2023969219">
          <w:marLeft w:val="288"/>
          <w:marRight w:val="0"/>
          <w:marTop w:val="54"/>
          <w:marBottom w:val="54"/>
          <w:divBdr>
            <w:top w:val="none" w:sz="0" w:space="0" w:color="auto"/>
            <w:left w:val="none" w:sz="0" w:space="0" w:color="auto"/>
            <w:bottom w:val="none" w:sz="0" w:space="0" w:color="auto"/>
            <w:right w:val="none" w:sz="0" w:space="0" w:color="auto"/>
          </w:divBdr>
        </w:div>
      </w:divsChild>
    </w:div>
    <w:div w:id="933707752">
      <w:bodyDiv w:val="1"/>
      <w:marLeft w:val="0"/>
      <w:marRight w:val="0"/>
      <w:marTop w:val="0"/>
      <w:marBottom w:val="0"/>
      <w:divBdr>
        <w:top w:val="none" w:sz="0" w:space="0" w:color="auto"/>
        <w:left w:val="none" w:sz="0" w:space="0" w:color="auto"/>
        <w:bottom w:val="none" w:sz="0" w:space="0" w:color="auto"/>
        <w:right w:val="none" w:sz="0" w:space="0" w:color="auto"/>
      </w:divBdr>
    </w:div>
    <w:div w:id="937063250">
      <w:bodyDiv w:val="1"/>
      <w:marLeft w:val="0"/>
      <w:marRight w:val="0"/>
      <w:marTop w:val="0"/>
      <w:marBottom w:val="0"/>
      <w:divBdr>
        <w:top w:val="none" w:sz="0" w:space="0" w:color="auto"/>
        <w:left w:val="none" w:sz="0" w:space="0" w:color="auto"/>
        <w:bottom w:val="none" w:sz="0" w:space="0" w:color="auto"/>
        <w:right w:val="none" w:sz="0" w:space="0" w:color="auto"/>
      </w:divBdr>
    </w:div>
    <w:div w:id="944460339">
      <w:bodyDiv w:val="1"/>
      <w:marLeft w:val="0"/>
      <w:marRight w:val="0"/>
      <w:marTop w:val="0"/>
      <w:marBottom w:val="0"/>
      <w:divBdr>
        <w:top w:val="none" w:sz="0" w:space="0" w:color="auto"/>
        <w:left w:val="none" w:sz="0" w:space="0" w:color="auto"/>
        <w:bottom w:val="none" w:sz="0" w:space="0" w:color="auto"/>
        <w:right w:val="none" w:sz="0" w:space="0" w:color="auto"/>
      </w:divBdr>
    </w:div>
    <w:div w:id="948970496">
      <w:bodyDiv w:val="1"/>
      <w:marLeft w:val="0"/>
      <w:marRight w:val="0"/>
      <w:marTop w:val="0"/>
      <w:marBottom w:val="0"/>
      <w:divBdr>
        <w:top w:val="none" w:sz="0" w:space="0" w:color="auto"/>
        <w:left w:val="none" w:sz="0" w:space="0" w:color="auto"/>
        <w:bottom w:val="none" w:sz="0" w:space="0" w:color="auto"/>
        <w:right w:val="none" w:sz="0" w:space="0" w:color="auto"/>
      </w:divBdr>
    </w:div>
    <w:div w:id="951279210">
      <w:bodyDiv w:val="1"/>
      <w:marLeft w:val="0"/>
      <w:marRight w:val="0"/>
      <w:marTop w:val="0"/>
      <w:marBottom w:val="0"/>
      <w:divBdr>
        <w:top w:val="none" w:sz="0" w:space="0" w:color="auto"/>
        <w:left w:val="none" w:sz="0" w:space="0" w:color="auto"/>
        <w:bottom w:val="none" w:sz="0" w:space="0" w:color="auto"/>
        <w:right w:val="none" w:sz="0" w:space="0" w:color="auto"/>
      </w:divBdr>
    </w:div>
    <w:div w:id="953754431">
      <w:bodyDiv w:val="1"/>
      <w:marLeft w:val="0"/>
      <w:marRight w:val="0"/>
      <w:marTop w:val="0"/>
      <w:marBottom w:val="0"/>
      <w:divBdr>
        <w:top w:val="none" w:sz="0" w:space="0" w:color="auto"/>
        <w:left w:val="none" w:sz="0" w:space="0" w:color="auto"/>
        <w:bottom w:val="none" w:sz="0" w:space="0" w:color="auto"/>
        <w:right w:val="none" w:sz="0" w:space="0" w:color="auto"/>
      </w:divBdr>
    </w:div>
    <w:div w:id="961376896">
      <w:bodyDiv w:val="1"/>
      <w:marLeft w:val="0"/>
      <w:marRight w:val="0"/>
      <w:marTop w:val="0"/>
      <w:marBottom w:val="0"/>
      <w:divBdr>
        <w:top w:val="none" w:sz="0" w:space="0" w:color="auto"/>
        <w:left w:val="none" w:sz="0" w:space="0" w:color="auto"/>
        <w:bottom w:val="none" w:sz="0" w:space="0" w:color="auto"/>
        <w:right w:val="none" w:sz="0" w:space="0" w:color="auto"/>
      </w:divBdr>
    </w:div>
    <w:div w:id="964654086">
      <w:bodyDiv w:val="1"/>
      <w:marLeft w:val="0"/>
      <w:marRight w:val="0"/>
      <w:marTop w:val="0"/>
      <w:marBottom w:val="0"/>
      <w:divBdr>
        <w:top w:val="none" w:sz="0" w:space="0" w:color="auto"/>
        <w:left w:val="none" w:sz="0" w:space="0" w:color="auto"/>
        <w:bottom w:val="none" w:sz="0" w:space="0" w:color="auto"/>
        <w:right w:val="none" w:sz="0" w:space="0" w:color="auto"/>
      </w:divBdr>
    </w:div>
    <w:div w:id="979380389">
      <w:bodyDiv w:val="1"/>
      <w:marLeft w:val="0"/>
      <w:marRight w:val="0"/>
      <w:marTop w:val="0"/>
      <w:marBottom w:val="0"/>
      <w:divBdr>
        <w:top w:val="none" w:sz="0" w:space="0" w:color="auto"/>
        <w:left w:val="none" w:sz="0" w:space="0" w:color="auto"/>
        <w:bottom w:val="none" w:sz="0" w:space="0" w:color="auto"/>
        <w:right w:val="none" w:sz="0" w:space="0" w:color="auto"/>
      </w:divBdr>
    </w:div>
    <w:div w:id="980891434">
      <w:bodyDiv w:val="1"/>
      <w:marLeft w:val="0"/>
      <w:marRight w:val="0"/>
      <w:marTop w:val="0"/>
      <w:marBottom w:val="0"/>
      <w:divBdr>
        <w:top w:val="none" w:sz="0" w:space="0" w:color="auto"/>
        <w:left w:val="none" w:sz="0" w:space="0" w:color="auto"/>
        <w:bottom w:val="none" w:sz="0" w:space="0" w:color="auto"/>
        <w:right w:val="none" w:sz="0" w:space="0" w:color="auto"/>
      </w:divBdr>
    </w:div>
    <w:div w:id="984745440">
      <w:bodyDiv w:val="1"/>
      <w:marLeft w:val="0"/>
      <w:marRight w:val="0"/>
      <w:marTop w:val="0"/>
      <w:marBottom w:val="0"/>
      <w:divBdr>
        <w:top w:val="none" w:sz="0" w:space="0" w:color="auto"/>
        <w:left w:val="none" w:sz="0" w:space="0" w:color="auto"/>
        <w:bottom w:val="none" w:sz="0" w:space="0" w:color="auto"/>
        <w:right w:val="none" w:sz="0" w:space="0" w:color="auto"/>
      </w:divBdr>
    </w:div>
    <w:div w:id="987973283">
      <w:bodyDiv w:val="1"/>
      <w:marLeft w:val="0"/>
      <w:marRight w:val="0"/>
      <w:marTop w:val="0"/>
      <w:marBottom w:val="0"/>
      <w:divBdr>
        <w:top w:val="none" w:sz="0" w:space="0" w:color="auto"/>
        <w:left w:val="none" w:sz="0" w:space="0" w:color="auto"/>
        <w:bottom w:val="none" w:sz="0" w:space="0" w:color="auto"/>
        <w:right w:val="none" w:sz="0" w:space="0" w:color="auto"/>
      </w:divBdr>
    </w:div>
    <w:div w:id="988897090">
      <w:bodyDiv w:val="1"/>
      <w:marLeft w:val="0"/>
      <w:marRight w:val="0"/>
      <w:marTop w:val="0"/>
      <w:marBottom w:val="0"/>
      <w:divBdr>
        <w:top w:val="none" w:sz="0" w:space="0" w:color="auto"/>
        <w:left w:val="none" w:sz="0" w:space="0" w:color="auto"/>
        <w:bottom w:val="none" w:sz="0" w:space="0" w:color="auto"/>
        <w:right w:val="none" w:sz="0" w:space="0" w:color="auto"/>
      </w:divBdr>
    </w:div>
    <w:div w:id="988942034">
      <w:bodyDiv w:val="1"/>
      <w:marLeft w:val="0"/>
      <w:marRight w:val="0"/>
      <w:marTop w:val="0"/>
      <w:marBottom w:val="0"/>
      <w:divBdr>
        <w:top w:val="none" w:sz="0" w:space="0" w:color="auto"/>
        <w:left w:val="none" w:sz="0" w:space="0" w:color="auto"/>
        <w:bottom w:val="none" w:sz="0" w:space="0" w:color="auto"/>
        <w:right w:val="none" w:sz="0" w:space="0" w:color="auto"/>
      </w:divBdr>
    </w:div>
    <w:div w:id="1000084294">
      <w:bodyDiv w:val="1"/>
      <w:marLeft w:val="0"/>
      <w:marRight w:val="0"/>
      <w:marTop w:val="0"/>
      <w:marBottom w:val="0"/>
      <w:divBdr>
        <w:top w:val="none" w:sz="0" w:space="0" w:color="auto"/>
        <w:left w:val="none" w:sz="0" w:space="0" w:color="auto"/>
        <w:bottom w:val="none" w:sz="0" w:space="0" w:color="auto"/>
        <w:right w:val="none" w:sz="0" w:space="0" w:color="auto"/>
      </w:divBdr>
    </w:div>
    <w:div w:id="1014577628">
      <w:bodyDiv w:val="1"/>
      <w:marLeft w:val="0"/>
      <w:marRight w:val="0"/>
      <w:marTop w:val="0"/>
      <w:marBottom w:val="0"/>
      <w:divBdr>
        <w:top w:val="none" w:sz="0" w:space="0" w:color="auto"/>
        <w:left w:val="none" w:sz="0" w:space="0" w:color="auto"/>
        <w:bottom w:val="none" w:sz="0" w:space="0" w:color="auto"/>
        <w:right w:val="none" w:sz="0" w:space="0" w:color="auto"/>
      </w:divBdr>
    </w:div>
    <w:div w:id="1016275817">
      <w:bodyDiv w:val="1"/>
      <w:marLeft w:val="0"/>
      <w:marRight w:val="0"/>
      <w:marTop w:val="0"/>
      <w:marBottom w:val="0"/>
      <w:divBdr>
        <w:top w:val="none" w:sz="0" w:space="0" w:color="auto"/>
        <w:left w:val="none" w:sz="0" w:space="0" w:color="auto"/>
        <w:bottom w:val="none" w:sz="0" w:space="0" w:color="auto"/>
        <w:right w:val="none" w:sz="0" w:space="0" w:color="auto"/>
      </w:divBdr>
    </w:div>
    <w:div w:id="1021279468">
      <w:bodyDiv w:val="1"/>
      <w:marLeft w:val="0"/>
      <w:marRight w:val="0"/>
      <w:marTop w:val="0"/>
      <w:marBottom w:val="0"/>
      <w:divBdr>
        <w:top w:val="none" w:sz="0" w:space="0" w:color="auto"/>
        <w:left w:val="none" w:sz="0" w:space="0" w:color="auto"/>
        <w:bottom w:val="none" w:sz="0" w:space="0" w:color="auto"/>
        <w:right w:val="none" w:sz="0" w:space="0" w:color="auto"/>
      </w:divBdr>
    </w:div>
    <w:div w:id="1024012975">
      <w:bodyDiv w:val="1"/>
      <w:marLeft w:val="0"/>
      <w:marRight w:val="0"/>
      <w:marTop w:val="0"/>
      <w:marBottom w:val="0"/>
      <w:divBdr>
        <w:top w:val="none" w:sz="0" w:space="0" w:color="auto"/>
        <w:left w:val="none" w:sz="0" w:space="0" w:color="auto"/>
        <w:bottom w:val="none" w:sz="0" w:space="0" w:color="auto"/>
        <w:right w:val="none" w:sz="0" w:space="0" w:color="auto"/>
      </w:divBdr>
    </w:div>
    <w:div w:id="1024746696">
      <w:bodyDiv w:val="1"/>
      <w:marLeft w:val="0"/>
      <w:marRight w:val="0"/>
      <w:marTop w:val="0"/>
      <w:marBottom w:val="0"/>
      <w:divBdr>
        <w:top w:val="none" w:sz="0" w:space="0" w:color="auto"/>
        <w:left w:val="none" w:sz="0" w:space="0" w:color="auto"/>
        <w:bottom w:val="none" w:sz="0" w:space="0" w:color="auto"/>
        <w:right w:val="none" w:sz="0" w:space="0" w:color="auto"/>
      </w:divBdr>
    </w:div>
    <w:div w:id="1027022004">
      <w:bodyDiv w:val="1"/>
      <w:marLeft w:val="0"/>
      <w:marRight w:val="0"/>
      <w:marTop w:val="0"/>
      <w:marBottom w:val="0"/>
      <w:divBdr>
        <w:top w:val="none" w:sz="0" w:space="0" w:color="auto"/>
        <w:left w:val="none" w:sz="0" w:space="0" w:color="auto"/>
        <w:bottom w:val="none" w:sz="0" w:space="0" w:color="auto"/>
        <w:right w:val="none" w:sz="0" w:space="0" w:color="auto"/>
      </w:divBdr>
    </w:div>
    <w:div w:id="1038824460">
      <w:bodyDiv w:val="1"/>
      <w:marLeft w:val="0"/>
      <w:marRight w:val="0"/>
      <w:marTop w:val="0"/>
      <w:marBottom w:val="0"/>
      <w:divBdr>
        <w:top w:val="none" w:sz="0" w:space="0" w:color="auto"/>
        <w:left w:val="none" w:sz="0" w:space="0" w:color="auto"/>
        <w:bottom w:val="none" w:sz="0" w:space="0" w:color="auto"/>
        <w:right w:val="none" w:sz="0" w:space="0" w:color="auto"/>
      </w:divBdr>
    </w:div>
    <w:div w:id="1047680835">
      <w:bodyDiv w:val="1"/>
      <w:marLeft w:val="0"/>
      <w:marRight w:val="0"/>
      <w:marTop w:val="0"/>
      <w:marBottom w:val="0"/>
      <w:divBdr>
        <w:top w:val="none" w:sz="0" w:space="0" w:color="auto"/>
        <w:left w:val="none" w:sz="0" w:space="0" w:color="auto"/>
        <w:bottom w:val="none" w:sz="0" w:space="0" w:color="auto"/>
        <w:right w:val="none" w:sz="0" w:space="0" w:color="auto"/>
      </w:divBdr>
    </w:div>
    <w:div w:id="1049305279">
      <w:bodyDiv w:val="1"/>
      <w:marLeft w:val="0"/>
      <w:marRight w:val="0"/>
      <w:marTop w:val="0"/>
      <w:marBottom w:val="0"/>
      <w:divBdr>
        <w:top w:val="none" w:sz="0" w:space="0" w:color="auto"/>
        <w:left w:val="none" w:sz="0" w:space="0" w:color="auto"/>
        <w:bottom w:val="none" w:sz="0" w:space="0" w:color="auto"/>
        <w:right w:val="none" w:sz="0" w:space="0" w:color="auto"/>
      </w:divBdr>
    </w:div>
    <w:div w:id="1051225330">
      <w:bodyDiv w:val="1"/>
      <w:marLeft w:val="0"/>
      <w:marRight w:val="0"/>
      <w:marTop w:val="0"/>
      <w:marBottom w:val="0"/>
      <w:divBdr>
        <w:top w:val="none" w:sz="0" w:space="0" w:color="auto"/>
        <w:left w:val="none" w:sz="0" w:space="0" w:color="auto"/>
        <w:bottom w:val="none" w:sz="0" w:space="0" w:color="auto"/>
        <w:right w:val="none" w:sz="0" w:space="0" w:color="auto"/>
      </w:divBdr>
    </w:div>
    <w:div w:id="1057626341">
      <w:bodyDiv w:val="1"/>
      <w:marLeft w:val="0"/>
      <w:marRight w:val="0"/>
      <w:marTop w:val="0"/>
      <w:marBottom w:val="0"/>
      <w:divBdr>
        <w:top w:val="none" w:sz="0" w:space="0" w:color="auto"/>
        <w:left w:val="none" w:sz="0" w:space="0" w:color="auto"/>
        <w:bottom w:val="none" w:sz="0" w:space="0" w:color="auto"/>
        <w:right w:val="none" w:sz="0" w:space="0" w:color="auto"/>
      </w:divBdr>
      <w:divsChild>
        <w:div w:id="247274836">
          <w:marLeft w:val="547"/>
          <w:marRight w:val="0"/>
          <w:marTop w:val="200"/>
          <w:marBottom w:val="0"/>
          <w:divBdr>
            <w:top w:val="none" w:sz="0" w:space="0" w:color="auto"/>
            <w:left w:val="none" w:sz="0" w:space="0" w:color="auto"/>
            <w:bottom w:val="none" w:sz="0" w:space="0" w:color="auto"/>
            <w:right w:val="none" w:sz="0" w:space="0" w:color="auto"/>
          </w:divBdr>
        </w:div>
        <w:div w:id="335883761">
          <w:marLeft w:val="547"/>
          <w:marRight w:val="0"/>
          <w:marTop w:val="200"/>
          <w:marBottom w:val="0"/>
          <w:divBdr>
            <w:top w:val="none" w:sz="0" w:space="0" w:color="auto"/>
            <w:left w:val="none" w:sz="0" w:space="0" w:color="auto"/>
            <w:bottom w:val="none" w:sz="0" w:space="0" w:color="auto"/>
            <w:right w:val="none" w:sz="0" w:space="0" w:color="auto"/>
          </w:divBdr>
        </w:div>
        <w:div w:id="946472042">
          <w:marLeft w:val="547"/>
          <w:marRight w:val="0"/>
          <w:marTop w:val="200"/>
          <w:marBottom w:val="0"/>
          <w:divBdr>
            <w:top w:val="none" w:sz="0" w:space="0" w:color="auto"/>
            <w:left w:val="none" w:sz="0" w:space="0" w:color="auto"/>
            <w:bottom w:val="none" w:sz="0" w:space="0" w:color="auto"/>
            <w:right w:val="none" w:sz="0" w:space="0" w:color="auto"/>
          </w:divBdr>
        </w:div>
        <w:div w:id="1578897690">
          <w:marLeft w:val="547"/>
          <w:marRight w:val="0"/>
          <w:marTop w:val="200"/>
          <w:marBottom w:val="0"/>
          <w:divBdr>
            <w:top w:val="none" w:sz="0" w:space="0" w:color="auto"/>
            <w:left w:val="none" w:sz="0" w:space="0" w:color="auto"/>
            <w:bottom w:val="none" w:sz="0" w:space="0" w:color="auto"/>
            <w:right w:val="none" w:sz="0" w:space="0" w:color="auto"/>
          </w:divBdr>
        </w:div>
      </w:divsChild>
    </w:div>
    <w:div w:id="1062481769">
      <w:bodyDiv w:val="1"/>
      <w:marLeft w:val="0"/>
      <w:marRight w:val="0"/>
      <w:marTop w:val="0"/>
      <w:marBottom w:val="0"/>
      <w:divBdr>
        <w:top w:val="none" w:sz="0" w:space="0" w:color="auto"/>
        <w:left w:val="none" w:sz="0" w:space="0" w:color="auto"/>
        <w:bottom w:val="none" w:sz="0" w:space="0" w:color="auto"/>
        <w:right w:val="none" w:sz="0" w:space="0" w:color="auto"/>
      </w:divBdr>
    </w:div>
    <w:div w:id="1068696594">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3087590">
      <w:bodyDiv w:val="1"/>
      <w:marLeft w:val="0"/>
      <w:marRight w:val="0"/>
      <w:marTop w:val="0"/>
      <w:marBottom w:val="0"/>
      <w:divBdr>
        <w:top w:val="none" w:sz="0" w:space="0" w:color="auto"/>
        <w:left w:val="none" w:sz="0" w:space="0" w:color="auto"/>
        <w:bottom w:val="none" w:sz="0" w:space="0" w:color="auto"/>
        <w:right w:val="none" w:sz="0" w:space="0" w:color="auto"/>
      </w:divBdr>
    </w:div>
    <w:div w:id="1079406966">
      <w:bodyDiv w:val="1"/>
      <w:marLeft w:val="0"/>
      <w:marRight w:val="0"/>
      <w:marTop w:val="0"/>
      <w:marBottom w:val="0"/>
      <w:divBdr>
        <w:top w:val="none" w:sz="0" w:space="0" w:color="auto"/>
        <w:left w:val="none" w:sz="0" w:space="0" w:color="auto"/>
        <w:bottom w:val="none" w:sz="0" w:space="0" w:color="auto"/>
        <w:right w:val="none" w:sz="0" w:space="0" w:color="auto"/>
      </w:divBdr>
    </w:div>
    <w:div w:id="1094592502">
      <w:bodyDiv w:val="1"/>
      <w:marLeft w:val="0"/>
      <w:marRight w:val="0"/>
      <w:marTop w:val="0"/>
      <w:marBottom w:val="0"/>
      <w:divBdr>
        <w:top w:val="none" w:sz="0" w:space="0" w:color="auto"/>
        <w:left w:val="none" w:sz="0" w:space="0" w:color="auto"/>
        <w:bottom w:val="none" w:sz="0" w:space="0" w:color="auto"/>
        <w:right w:val="none" w:sz="0" w:space="0" w:color="auto"/>
      </w:divBdr>
    </w:div>
    <w:div w:id="1111515881">
      <w:bodyDiv w:val="1"/>
      <w:marLeft w:val="0"/>
      <w:marRight w:val="0"/>
      <w:marTop w:val="0"/>
      <w:marBottom w:val="0"/>
      <w:divBdr>
        <w:top w:val="none" w:sz="0" w:space="0" w:color="auto"/>
        <w:left w:val="none" w:sz="0" w:space="0" w:color="auto"/>
        <w:bottom w:val="none" w:sz="0" w:space="0" w:color="auto"/>
        <w:right w:val="none" w:sz="0" w:space="0" w:color="auto"/>
      </w:divBdr>
    </w:div>
    <w:div w:id="1113091697">
      <w:bodyDiv w:val="1"/>
      <w:marLeft w:val="0"/>
      <w:marRight w:val="0"/>
      <w:marTop w:val="0"/>
      <w:marBottom w:val="0"/>
      <w:divBdr>
        <w:top w:val="none" w:sz="0" w:space="0" w:color="auto"/>
        <w:left w:val="none" w:sz="0" w:space="0" w:color="auto"/>
        <w:bottom w:val="none" w:sz="0" w:space="0" w:color="auto"/>
        <w:right w:val="none" w:sz="0" w:space="0" w:color="auto"/>
      </w:divBdr>
    </w:div>
    <w:div w:id="1113329368">
      <w:bodyDiv w:val="1"/>
      <w:marLeft w:val="0"/>
      <w:marRight w:val="0"/>
      <w:marTop w:val="0"/>
      <w:marBottom w:val="0"/>
      <w:divBdr>
        <w:top w:val="none" w:sz="0" w:space="0" w:color="auto"/>
        <w:left w:val="none" w:sz="0" w:space="0" w:color="auto"/>
        <w:bottom w:val="none" w:sz="0" w:space="0" w:color="auto"/>
        <w:right w:val="none" w:sz="0" w:space="0" w:color="auto"/>
      </w:divBdr>
    </w:div>
    <w:div w:id="1124428828">
      <w:bodyDiv w:val="1"/>
      <w:marLeft w:val="0"/>
      <w:marRight w:val="0"/>
      <w:marTop w:val="0"/>
      <w:marBottom w:val="0"/>
      <w:divBdr>
        <w:top w:val="none" w:sz="0" w:space="0" w:color="auto"/>
        <w:left w:val="none" w:sz="0" w:space="0" w:color="auto"/>
        <w:bottom w:val="none" w:sz="0" w:space="0" w:color="auto"/>
        <w:right w:val="none" w:sz="0" w:space="0" w:color="auto"/>
      </w:divBdr>
    </w:div>
    <w:div w:id="1125150271">
      <w:bodyDiv w:val="1"/>
      <w:marLeft w:val="0"/>
      <w:marRight w:val="0"/>
      <w:marTop w:val="0"/>
      <w:marBottom w:val="0"/>
      <w:divBdr>
        <w:top w:val="none" w:sz="0" w:space="0" w:color="auto"/>
        <w:left w:val="none" w:sz="0" w:space="0" w:color="auto"/>
        <w:bottom w:val="none" w:sz="0" w:space="0" w:color="auto"/>
        <w:right w:val="none" w:sz="0" w:space="0" w:color="auto"/>
      </w:divBdr>
      <w:divsChild>
        <w:div w:id="161622507">
          <w:marLeft w:val="662"/>
          <w:marRight w:val="0"/>
          <w:marTop w:val="60"/>
          <w:marBottom w:val="60"/>
          <w:divBdr>
            <w:top w:val="none" w:sz="0" w:space="0" w:color="auto"/>
            <w:left w:val="none" w:sz="0" w:space="0" w:color="auto"/>
            <w:bottom w:val="none" w:sz="0" w:space="0" w:color="auto"/>
            <w:right w:val="none" w:sz="0" w:space="0" w:color="auto"/>
          </w:divBdr>
        </w:div>
        <w:div w:id="693766920">
          <w:marLeft w:val="662"/>
          <w:marRight w:val="0"/>
          <w:marTop w:val="60"/>
          <w:marBottom w:val="60"/>
          <w:divBdr>
            <w:top w:val="none" w:sz="0" w:space="0" w:color="auto"/>
            <w:left w:val="none" w:sz="0" w:space="0" w:color="auto"/>
            <w:bottom w:val="none" w:sz="0" w:space="0" w:color="auto"/>
            <w:right w:val="none" w:sz="0" w:space="0" w:color="auto"/>
          </w:divBdr>
        </w:div>
        <w:div w:id="965165189">
          <w:marLeft w:val="662"/>
          <w:marRight w:val="0"/>
          <w:marTop w:val="60"/>
          <w:marBottom w:val="60"/>
          <w:divBdr>
            <w:top w:val="none" w:sz="0" w:space="0" w:color="auto"/>
            <w:left w:val="none" w:sz="0" w:space="0" w:color="auto"/>
            <w:bottom w:val="none" w:sz="0" w:space="0" w:color="auto"/>
            <w:right w:val="none" w:sz="0" w:space="0" w:color="auto"/>
          </w:divBdr>
        </w:div>
      </w:divsChild>
    </w:div>
    <w:div w:id="1131480956">
      <w:bodyDiv w:val="1"/>
      <w:marLeft w:val="0"/>
      <w:marRight w:val="0"/>
      <w:marTop w:val="0"/>
      <w:marBottom w:val="0"/>
      <w:divBdr>
        <w:top w:val="none" w:sz="0" w:space="0" w:color="auto"/>
        <w:left w:val="none" w:sz="0" w:space="0" w:color="auto"/>
        <w:bottom w:val="none" w:sz="0" w:space="0" w:color="auto"/>
        <w:right w:val="none" w:sz="0" w:space="0" w:color="auto"/>
      </w:divBdr>
    </w:div>
    <w:div w:id="1135218956">
      <w:bodyDiv w:val="1"/>
      <w:marLeft w:val="0"/>
      <w:marRight w:val="0"/>
      <w:marTop w:val="0"/>
      <w:marBottom w:val="0"/>
      <w:divBdr>
        <w:top w:val="none" w:sz="0" w:space="0" w:color="auto"/>
        <w:left w:val="none" w:sz="0" w:space="0" w:color="auto"/>
        <w:bottom w:val="none" w:sz="0" w:space="0" w:color="auto"/>
        <w:right w:val="none" w:sz="0" w:space="0" w:color="auto"/>
      </w:divBdr>
    </w:div>
    <w:div w:id="1145582688">
      <w:bodyDiv w:val="1"/>
      <w:marLeft w:val="0"/>
      <w:marRight w:val="0"/>
      <w:marTop w:val="0"/>
      <w:marBottom w:val="0"/>
      <w:divBdr>
        <w:top w:val="none" w:sz="0" w:space="0" w:color="auto"/>
        <w:left w:val="none" w:sz="0" w:space="0" w:color="auto"/>
        <w:bottom w:val="none" w:sz="0" w:space="0" w:color="auto"/>
        <w:right w:val="none" w:sz="0" w:space="0" w:color="auto"/>
      </w:divBdr>
    </w:div>
    <w:div w:id="1145925142">
      <w:bodyDiv w:val="1"/>
      <w:marLeft w:val="0"/>
      <w:marRight w:val="0"/>
      <w:marTop w:val="0"/>
      <w:marBottom w:val="0"/>
      <w:divBdr>
        <w:top w:val="none" w:sz="0" w:space="0" w:color="auto"/>
        <w:left w:val="none" w:sz="0" w:space="0" w:color="auto"/>
        <w:bottom w:val="none" w:sz="0" w:space="0" w:color="auto"/>
        <w:right w:val="none" w:sz="0" w:space="0" w:color="auto"/>
      </w:divBdr>
    </w:div>
    <w:div w:id="1152867738">
      <w:bodyDiv w:val="1"/>
      <w:marLeft w:val="0"/>
      <w:marRight w:val="0"/>
      <w:marTop w:val="0"/>
      <w:marBottom w:val="0"/>
      <w:divBdr>
        <w:top w:val="none" w:sz="0" w:space="0" w:color="auto"/>
        <w:left w:val="none" w:sz="0" w:space="0" w:color="auto"/>
        <w:bottom w:val="none" w:sz="0" w:space="0" w:color="auto"/>
        <w:right w:val="none" w:sz="0" w:space="0" w:color="auto"/>
      </w:divBdr>
    </w:div>
    <w:div w:id="1164784601">
      <w:bodyDiv w:val="1"/>
      <w:marLeft w:val="0"/>
      <w:marRight w:val="0"/>
      <w:marTop w:val="0"/>
      <w:marBottom w:val="0"/>
      <w:divBdr>
        <w:top w:val="none" w:sz="0" w:space="0" w:color="auto"/>
        <w:left w:val="none" w:sz="0" w:space="0" w:color="auto"/>
        <w:bottom w:val="none" w:sz="0" w:space="0" w:color="auto"/>
        <w:right w:val="none" w:sz="0" w:space="0" w:color="auto"/>
      </w:divBdr>
    </w:div>
    <w:div w:id="1172643962">
      <w:bodyDiv w:val="1"/>
      <w:marLeft w:val="0"/>
      <w:marRight w:val="0"/>
      <w:marTop w:val="0"/>
      <w:marBottom w:val="0"/>
      <w:divBdr>
        <w:top w:val="none" w:sz="0" w:space="0" w:color="auto"/>
        <w:left w:val="none" w:sz="0" w:space="0" w:color="auto"/>
        <w:bottom w:val="none" w:sz="0" w:space="0" w:color="auto"/>
        <w:right w:val="none" w:sz="0" w:space="0" w:color="auto"/>
      </w:divBdr>
    </w:div>
    <w:div w:id="1186405307">
      <w:bodyDiv w:val="1"/>
      <w:marLeft w:val="0"/>
      <w:marRight w:val="0"/>
      <w:marTop w:val="0"/>
      <w:marBottom w:val="0"/>
      <w:divBdr>
        <w:top w:val="none" w:sz="0" w:space="0" w:color="auto"/>
        <w:left w:val="none" w:sz="0" w:space="0" w:color="auto"/>
        <w:bottom w:val="none" w:sz="0" w:space="0" w:color="auto"/>
        <w:right w:val="none" w:sz="0" w:space="0" w:color="auto"/>
      </w:divBdr>
    </w:div>
    <w:div w:id="1187404671">
      <w:bodyDiv w:val="1"/>
      <w:marLeft w:val="0"/>
      <w:marRight w:val="0"/>
      <w:marTop w:val="0"/>
      <w:marBottom w:val="0"/>
      <w:divBdr>
        <w:top w:val="none" w:sz="0" w:space="0" w:color="auto"/>
        <w:left w:val="none" w:sz="0" w:space="0" w:color="auto"/>
        <w:bottom w:val="none" w:sz="0" w:space="0" w:color="auto"/>
        <w:right w:val="none" w:sz="0" w:space="0" w:color="auto"/>
      </w:divBdr>
      <w:divsChild>
        <w:div w:id="15694215">
          <w:marLeft w:val="0"/>
          <w:marRight w:val="0"/>
          <w:marTop w:val="0"/>
          <w:marBottom w:val="0"/>
          <w:divBdr>
            <w:top w:val="none" w:sz="0" w:space="0" w:color="auto"/>
            <w:left w:val="none" w:sz="0" w:space="0" w:color="auto"/>
            <w:bottom w:val="none" w:sz="0" w:space="0" w:color="auto"/>
            <w:right w:val="none" w:sz="0" w:space="0" w:color="auto"/>
          </w:divBdr>
        </w:div>
        <w:div w:id="57368151">
          <w:marLeft w:val="0"/>
          <w:marRight w:val="0"/>
          <w:marTop w:val="0"/>
          <w:marBottom w:val="0"/>
          <w:divBdr>
            <w:top w:val="none" w:sz="0" w:space="0" w:color="auto"/>
            <w:left w:val="none" w:sz="0" w:space="0" w:color="auto"/>
            <w:bottom w:val="none" w:sz="0" w:space="0" w:color="auto"/>
            <w:right w:val="none" w:sz="0" w:space="0" w:color="auto"/>
          </w:divBdr>
        </w:div>
        <w:div w:id="880897127">
          <w:marLeft w:val="0"/>
          <w:marRight w:val="0"/>
          <w:marTop w:val="0"/>
          <w:marBottom w:val="0"/>
          <w:divBdr>
            <w:top w:val="none" w:sz="0" w:space="0" w:color="auto"/>
            <w:left w:val="none" w:sz="0" w:space="0" w:color="auto"/>
            <w:bottom w:val="none" w:sz="0" w:space="0" w:color="auto"/>
            <w:right w:val="none" w:sz="0" w:space="0" w:color="auto"/>
          </w:divBdr>
        </w:div>
        <w:div w:id="1087387695">
          <w:marLeft w:val="0"/>
          <w:marRight w:val="0"/>
          <w:marTop w:val="0"/>
          <w:marBottom w:val="0"/>
          <w:divBdr>
            <w:top w:val="none" w:sz="0" w:space="0" w:color="auto"/>
            <w:left w:val="none" w:sz="0" w:space="0" w:color="auto"/>
            <w:bottom w:val="none" w:sz="0" w:space="0" w:color="auto"/>
            <w:right w:val="none" w:sz="0" w:space="0" w:color="auto"/>
          </w:divBdr>
        </w:div>
        <w:div w:id="1155561459">
          <w:marLeft w:val="0"/>
          <w:marRight w:val="0"/>
          <w:marTop w:val="0"/>
          <w:marBottom w:val="0"/>
          <w:divBdr>
            <w:top w:val="none" w:sz="0" w:space="0" w:color="auto"/>
            <w:left w:val="none" w:sz="0" w:space="0" w:color="auto"/>
            <w:bottom w:val="none" w:sz="0" w:space="0" w:color="auto"/>
            <w:right w:val="none" w:sz="0" w:space="0" w:color="auto"/>
          </w:divBdr>
        </w:div>
        <w:div w:id="1290207776">
          <w:marLeft w:val="0"/>
          <w:marRight w:val="0"/>
          <w:marTop w:val="0"/>
          <w:marBottom w:val="0"/>
          <w:divBdr>
            <w:top w:val="none" w:sz="0" w:space="0" w:color="auto"/>
            <w:left w:val="none" w:sz="0" w:space="0" w:color="auto"/>
            <w:bottom w:val="none" w:sz="0" w:space="0" w:color="auto"/>
            <w:right w:val="none" w:sz="0" w:space="0" w:color="auto"/>
          </w:divBdr>
        </w:div>
        <w:div w:id="1334994502">
          <w:marLeft w:val="0"/>
          <w:marRight w:val="0"/>
          <w:marTop w:val="0"/>
          <w:marBottom w:val="0"/>
          <w:divBdr>
            <w:top w:val="none" w:sz="0" w:space="0" w:color="auto"/>
            <w:left w:val="none" w:sz="0" w:space="0" w:color="auto"/>
            <w:bottom w:val="none" w:sz="0" w:space="0" w:color="auto"/>
            <w:right w:val="none" w:sz="0" w:space="0" w:color="auto"/>
          </w:divBdr>
        </w:div>
        <w:div w:id="1506284247">
          <w:marLeft w:val="0"/>
          <w:marRight w:val="0"/>
          <w:marTop w:val="0"/>
          <w:marBottom w:val="0"/>
          <w:divBdr>
            <w:top w:val="none" w:sz="0" w:space="0" w:color="auto"/>
            <w:left w:val="none" w:sz="0" w:space="0" w:color="auto"/>
            <w:bottom w:val="none" w:sz="0" w:space="0" w:color="auto"/>
            <w:right w:val="none" w:sz="0" w:space="0" w:color="auto"/>
          </w:divBdr>
        </w:div>
        <w:div w:id="1656176473">
          <w:marLeft w:val="0"/>
          <w:marRight w:val="0"/>
          <w:marTop w:val="0"/>
          <w:marBottom w:val="0"/>
          <w:divBdr>
            <w:top w:val="none" w:sz="0" w:space="0" w:color="auto"/>
            <w:left w:val="none" w:sz="0" w:space="0" w:color="auto"/>
            <w:bottom w:val="none" w:sz="0" w:space="0" w:color="auto"/>
            <w:right w:val="none" w:sz="0" w:space="0" w:color="auto"/>
          </w:divBdr>
        </w:div>
        <w:div w:id="1771467835">
          <w:marLeft w:val="0"/>
          <w:marRight w:val="0"/>
          <w:marTop w:val="0"/>
          <w:marBottom w:val="0"/>
          <w:divBdr>
            <w:top w:val="none" w:sz="0" w:space="0" w:color="auto"/>
            <w:left w:val="none" w:sz="0" w:space="0" w:color="auto"/>
            <w:bottom w:val="none" w:sz="0" w:space="0" w:color="auto"/>
            <w:right w:val="none" w:sz="0" w:space="0" w:color="auto"/>
          </w:divBdr>
        </w:div>
      </w:divsChild>
    </w:div>
    <w:div w:id="1199471750">
      <w:bodyDiv w:val="1"/>
      <w:marLeft w:val="0"/>
      <w:marRight w:val="0"/>
      <w:marTop w:val="0"/>
      <w:marBottom w:val="0"/>
      <w:divBdr>
        <w:top w:val="none" w:sz="0" w:space="0" w:color="auto"/>
        <w:left w:val="none" w:sz="0" w:space="0" w:color="auto"/>
        <w:bottom w:val="none" w:sz="0" w:space="0" w:color="auto"/>
        <w:right w:val="none" w:sz="0" w:space="0" w:color="auto"/>
      </w:divBdr>
    </w:div>
    <w:div w:id="1205676235">
      <w:bodyDiv w:val="1"/>
      <w:marLeft w:val="0"/>
      <w:marRight w:val="0"/>
      <w:marTop w:val="0"/>
      <w:marBottom w:val="0"/>
      <w:divBdr>
        <w:top w:val="none" w:sz="0" w:space="0" w:color="auto"/>
        <w:left w:val="none" w:sz="0" w:space="0" w:color="auto"/>
        <w:bottom w:val="none" w:sz="0" w:space="0" w:color="auto"/>
        <w:right w:val="none" w:sz="0" w:space="0" w:color="auto"/>
      </w:divBdr>
    </w:div>
    <w:div w:id="1209875907">
      <w:bodyDiv w:val="1"/>
      <w:marLeft w:val="0"/>
      <w:marRight w:val="0"/>
      <w:marTop w:val="0"/>
      <w:marBottom w:val="0"/>
      <w:divBdr>
        <w:top w:val="none" w:sz="0" w:space="0" w:color="auto"/>
        <w:left w:val="none" w:sz="0" w:space="0" w:color="auto"/>
        <w:bottom w:val="none" w:sz="0" w:space="0" w:color="auto"/>
        <w:right w:val="none" w:sz="0" w:space="0" w:color="auto"/>
      </w:divBdr>
    </w:div>
    <w:div w:id="1212498799">
      <w:bodyDiv w:val="1"/>
      <w:marLeft w:val="0"/>
      <w:marRight w:val="0"/>
      <w:marTop w:val="0"/>
      <w:marBottom w:val="0"/>
      <w:divBdr>
        <w:top w:val="none" w:sz="0" w:space="0" w:color="auto"/>
        <w:left w:val="none" w:sz="0" w:space="0" w:color="auto"/>
        <w:bottom w:val="none" w:sz="0" w:space="0" w:color="auto"/>
        <w:right w:val="none" w:sz="0" w:space="0" w:color="auto"/>
      </w:divBdr>
    </w:div>
    <w:div w:id="1222138770">
      <w:bodyDiv w:val="1"/>
      <w:marLeft w:val="0"/>
      <w:marRight w:val="0"/>
      <w:marTop w:val="0"/>
      <w:marBottom w:val="0"/>
      <w:divBdr>
        <w:top w:val="none" w:sz="0" w:space="0" w:color="auto"/>
        <w:left w:val="none" w:sz="0" w:space="0" w:color="auto"/>
        <w:bottom w:val="none" w:sz="0" w:space="0" w:color="auto"/>
        <w:right w:val="none" w:sz="0" w:space="0" w:color="auto"/>
      </w:divBdr>
    </w:div>
    <w:div w:id="1230074048">
      <w:bodyDiv w:val="1"/>
      <w:marLeft w:val="0"/>
      <w:marRight w:val="0"/>
      <w:marTop w:val="0"/>
      <w:marBottom w:val="0"/>
      <w:divBdr>
        <w:top w:val="none" w:sz="0" w:space="0" w:color="auto"/>
        <w:left w:val="none" w:sz="0" w:space="0" w:color="auto"/>
        <w:bottom w:val="none" w:sz="0" w:space="0" w:color="auto"/>
        <w:right w:val="none" w:sz="0" w:space="0" w:color="auto"/>
      </w:divBdr>
    </w:div>
    <w:div w:id="1253587808">
      <w:bodyDiv w:val="1"/>
      <w:marLeft w:val="0"/>
      <w:marRight w:val="0"/>
      <w:marTop w:val="0"/>
      <w:marBottom w:val="0"/>
      <w:divBdr>
        <w:top w:val="none" w:sz="0" w:space="0" w:color="auto"/>
        <w:left w:val="none" w:sz="0" w:space="0" w:color="auto"/>
        <w:bottom w:val="none" w:sz="0" w:space="0" w:color="auto"/>
        <w:right w:val="none" w:sz="0" w:space="0" w:color="auto"/>
      </w:divBdr>
    </w:div>
    <w:div w:id="1254438325">
      <w:bodyDiv w:val="1"/>
      <w:marLeft w:val="0"/>
      <w:marRight w:val="0"/>
      <w:marTop w:val="0"/>
      <w:marBottom w:val="0"/>
      <w:divBdr>
        <w:top w:val="none" w:sz="0" w:space="0" w:color="auto"/>
        <w:left w:val="none" w:sz="0" w:space="0" w:color="auto"/>
        <w:bottom w:val="none" w:sz="0" w:space="0" w:color="auto"/>
        <w:right w:val="none" w:sz="0" w:space="0" w:color="auto"/>
      </w:divBdr>
    </w:div>
    <w:div w:id="1263759827">
      <w:bodyDiv w:val="1"/>
      <w:marLeft w:val="0"/>
      <w:marRight w:val="0"/>
      <w:marTop w:val="0"/>
      <w:marBottom w:val="0"/>
      <w:divBdr>
        <w:top w:val="none" w:sz="0" w:space="0" w:color="auto"/>
        <w:left w:val="none" w:sz="0" w:space="0" w:color="auto"/>
        <w:bottom w:val="none" w:sz="0" w:space="0" w:color="auto"/>
        <w:right w:val="none" w:sz="0" w:space="0" w:color="auto"/>
      </w:divBdr>
    </w:div>
    <w:div w:id="1274361022">
      <w:bodyDiv w:val="1"/>
      <w:marLeft w:val="0"/>
      <w:marRight w:val="0"/>
      <w:marTop w:val="0"/>
      <w:marBottom w:val="0"/>
      <w:divBdr>
        <w:top w:val="none" w:sz="0" w:space="0" w:color="auto"/>
        <w:left w:val="none" w:sz="0" w:space="0" w:color="auto"/>
        <w:bottom w:val="none" w:sz="0" w:space="0" w:color="auto"/>
        <w:right w:val="none" w:sz="0" w:space="0" w:color="auto"/>
      </w:divBdr>
    </w:div>
    <w:div w:id="1283338940">
      <w:bodyDiv w:val="1"/>
      <w:marLeft w:val="0"/>
      <w:marRight w:val="0"/>
      <w:marTop w:val="0"/>
      <w:marBottom w:val="0"/>
      <w:divBdr>
        <w:top w:val="none" w:sz="0" w:space="0" w:color="auto"/>
        <w:left w:val="none" w:sz="0" w:space="0" w:color="auto"/>
        <w:bottom w:val="none" w:sz="0" w:space="0" w:color="auto"/>
        <w:right w:val="none" w:sz="0" w:space="0" w:color="auto"/>
      </w:divBdr>
    </w:div>
    <w:div w:id="1292979000">
      <w:bodyDiv w:val="1"/>
      <w:marLeft w:val="0"/>
      <w:marRight w:val="0"/>
      <w:marTop w:val="0"/>
      <w:marBottom w:val="0"/>
      <w:divBdr>
        <w:top w:val="none" w:sz="0" w:space="0" w:color="auto"/>
        <w:left w:val="none" w:sz="0" w:space="0" w:color="auto"/>
        <w:bottom w:val="none" w:sz="0" w:space="0" w:color="auto"/>
        <w:right w:val="none" w:sz="0" w:space="0" w:color="auto"/>
      </w:divBdr>
    </w:div>
    <w:div w:id="1294754355">
      <w:bodyDiv w:val="1"/>
      <w:marLeft w:val="0"/>
      <w:marRight w:val="0"/>
      <w:marTop w:val="0"/>
      <w:marBottom w:val="0"/>
      <w:divBdr>
        <w:top w:val="none" w:sz="0" w:space="0" w:color="auto"/>
        <w:left w:val="none" w:sz="0" w:space="0" w:color="auto"/>
        <w:bottom w:val="none" w:sz="0" w:space="0" w:color="auto"/>
        <w:right w:val="none" w:sz="0" w:space="0" w:color="auto"/>
      </w:divBdr>
    </w:div>
    <w:div w:id="1301573409">
      <w:bodyDiv w:val="1"/>
      <w:marLeft w:val="0"/>
      <w:marRight w:val="0"/>
      <w:marTop w:val="0"/>
      <w:marBottom w:val="0"/>
      <w:divBdr>
        <w:top w:val="none" w:sz="0" w:space="0" w:color="auto"/>
        <w:left w:val="none" w:sz="0" w:space="0" w:color="auto"/>
        <w:bottom w:val="none" w:sz="0" w:space="0" w:color="auto"/>
        <w:right w:val="none" w:sz="0" w:space="0" w:color="auto"/>
      </w:divBdr>
    </w:div>
    <w:div w:id="1303458293">
      <w:bodyDiv w:val="1"/>
      <w:marLeft w:val="0"/>
      <w:marRight w:val="0"/>
      <w:marTop w:val="0"/>
      <w:marBottom w:val="0"/>
      <w:divBdr>
        <w:top w:val="none" w:sz="0" w:space="0" w:color="auto"/>
        <w:left w:val="none" w:sz="0" w:space="0" w:color="auto"/>
        <w:bottom w:val="none" w:sz="0" w:space="0" w:color="auto"/>
        <w:right w:val="none" w:sz="0" w:space="0" w:color="auto"/>
      </w:divBdr>
    </w:div>
    <w:div w:id="1308584146">
      <w:bodyDiv w:val="1"/>
      <w:marLeft w:val="0"/>
      <w:marRight w:val="0"/>
      <w:marTop w:val="0"/>
      <w:marBottom w:val="0"/>
      <w:divBdr>
        <w:top w:val="none" w:sz="0" w:space="0" w:color="auto"/>
        <w:left w:val="none" w:sz="0" w:space="0" w:color="auto"/>
        <w:bottom w:val="none" w:sz="0" w:space="0" w:color="auto"/>
        <w:right w:val="none" w:sz="0" w:space="0" w:color="auto"/>
      </w:divBdr>
    </w:div>
    <w:div w:id="1330524548">
      <w:bodyDiv w:val="1"/>
      <w:marLeft w:val="0"/>
      <w:marRight w:val="0"/>
      <w:marTop w:val="0"/>
      <w:marBottom w:val="0"/>
      <w:divBdr>
        <w:top w:val="none" w:sz="0" w:space="0" w:color="auto"/>
        <w:left w:val="none" w:sz="0" w:space="0" w:color="auto"/>
        <w:bottom w:val="none" w:sz="0" w:space="0" w:color="auto"/>
        <w:right w:val="none" w:sz="0" w:space="0" w:color="auto"/>
      </w:divBdr>
      <w:divsChild>
        <w:div w:id="1133408222">
          <w:marLeft w:val="432"/>
          <w:marRight w:val="0"/>
          <w:marTop w:val="0"/>
          <w:marBottom w:val="0"/>
          <w:divBdr>
            <w:top w:val="none" w:sz="0" w:space="0" w:color="auto"/>
            <w:left w:val="none" w:sz="0" w:space="0" w:color="auto"/>
            <w:bottom w:val="none" w:sz="0" w:space="0" w:color="auto"/>
            <w:right w:val="none" w:sz="0" w:space="0" w:color="auto"/>
          </w:divBdr>
        </w:div>
      </w:divsChild>
    </w:div>
    <w:div w:id="1338263433">
      <w:bodyDiv w:val="1"/>
      <w:marLeft w:val="0"/>
      <w:marRight w:val="0"/>
      <w:marTop w:val="0"/>
      <w:marBottom w:val="0"/>
      <w:divBdr>
        <w:top w:val="none" w:sz="0" w:space="0" w:color="auto"/>
        <w:left w:val="none" w:sz="0" w:space="0" w:color="auto"/>
        <w:bottom w:val="none" w:sz="0" w:space="0" w:color="auto"/>
        <w:right w:val="none" w:sz="0" w:space="0" w:color="auto"/>
      </w:divBdr>
    </w:div>
    <w:div w:id="1339700555">
      <w:bodyDiv w:val="1"/>
      <w:marLeft w:val="0"/>
      <w:marRight w:val="0"/>
      <w:marTop w:val="0"/>
      <w:marBottom w:val="0"/>
      <w:divBdr>
        <w:top w:val="none" w:sz="0" w:space="0" w:color="auto"/>
        <w:left w:val="none" w:sz="0" w:space="0" w:color="auto"/>
        <w:bottom w:val="none" w:sz="0" w:space="0" w:color="auto"/>
        <w:right w:val="none" w:sz="0" w:space="0" w:color="auto"/>
      </w:divBdr>
      <w:divsChild>
        <w:div w:id="205067454">
          <w:marLeft w:val="144"/>
          <w:marRight w:val="0"/>
          <w:marTop w:val="0"/>
          <w:marBottom w:val="0"/>
          <w:divBdr>
            <w:top w:val="none" w:sz="0" w:space="0" w:color="auto"/>
            <w:left w:val="none" w:sz="0" w:space="0" w:color="auto"/>
            <w:bottom w:val="none" w:sz="0" w:space="0" w:color="auto"/>
            <w:right w:val="none" w:sz="0" w:space="0" w:color="auto"/>
          </w:divBdr>
        </w:div>
        <w:div w:id="246617012">
          <w:marLeft w:val="144"/>
          <w:marRight w:val="0"/>
          <w:marTop w:val="0"/>
          <w:marBottom w:val="0"/>
          <w:divBdr>
            <w:top w:val="none" w:sz="0" w:space="0" w:color="auto"/>
            <w:left w:val="none" w:sz="0" w:space="0" w:color="auto"/>
            <w:bottom w:val="none" w:sz="0" w:space="0" w:color="auto"/>
            <w:right w:val="none" w:sz="0" w:space="0" w:color="auto"/>
          </w:divBdr>
        </w:div>
        <w:div w:id="283854292">
          <w:marLeft w:val="144"/>
          <w:marRight w:val="0"/>
          <w:marTop w:val="0"/>
          <w:marBottom w:val="0"/>
          <w:divBdr>
            <w:top w:val="none" w:sz="0" w:space="0" w:color="auto"/>
            <w:left w:val="none" w:sz="0" w:space="0" w:color="auto"/>
            <w:bottom w:val="none" w:sz="0" w:space="0" w:color="auto"/>
            <w:right w:val="none" w:sz="0" w:space="0" w:color="auto"/>
          </w:divBdr>
        </w:div>
        <w:div w:id="295374301">
          <w:marLeft w:val="144"/>
          <w:marRight w:val="0"/>
          <w:marTop w:val="0"/>
          <w:marBottom w:val="0"/>
          <w:divBdr>
            <w:top w:val="none" w:sz="0" w:space="0" w:color="auto"/>
            <w:left w:val="none" w:sz="0" w:space="0" w:color="auto"/>
            <w:bottom w:val="none" w:sz="0" w:space="0" w:color="auto"/>
            <w:right w:val="none" w:sz="0" w:space="0" w:color="auto"/>
          </w:divBdr>
        </w:div>
        <w:div w:id="312873006">
          <w:marLeft w:val="144"/>
          <w:marRight w:val="0"/>
          <w:marTop w:val="0"/>
          <w:marBottom w:val="0"/>
          <w:divBdr>
            <w:top w:val="none" w:sz="0" w:space="0" w:color="auto"/>
            <w:left w:val="none" w:sz="0" w:space="0" w:color="auto"/>
            <w:bottom w:val="none" w:sz="0" w:space="0" w:color="auto"/>
            <w:right w:val="none" w:sz="0" w:space="0" w:color="auto"/>
          </w:divBdr>
        </w:div>
        <w:div w:id="416635955">
          <w:marLeft w:val="144"/>
          <w:marRight w:val="0"/>
          <w:marTop w:val="0"/>
          <w:marBottom w:val="0"/>
          <w:divBdr>
            <w:top w:val="none" w:sz="0" w:space="0" w:color="auto"/>
            <w:left w:val="none" w:sz="0" w:space="0" w:color="auto"/>
            <w:bottom w:val="none" w:sz="0" w:space="0" w:color="auto"/>
            <w:right w:val="none" w:sz="0" w:space="0" w:color="auto"/>
          </w:divBdr>
        </w:div>
        <w:div w:id="461193877">
          <w:marLeft w:val="144"/>
          <w:marRight w:val="0"/>
          <w:marTop w:val="0"/>
          <w:marBottom w:val="0"/>
          <w:divBdr>
            <w:top w:val="none" w:sz="0" w:space="0" w:color="auto"/>
            <w:left w:val="none" w:sz="0" w:space="0" w:color="auto"/>
            <w:bottom w:val="none" w:sz="0" w:space="0" w:color="auto"/>
            <w:right w:val="none" w:sz="0" w:space="0" w:color="auto"/>
          </w:divBdr>
        </w:div>
        <w:div w:id="567613249">
          <w:marLeft w:val="144"/>
          <w:marRight w:val="0"/>
          <w:marTop w:val="0"/>
          <w:marBottom w:val="0"/>
          <w:divBdr>
            <w:top w:val="none" w:sz="0" w:space="0" w:color="auto"/>
            <w:left w:val="none" w:sz="0" w:space="0" w:color="auto"/>
            <w:bottom w:val="none" w:sz="0" w:space="0" w:color="auto"/>
            <w:right w:val="none" w:sz="0" w:space="0" w:color="auto"/>
          </w:divBdr>
        </w:div>
        <w:div w:id="582688667">
          <w:marLeft w:val="144"/>
          <w:marRight w:val="0"/>
          <w:marTop w:val="0"/>
          <w:marBottom w:val="0"/>
          <w:divBdr>
            <w:top w:val="none" w:sz="0" w:space="0" w:color="auto"/>
            <w:left w:val="none" w:sz="0" w:space="0" w:color="auto"/>
            <w:bottom w:val="none" w:sz="0" w:space="0" w:color="auto"/>
            <w:right w:val="none" w:sz="0" w:space="0" w:color="auto"/>
          </w:divBdr>
        </w:div>
        <w:div w:id="584535303">
          <w:marLeft w:val="144"/>
          <w:marRight w:val="0"/>
          <w:marTop w:val="0"/>
          <w:marBottom w:val="0"/>
          <w:divBdr>
            <w:top w:val="none" w:sz="0" w:space="0" w:color="auto"/>
            <w:left w:val="none" w:sz="0" w:space="0" w:color="auto"/>
            <w:bottom w:val="none" w:sz="0" w:space="0" w:color="auto"/>
            <w:right w:val="none" w:sz="0" w:space="0" w:color="auto"/>
          </w:divBdr>
        </w:div>
        <w:div w:id="609360795">
          <w:marLeft w:val="144"/>
          <w:marRight w:val="0"/>
          <w:marTop w:val="0"/>
          <w:marBottom w:val="0"/>
          <w:divBdr>
            <w:top w:val="none" w:sz="0" w:space="0" w:color="auto"/>
            <w:left w:val="none" w:sz="0" w:space="0" w:color="auto"/>
            <w:bottom w:val="none" w:sz="0" w:space="0" w:color="auto"/>
            <w:right w:val="none" w:sz="0" w:space="0" w:color="auto"/>
          </w:divBdr>
        </w:div>
        <w:div w:id="634915861">
          <w:marLeft w:val="144"/>
          <w:marRight w:val="0"/>
          <w:marTop w:val="0"/>
          <w:marBottom w:val="0"/>
          <w:divBdr>
            <w:top w:val="none" w:sz="0" w:space="0" w:color="auto"/>
            <w:left w:val="none" w:sz="0" w:space="0" w:color="auto"/>
            <w:bottom w:val="none" w:sz="0" w:space="0" w:color="auto"/>
            <w:right w:val="none" w:sz="0" w:space="0" w:color="auto"/>
          </w:divBdr>
        </w:div>
        <w:div w:id="645822610">
          <w:marLeft w:val="144"/>
          <w:marRight w:val="0"/>
          <w:marTop w:val="0"/>
          <w:marBottom w:val="0"/>
          <w:divBdr>
            <w:top w:val="none" w:sz="0" w:space="0" w:color="auto"/>
            <w:left w:val="none" w:sz="0" w:space="0" w:color="auto"/>
            <w:bottom w:val="none" w:sz="0" w:space="0" w:color="auto"/>
            <w:right w:val="none" w:sz="0" w:space="0" w:color="auto"/>
          </w:divBdr>
        </w:div>
        <w:div w:id="659239142">
          <w:marLeft w:val="144"/>
          <w:marRight w:val="0"/>
          <w:marTop w:val="0"/>
          <w:marBottom w:val="0"/>
          <w:divBdr>
            <w:top w:val="none" w:sz="0" w:space="0" w:color="auto"/>
            <w:left w:val="none" w:sz="0" w:space="0" w:color="auto"/>
            <w:bottom w:val="none" w:sz="0" w:space="0" w:color="auto"/>
            <w:right w:val="none" w:sz="0" w:space="0" w:color="auto"/>
          </w:divBdr>
        </w:div>
        <w:div w:id="684132252">
          <w:marLeft w:val="144"/>
          <w:marRight w:val="0"/>
          <w:marTop w:val="0"/>
          <w:marBottom w:val="0"/>
          <w:divBdr>
            <w:top w:val="none" w:sz="0" w:space="0" w:color="auto"/>
            <w:left w:val="none" w:sz="0" w:space="0" w:color="auto"/>
            <w:bottom w:val="none" w:sz="0" w:space="0" w:color="auto"/>
            <w:right w:val="none" w:sz="0" w:space="0" w:color="auto"/>
          </w:divBdr>
        </w:div>
        <w:div w:id="722679113">
          <w:marLeft w:val="144"/>
          <w:marRight w:val="0"/>
          <w:marTop w:val="0"/>
          <w:marBottom w:val="0"/>
          <w:divBdr>
            <w:top w:val="none" w:sz="0" w:space="0" w:color="auto"/>
            <w:left w:val="none" w:sz="0" w:space="0" w:color="auto"/>
            <w:bottom w:val="none" w:sz="0" w:space="0" w:color="auto"/>
            <w:right w:val="none" w:sz="0" w:space="0" w:color="auto"/>
          </w:divBdr>
        </w:div>
        <w:div w:id="740953490">
          <w:marLeft w:val="144"/>
          <w:marRight w:val="0"/>
          <w:marTop w:val="0"/>
          <w:marBottom w:val="0"/>
          <w:divBdr>
            <w:top w:val="none" w:sz="0" w:space="0" w:color="auto"/>
            <w:left w:val="none" w:sz="0" w:space="0" w:color="auto"/>
            <w:bottom w:val="none" w:sz="0" w:space="0" w:color="auto"/>
            <w:right w:val="none" w:sz="0" w:space="0" w:color="auto"/>
          </w:divBdr>
        </w:div>
        <w:div w:id="786048760">
          <w:marLeft w:val="144"/>
          <w:marRight w:val="0"/>
          <w:marTop w:val="0"/>
          <w:marBottom w:val="0"/>
          <w:divBdr>
            <w:top w:val="none" w:sz="0" w:space="0" w:color="auto"/>
            <w:left w:val="none" w:sz="0" w:space="0" w:color="auto"/>
            <w:bottom w:val="none" w:sz="0" w:space="0" w:color="auto"/>
            <w:right w:val="none" w:sz="0" w:space="0" w:color="auto"/>
          </w:divBdr>
        </w:div>
        <w:div w:id="859777216">
          <w:marLeft w:val="144"/>
          <w:marRight w:val="0"/>
          <w:marTop w:val="0"/>
          <w:marBottom w:val="0"/>
          <w:divBdr>
            <w:top w:val="none" w:sz="0" w:space="0" w:color="auto"/>
            <w:left w:val="none" w:sz="0" w:space="0" w:color="auto"/>
            <w:bottom w:val="none" w:sz="0" w:space="0" w:color="auto"/>
            <w:right w:val="none" w:sz="0" w:space="0" w:color="auto"/>
          </w:divBdr>
        </w:div>
        <w:div w:id="929125088">
          <w:marLeft w:val="144"/>
          <w:marRight w:val="0"/>
          <w:marTop w:val="0"/>
          <w:marBottom w:val="0"/>
          <w:divBdr>
            <w:top w:val="none" w:sz="0" w:space="0" w:color="auto"/>
            <w:left w:val="none" w:sz="0" w:space="0" w:color="auto"/>
            <w:bottom w:val="none" w:sz="0" w:space="0" w:color="auto"/>
            <w:right w:val="none" w:sz="0" w:space="0" w:color="auto"/>
          </w:divBdr>
        </w:div>
        <w:div w:id="955334567">
          <w:marLeft w:val="144"/>
          <w:marRight w:val="0"/>
          <w:marTop w:val="0"/>
          <w:marBottom w:val="0"/>
          <w:divBdr>
            <w:top w:val="none" w:sz="0" w:space="0" w:color="auto"/>
            <w:left w:val="none" w:sz="0" w:space="0" w:color="auto"/>
            <w:bottom w:val="none" w:sz="0" w:space="0" w:color="auto"/>
            <w:right w:val="none" w:sz="0" w:space="0" w:color="auto"/>
          </w:divBdr>
        </w:div>
        <w:div w:id="1095177160">
          <w:marLeft w:val="144"/>
          <w:marRight w:val="0"/>
          <w:marTop w:val="0"/>
          <w:marBottom w:val="0"/>
          <w:divBdr>
            <w:top w:val="none" w:sz="0" w:space="0" w:color="auto"/>
            <w:left w:val="none" w:sz="0" w:space="0" w:color="auto"/>
            <w:bottom w:val="none" w:sz="0" w:space="0" w:color="auto"/>
            <w:right w:val="none" w:sz="0" w:space="0" w:color="auto"/>
          </w:divBdr>
        </w:div>
        <w:div w:id="1116945343">
          <w:marLeft w:val="144"/>
          <w:marRight w:val="0"/>
          <w:marTop w:val="0"/>
          <w:marBottom w:val="0"/>
          <w:divBdr>
            <w:top w:val="none" w:sz="0" w:space="0" w:color="auto"/>
            <w:left w:val="none" w:sz="0" w:space="0" w:color="auto"/>
            <w:bottom w:val="none" w:sz="0" w:space="0" w:color="auto"/>
            <w:right w:val="none" w:sz="0" w:space="0" w:color="auto"/>
          </w:divBdr>
        </w:div>
        <w:div w:id="1215460996">
          <w:marLeft w:val="144"/>
          <w:marRight w:val="0"/>
          <w:marTop w:val="0"/>
          <w:marBottom w:val="0"/>
          <w:divBdr>
            <w:top w:val="none" w:sz="0" w:space="0" w:color="auto"/>
            <w:left w:val="none" w:sz="0" w:space="0" w:color="auto"/>
            <w:bottom w:val="none" w:sz="0" w:space="0" w:color="auto"/>
            <w:right w:val="none" w:sz="0" w:space="0" w:color="auto"/>
          </w:divBdr>
        </w:div>
        <w:div w:id="1225604692">
          <w:marLeft w:val="144"/>
          <w:marRight w:val="0"/>
          <w:marTop w:val="0"/>
          <w:marBottom w:val="0"/>
          <w:divBdr>
            <w:top w:val="none" w:sz="0" w:space="0" w:color="auto"/>
            <w:left w:val="none" w:sz="0" w:space="0" w:color="auto"/>
            <w:bottom w:val="none" w:sz="0" w:space="0" w:color="auto"/>
            <w:right w:val="none" w:sz="0" w:space="0" w:color="auto"/>
          </w:divBdr>
        </w:div>
        <w:div w:id="1292007948">
          <w:marLeft w:val="144"/>
          <w:marRight w:val="0"/>
          <w:marTop w:val="0"/>
          <w:marBottom w:val="0"/>
          <w:divBdr>
            <w:top w:val="none" w:sz="0" w:space="0" w:color="auto"/>
            <w:left w:val="none" w:sz="0" w:space="0" w:color="auto"/>
            <w:bottom w:val="none" w:sz="0" w:space="0" w:color="auto"/>
            <w:right w:val="none" w:sz="0" w:space="0" w:color="auto"/>
          </w:divBdr>
        </w:div>
        <w:div w:id="1314945261">
          <w:marLeft w:val="144"/>
          <w:marRight w:val="0"/>
          <w:marTop w:val="0"/>
          <w:marBottom w:val="0"/>
          <w:divBdr>
            <w:top w:val="none" w:sz="0" w:space="0" w:color="auto"/>
            <w:left w:val="none" w:sz="0" w:space="0" w:color="auto"/>
            <w:bottom w:val="none" w:sz="0" w:space="0" w:color="auto"/>
            <w:right w:val="none" w:sz="0" w:space="0" w:color="auto"/>
          </w:divBdr>
        </w:div>
        <w:div w:id="1341851680">
          <w:marLeft w:val="144"/>
          <w:marRight w:val="0"/>
          <w:marTop w:val="0"/>
          <w:marBottom w:val="0"/>
          <w:divBdr>
            <w:top w:val="none" w:sz="0" w:space="0" w:color="auto"/>
            <w:left w:val="none" w:sz="0" w:space="0" w:color="auto"/>
            <w:bottom w:val="none" w:sz="0" w:space="0" w:color="auto"/>
            <w:right w:val="none" w:sz="0" w:space="0" w:color="auto"/>
          </w:divBdr>
        </w:div>
        <w:div w:id="1383091862">
          <w:marLeft w:val="144"/>
          <w:marRight w:val="0"/>
          <w:marTop w:val="0"/>
          <w:marBottom w:val="0"/>
          <w:divBdr>
            <w:top w:val="none" w:sz="0" w:space="0" w:color="auto"/>
            <w:left w:val="none" w:sz="0" w:space="0" w:color="auto"/>
            <w:bottom w:val="none" w:sz="0" w:space="0" w:color="auto"/>
            <w:right w:val="none" w:sz="0" w:space="0" w:color="auto"/>
          </w:divBdr>
        </w:div>
        <w:div w:id="1462647192">
          <w:marLeft w:val="144"/>
          <w:marRight w:val="0"/>
          <w:marTop w:val="0"/>
          <w:marBottom w:val="0"/>
          <w:divBdr>
            <w:top w:val="none" w:sz="0" w:space="0" w:color="auto"/>
            <w:left w:val="none" w:sz="0" w:space="0" w:color="auto"/>
            <w:bottom w:val="none" w:sz="0" w:space="0" w:color="auto"/>
            <w:right w:val="none" w:sz="0" w:space="0" w:color="auto"/>
          </w:divBdr>
        </w:div>
        <w:div w:id="1546596188">
          <w:marLeft w:val="144"/>
          <w:marRight w:val="0"/>
          <w:marTop w:val="0"/>
          <w:marBottom w:val="0"/>
          <w:divBdr>
            <w:top w:val="none" w:sz="0" w:space="0" w:color="auto"/>
            <w:left w:val="none" w:sz="0" w:space="0" w:color="auto"/>
            <w:bottom w:val="none" w:sz="0" w:space="0" w:color="auto"/>
            <w:right w:val="none" w:sz="0" w:space="0" w:color="auto"/>
          </w:divBdr>
        </w:div>
        <w:div w:id="1557009894">
          <w:marLeft w:val="144"/>
          <w:marRight w:val="0"/>
          <w:marTop w:val="0"/>
          <w:marBottom w:val="0"/>
          <w:divBdr>
            <w:top w:val="none" w:sz="0" w:space="0" w:color="auto"/>
            <w:left w:val="none" w:sz="0" w:space="0" w:color="auto"/>
            <w:bottom w:val="none" w:sz="0" w:space="0" w:color="auto"/>
            <w:right w:val="none" w:sz="0" w:space="0" w:color="auto"/>
          </w:divBdr>
        </w:div>
        <w:div w:id="1643920244">
          <w:marLeft w:val="144"/>
          <w:marRight w:val="0"/>
          <w:marTop w:val="0"/>
          <w:marBottom w:val="0"/>
          <w:divBdr>
            <w:top w:val="none" w:sz="0" w:space="0" w:color="auto"/>
            <w:left w:val="none" w:sz="0" w:space="0" w:color="auto"/>
            <w:bottom w:val="none" w:sz="0" w:space="0" w:color="auto"/>
            <w:right w:val="none" w:sz="0" w:space="0" w:color="auto"/>
          </w:divBdr>
        </w:div>
        <w:div w:id="1654488566">
          <w:marLeft w:val="144"/>
          <w:marRight w:val="0"/>
          <w:marTop w:val="0"/>
          <w:marBottom w:val="0"/>
          <w:divBdr>
            <w:top w:val="none" w:sz="0" w:space="0" w:color="auto"/>
            <w:left w:val="none" w:sz="0" w:space="0" w:color="auto"/>
            <w:bottom w:val="none" w:sz="0" w:space="0" w:color="auto"/>
            <w:right w:val="none" w:sz="0" w:space="0" w:color="auto"/>
          </w:divBdr>
        </w:div>
        <w:div w:id="1707871540">
          <w:marLeft w:val="144"/>
          <w:marRight w:val="0"/>
          <w:marTop w:val="0"/>
          <w:marBottom w:val="0"/>
          <w:divBdr>
            <w:top w:val="none" w:sz="0" w:space="0" w:color="auto"/>
            <w:left w:val="none" w:sz="0" w:space="0" w:color="auto"/>
            <w:bottom w:val="none" w:sz="0" w:space="0" w:color="auto"/>
            <w:right w:val="none" w:sz="0" w:space="0" w:color="auto"/>
          </w:divBdr>
        </w:div>
        <w:div w:id="1834488798">
          <w:marLeft w:val="144"/>
          <w:marRight w:val="0"/>
          <w:marTop w:val="0"/>
          <w:marBottom w:val="0"/>
          <w:divBdr>
            <w:top w:val="none" w:sz="0" w:space="0" w:color="auto"/>
            <w:left w:val="none" w:sz="0" w:space="0" w:color="auto"/>
            <w:bottom w:val="none" w:sz="0" w:space="0" w:color="auto"/>
            <w:right w:val="none" w:sz="0" w:space="0" w:color="auto"/>
          </w:divBdr>
        </w:div>
        <w:div w:id="1966495599">
          <w:marLeft w:val="144"/>
          <w:marRight w:val="0"/>
          <w:marTop w:val="0"/>
          <w:marBottom w:val="0"/>
          <w:divBdr>
            <w:top w:val="none" w:sz="0" w:space="0" w:color="auto"/>
            <w:left w:val="none" w:sz="0" w:space="0" w:color="auto"/>
            <w:bottom w:val="none" w:sz="0" w:space="0" w:color="auto"/>
            <w:right w:val="none" w:sz="0" w:space="0" w:color="auto"/>
          </w:divBdr>
        </w:div>
        <w:div w:id="2011640360">
          <w:marLeft w:val="144"/>
          <w:marRight w:val="0"/>
          <w:marTop w:val="0"/>
          <w:marBottom w:val="0"/>
          <w:divBdr>
            <w:top w:val="none" w:sz="0" w:space="0" w:color="auto"/>
            <w:left w:val="none" w:sz="0" w:space="0" w:color="auto"/>
            <w:bottom w:val="none" w:sz="0" w:space="0" w:color="auto"/>
            <w:right w:val="none" w:sz="0" w:space="0" w:color="auto"/>
          </w:divBdr>
        </w:div>
        <w:div w:id="2069184985">
          <w:marLeft w:val="144"/>
          <w:marRight w:val="0"/>
          <w:marTop w:val="0"/>
          <w:marBottom w:val="0"/>
          <w:divBdr>
            <w:top w:val="none" w:sz="0" w:space="0" w:color="auto"/>
            <w:left w:val="none" w:sz="0" w:space="0" w:color="auto"/>
            <w:bottom w:val="none" w:sz="0" w:space="0" w:color="auto"/>
            <w:right w:val="none" w:sz="0" w:space="0" w:color="auto"/>
          </w:divBdr>
        </w:div>
        <w:div w:id="2108960924">
          <w:marLeft w:val="144"/>
          <w:marRight w:val="0"/>
          <w:marTop w:val="0"/>
          <w:marBottom w:val="0"/>
          <w:divBdr>
            <w:top w:val="none" w:sz="0" w:space="0" w:color="auto"/>
            <w:left w:val="none" w:sz="0" w:space="0" w:color="auto"/>
            <w:bottom w:val="none" w:sz="0" w:space="0" w:color="auto"/>
            <w:right w:val="none" w:sz="0" w:space="0" w:color="auto"/>
          </w:divBdr>
        </w:div>
        <w:div w:id="2138602378">
          <w:marLeft w:val="144"/>
          <w:marRight w:val="0"/>
          <w:marTop w:val="0"/>
          <w:marBottom w:val="0"/>
          <w:divBdr>
            <w:top w:val="none" w:sz="0" w:space="0" w:color="auto"/>
            <w:left w:val="none" w:sz="0" w:space="0" w:color="auto"/>
            <w:bottom w:val="none" w:sz="0" w:space="0" w:color="auto"/>
            <w:right w:val="none" w:sz="0" w:space="0" w:color="auto"/>
          </w:divBdr>
        </w:div>
        <w:div w:id="2141536625">
          <w:marLeft w:val="144"/>
          <w:marRight w:val="0"/>
          <w:marTop w:val="0"/>
          <w:marBottom w:val="0"/>
          <w:divBdr>
            <w:top w:val="none" w:sz="0" w:space="0" w:color="auto"/>
            <w:left w:val="none" w:sz="0" w:space="0" w:color="auto"/>
            <w:bottom w:val="none" w:sz="0" w:space="0" w:color="auto"/>
            <w:right w:val="none" w:sz="0" w:space="0" w:color="auto"/>
          </w:divBdr>
        </w:div>
      </w:divsChild>
    </w:div>
    <w:div w:id="1352606092">
      <w:bodyDiv w:val="1"/>
      <w:marLeft w:val="0"/>
      <w:marRight w:val="0"/>
      <w:marTop w:val="0"/>
      <w:marBottom w:val="0"/>
      <w:divBdr>
        <w:top w:val="none" w:sz="0" w:space="0" w:color="auto"/>
        <w:left w:val="none" w:sz="0" w:space="0" w:color="auto"/>
        <w:bottom w:val="none" w:sz="0" w:space="0" w:color="auto"/>
        <w:right w:val="none" w:sz="0" w:space="0" w:color="auto"/>
      </w:divBdr>
    </w:div>
    <w:div w:id="1353265535">
      <w:bodyDiv w:val="1"/>
      <w:marLeft w:val="0"/>
      <w:marRight w:val="0"/>
      <w:marTop w:val="0"/>
      <w:marBottom w:val="0"/>
      <w:divBdr>
        <w:top w:val="none" w:sz="0" w:space="0" w:color="auto"/>
        <w:left w:val="none" w:sz="0" w:space="0" w:color="auto"/>
        <w:bottom w:val="none" w:sz="0" w:space="0" w:color="auto"/>
        <w:right w:val="none" w:sz="0" w:space="0" w:color="auto"/>
      </w:divBdr>
    </w:div>
    <w:div w:id="1356150429">
      <w:bodyDiv w:val="1"/>
      <w:marLeft w:val="0"/>
      <w:marRight w:val="0"/>
      <w:marTop w:val="0"/>
      <w:marBottom w:val="0"/>
      <w:divBdr>
        <w:top w:val="none" w:sz="0" w:space="0" w:color="auto"/>
        <w:left w:val="none" w:sz="0" w:space="0" w:color="auto"/>
        <w:bottom w:val="none" w:sz="0" w:space="0" w:color="auto"/>
        <w:right w:val="none" w:sz="0" w:space="0" w:color="auto"/>
      </w:divBdr>
      <w:divsChild>
        <w:div w:id="1583298152">
          <w:marLeft w:val="144"/>
          <w:marRight w:val="0"/>
          <w:marTop w:val="0"/>
          <w:marBottom w:val="0"/>
          <w:divBdr>
            <w:top w:val="none" w:sz="0" w:space="0" w:color="auto"/>
            <w:left w:val="none" w:sz="0" w:space="0" w:color="auto"/>
            <w:bottom w:val="none" w:sz="0" w:space="0" w:color="auto"/>
            <w:right w:val="none" w:sz="0" w:space="0" w:color="auto"/>
          </w:divBdr>
        </w:div>
      </w:divsChild>
    </w:div>
    <w:div w:id="1378429655">
      <w:bodyDiv w:val="1"/>
      <w:marLeft w:val="0"/>
      <w:marRight w:val="0"/>
      <w:marTop w:val="0"/>
      <w:marBottom w:val="0"/>
      <w:divBdr>
        <w:top w:val="none" w:sz="0" w:space="0" w:color="auto"/>
        <w:left w:val="none" w:sz="0" w:space="0" w:color="auto"/>
        <w:bottom w:val="none" w:sz="0" w:space="0" w:color="auto"/>
        <w:right w:val="none" w:sz="0" w:space="0" w:color="auto"/>
      </w:divBdr>
      <w:divsChild>
        <w:div w:id="579170432">
          <w:marLeft w:val="288"/>
          <w:marRight w:val="0"/>
          <w:marTop w:val="120"/>
          <w:marBottom w:val="120"/>
          <w:divBdr>
            <w:top w:val="none" w:sz="0" w:space="0" w:color="auto"/>
            <w:left w:val="none" w:sz="0" w:space="0" w:color="auto"/>
            <w:bottom w:val="none" w:sz="0" w:space="0" w:color="auto"/>
            <w:right w:val="none" w:sz="0" w:space="0" w:color="auto"/>
          </w:divBdr>
        </w:div>
        <w:div w:id="1757479248">
          <w:marLeft w:val="288"/>
          <w:marRight w:val="0"/>
          <w:marTop w:val="120"/>
          <w:marBottom w:val="120"/>
          <w:divBdr>
            <w:top w:val="none" w:sz="0" w:space="0" w:color="auto"/>
            <w:left w:val="none" w:sz="0" w:space="0" w:color="auto"/>
            <w:bottom w:val="none" w:sz="0" w:space="0" w:color="auto"/>
            <w:right w:val="none" w:sz="0" w:space="0" w:color="auto"/>
          </w:divBdr>
        </w:div>
      </w:divsChild>
    </w:div>
    <w:div w:id="1380935254">
      <w:bodyDiv w:val="1"/>
      <w:marLeft w:val="0"/>
      <w:marRight w:val="0"/>
      <w:marTop w:val="0"/>
      <w:marBottom w:val="0"/>
      <w:divBdr>
        <w:top w:val="none" w:sz="0" w:space="0" w:color="auto"/>
        <w:left w:val="none" w:sz="0" w:space="0" w:color="auto"/>
        <w:bottom w:val="none" w:sz="0" w:space="0" w:color="auto"/>
        <w:right w:val="none" w:sz="0" w:space="0" w:color="auto"/>
      </w:divBdr>
    </w:div>
    <w:div w:id="1385984028">
      <w:bodyDiv w:val="1"/>
      <w:marLeft w:val="0"/>
      <w:marRight w:val="0"/>
      <w:marTop w:val="0"/>
      <w:marBottom w:val="0"/>
      <w:divBdr>
        <w:top w:val="none" w:sz="0" w:space="0" w:color="auto"/>
        <w:left w:val="none" w:sz="0" w:space="0" w:color="auto"/>
        <w:bottom w:val="none" w:sz="0" w:space="0" w:color="auto"/>
        <w:right w:val="none" w:sz="0" w:space="0" w:color="auto"/>
      </w:divBdr>
    </w:div>
    <w:div w:id="1389919080">
      <w:bodyDiv w:val="1"/>
      <w:marLeft w:val="0"/>
      <w:marRight w:val="0"/>
      <w:marTop w:val="0"/>
      <w:marBottom w:val="0"/>
      <w:divBdr>
        <w:top w:val="none" w:sz="0" w:space="0" w:color="auto"/>
        <w:left w:val="none" w:sz="0" w:space="0" w:color="auto"/>
        <w:bottom w:val="none" w:sz="0" w:space="0" w:color="auto"/>
        <w:right w:val="none" w:sz="0" w:space="0" w:color="auto"/>
      </w:divBdr>
    </w:div>
    <w:div w:id="1400903238">
      <w:bodyDiv w:val="1"/>
      <w:marLeft w:val="0"/>
      <w:marRight w:val="0"/>
      <w:marTop w:val="0"/>
      <w:marBottom w:val="0"/>
      <w:divBdr>
        <w:top w:val="none" w:sz="0" w:space="0" w:color="auto"/>
        <w:left w:val="none" w:sz="0" w:space="0" w:color="auto"/>
        <w:bottom w:val="none" w:sz="0" w:space="0" w:color="auto"/>
        <w:right w:val="none" w:sz="0" w:space="0" w:color="auto"/>
      </w:divBdr>
      <w:divsChild>
        <w:div w:id="492260684">
          <w:marLeft w:val="288"/>
          <w:marRight w:val="0"/>
          <w:marTop w:val="120"/>
          <w:marBottom w:val="120"/>
          <w:divBdr>
            <w:top w:val="none" w:sz="0" w:space="0" w:color="auto"/>
            <w:left w:val="none" w:sz="0" w:space="0" w:color="auto"/>
            <w:bottom w:val="none" w:sz="0" w:space="0" w:color="auto"/>
            <w:right w:val="none" w:sz="0" w:space="0" w:color="auto"/>
          </w:divBdr>
        </w:div>
        <w:div w:id="742601897">
          <w:marLeft w:val="288"/>
          <w:marRight w:val="0"/>
          <w:marTop w:val="120"/>
          <w:marBottom w:val="120"/>
          <w:divBdr>
            <w:top w:val="none" w:sz="0" w:space="0" w:color="auto"/>
            <w:left w:val="none" w:sz="0" w:space="0" w:color="auto"/>
            <w:bottom w:val="none" w:sz="0" w:space="0" w:color="auto"/>
            <w:right w:val="none" w:sz="0" w:space="0" w:color="auto"/>
          </w:divBdr>
        </w:div>
        <w:div w:id="1091972259">
          <w:marLeft w:val="288"/>
          <w:marRight w:val="0"/>
          <w:marTop w:val="120"/>
          <w:marBottom w:val="120"/>
          <w:divBdr>
            <w:top w:val="none" w:sz="0" w:space="0" w:color="auto"/>
            <w:left w:val="none" w:sz="0" w:space="0" w:color="auto"/>
            <w:bottom w:val="none" w:sz="0" w:space="0" w:color="auto"/>
            <w:right w:val="none" w:sz="0" w:space="0" w:color="auto"/>
          </w:divBdr>
        </w:div>
        <w:div w:id="1726028680">
          <w:marLeft w:val="288"/>
          <w:marRight w:val="0"/>
          <w:marTop w:val="120"/>
          <w:marBottom w:val="120"/>
          <w:divBdr>
            <w:top w:val="none" w:sz="0" w:space="0" w:color="auto"/>
            <w:left w:val="none" w:sz="0" w:space="0" w:color="auto"/>
            <w:bottom w:val="none" w:sz="0" w:space="0" w:color="auto"/>
            <w:right w:val="none" w:sz="0" w:space="0" w:color="auto"/>
          </w:divBdr>
        </w:div>
      </w:divsChild>
    </w:div>
    <w:div w:id="1402870355">
      <w:bodyDiv w:val="1"/>
      <w:marLeft w:val="0"/>
      <w:marRight w:val="0"/>
      <w:marTop w:val="0"/>
      <w:marBottom w:val="0"/>
      <w:divBdr>
        <w:top w:val="none" w:sz="0" w:space="0" w:color="auto"/>
        <w:left w:val="none" w:sz="0" w:space="0" w:color="auto"/>
        <w:bottom w:val="none" w:sz="0" w:space="0" w:color="auto"/>
        <w:right w:val="none" w:sz="0" w:space="0" w:color="auto"/>
      </w:divBdr>
    </w:div>
    <w:div w:id="1407455445">
      <w:bodyDiv w:val="1"/>
      <w:marLeft w:val="0"/>
      <w:marRight w:val="0"/>
      <w:marTop w:val="0"/>
      <w:marBottom w:val="0"/>
      <w:divBdr>
        <w:top w:val="none" w:sz="0" w:space="0" w:color="auto"/>
        <w:left w:val="none" w:sz="0" w:space="0" w:color="auto"/>
        <w:bottom w:val="none" w:sz="0" w:space="0" w:color="auto"/>
        <w:right w:val="none" w:sz="0" w:space="0" w:color="auto"/>
      </w:divBdr>
    </w:div>
    <w:div w:id="1426609718">
      <w:bodyDiv w:val="1"/>
      <w:marLeft w:val="0"/>
      <w:marRight w:val="0"/>
      <w:marTop w:val="0"/>
      <w:marBottom w:val="0"/>
      <w:divBdr>
        <w:top w:val="none" w:sz="0" w:space="0" w:color="auto"/>
        <w:left w:val="none" w:sz="0" w:space="0" w:color="auto"/>
        <w:bottom w:val="none" w:sz="0" w:space="0" w:color="auto"/>
        <w:right w:val="none" w:sz="0" w:space="0" w:color="auto"/>
      </w:divBdr>
    </w:div>
    <w:div w:id="1433089040">
      <w:bodyDiv w:val="1"/>
      <w:marLeft w:val="0"/>
      <w:marRight w:val="0"/>
      <w:marTop w:val="0"/>
      <w:marBottom w:val="0"/>
      <w:divBdr>
        <w:top w:val="none" w:sz="0" w:space="0" w:color="auto"/>
        <w:left w:val="none" w:sz="0" w:space="0" w:color="auto"/>
        <w:bottom w:val="none" w:sz="0" w:space="0" w:color="auto"/>
        <w:right w:val="none" w:sz="0" w:space="0" w:color="auto"/>
      </w:divBdr>
    </w:div>
    <w:div w:id="14377480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6">
          <w:marLeft w:val="144"/>
          <w:marRight w:val="0"/>
          <w:marTop w:val="0"/>
          <w:marBottom w:val="0"/>
          <w:divBdr>
            <w:top w:val="none" w:sz="0" w:space="0" w:color="auto"/>
            <w:left w:val="none" w:sz="0" w:space="0" w:color="auto"/>
            <w:bottom w:val="none" w:sz="0" w:space="0" w:color="auto"/>
            <w:right w:val="none" w:sz="0" w:space="0" w:color="auto"/>
          </w:divBdr>
        </w:div>
        <w:div w:id="131799353">
          <w:marLeft w:val="144"/>
          <w:marRight w:val="0"/>
          <w:marTop w:val="0"/>
          <w:marBottom w:val="0"/>
          <w:divBdr>
            <w:top w:val="none" w:sz="0" w:space="0" w:color="auto"/>
            <w:left w:val="none" w:sz="0" w:space="0" w:color="auto"/>
            <w:bottom w:val="none" w:sz="0" w:space="0" w:color="auto"/>
            <w:right w:val="none" w:sz="0" w:space="0" w:color="auto"/>
          </w:divBdr>
        </w:div>
        <w:div w:id="206071327">
          <w:marLeft w:val="144"/>
          <w:marRight w:val="0"/>
          <w:marTop w:val="0"/>
          <w:marBottom w:val="0"/>
          <w:divBdr>
            <w:top w:val="none" w:sz="0" w:space="0" w:color="auto"/>
            <w:left w:val="none" w:sz="0" w:space="0" w:color="auto"/>
            <w:bottom w:val="none" w:sz="0" w:space="0" w:color="auto"/>
            <w:right w:val="none" w:sz="0" w:space="0" w:color="auto"/>
          </w:divBdr>
        </w:div>
        <w:div w:id="262229653">
          <w:marLeft w:val="144"/>
          <w:marRight w:val="0"/>
          <w:marTop w:val="0"/>
          <w:marBottom w:val="0"/>
          <w:divBdr>
            <w:top w:val="none" w:sz="0" w:space="0" w:color="auto"/>
            <w:left w:val="none" w:sz="0" w:space="0" w:color="auto"/>
            <w:bottom w:val="none" w:sz="0" w:space="0" w:color="auto"/>
            <w:right w:val="none" w:sz="0" w:space="0" w:color="auto"/>
          </w:divBdr>
        </w:div>
        <w:div w:id="390470865">
          <w:marLeft w:val="144"/>
          <w:marRight w:val="0"/>
          <w:marTop w:val="0"/>
          <w:marBottom w:val="0"/>
          <w:divBdr>
            <w:top w:val="none" w:sz="0" w:space="0" w:color="auto"/>
            <w:left w:val="none" w:sz="0" w:space="0" w:color="auto"/>
            <w:bottom w:val="none" w:sz="0" w:space="0" w:color="auto"/>
            <w:right w:val="none" w:sz="0" w:space="0" w:color="auto"/>
          </w:divBdr>
        </w:div>
        <w:div w:id="426078159">
          <w:marLeft w:val="144"/>
          <w:marRight w:val="0"/>
          <w:marTop w:val="0"/>
          <w:marBottom w:val="0"/>
          <w:divBdr>
            <w:top w:val="none" w:sz="0" w:space="0" w:color="auto"/>
            <w:left w:val="none" w:sz="0" w:space="0" w:color="auto"/>
            <w:bottom w:val="none" w:sz="0" w:space="0" w:color="auto"/>
            <w:right w:val="none" w:sz="0" w:space="0" w:color="auto"/>
          </w:divBdr>
        </w:div>
        <w:div w:id="479618354">
          <w:marLeft w:val="144"/>
          <w:marRight w:val="0"/>
          <w:marTop w:val="0"/>
          <w:marBottom w:val="0"/>
          <w:divBdr>
            <w:top w:val="none" w:sz="0" w:space="0" w:color="auto"/>
            <w:left w:val="none" w:sz="0" w:space="0" w:color="auto"/>
            <w:bottom w:val="none" w:sz="0" w:space="0" w:color="auto"/>
            <w:right w:val="none" w:sz="0" w:space="0" w:color="auto"/>
          </w:divBdr>
        </w:div>
        <w:div w:id="498080231">
          <w:marLeft w:val="144"/>
          <w:marRight w:val="0"/>
          <w:marTop w:val="0"/>
          <w:marBottom w:val="0"/>
          <w:divBdr>
            <w:top w:val="none" w:sz="0" w:space="0" w:color="auto"/>
            <w:left w:val="none" w:sz="0" w:space="0" w:color="auto"/>
            <w:bottom w:val="none" w:sz="0" w:space="0" w:color="auto"/>
            <w:right w:val="none" w:sz="0" w:space="0" w:color="auto"/>
          </w:divBdr>
        </w:div>
        <w:div w:id="560287663">
          <w:marLeft w:val="144"/>
          <w:marRight w:val="0"/>
          <w:marTop w:val="0"/>
          <w:marBottom w:val="0"/>
          <w:divBdr>
            <w:top w:val="none" w:sz="0" w:space="0" w:color="auto"/>
            <w:left w:val="none" w:sz="0" w:space="0" w:color="auto"/>
            <w:bottom w:val="none" w:sz="0" w:space="0" w:color="auto"/>
            <w:right w:val="none" w:sz="0" w:space="0" w:color="auto"/>
          </w:divBdr>
        </w:div>
        <w:div w:id="620382057">
          <w:marLeft w:val="144"/>
          <w:marRight w:val="0"/>
          <w:marTop w:val="0"/>
          <w:marBottom w:val="0"/>
          <w:divBdr>
            <w:top w:val="none" w:sz="0" w:space="0" w:color="auto"/>
            <w:left w:val="none" w:sz="0" w:space="0" w:color="auto"/>
            <w:bottom w:val="none" w:sz="0" w:space="0" w:color="auto"/>
            <w:right w:val="none" w:sz="0" w:space="0" w:color="auto"/>
          </w:divBdr>
        </w:div>
        <w:div w:id="663438050">
          <w:marLeft w:val="144"/>
          <w:marRight w:val="0"/>
          <w:marTop w:val="0"/>
          <w:marBottom w:val="0"/>
          <w:divBdr>
            <w:top w:val="none" w:sz="0" w:space="0" w:color="auto"/>
            <w:left w:val="none" w:sz="0" w:space="0" w:color="auto"/>
            <w:bottom w:val="none" w:sz="0" w:space="0" w:color="auto"/>
            <w:right w:val="none" w:sz="0" w:space="0" w:color="auto"/>
          </w:divBdr>
        </w:div>
        <w:div w:id="668630602">
          <w:marLeft w:val="144"/>
          <w:marRight w:val="0"/>
          <w:marTop w:val="0"/>
          <w:marBottom w:val="0"/>
          <w:divBdr>
            <w:top w:val="none" w:sz="0" w:space="0" w:color="auto"/>
            <w:left w:val="none" w:sz="0" w:space="0" w:color="auto"/>
            <w:bottom w:val="none" w:sz="0" w:space="0" w:color="auto"/>
            <w:right w:val="none" w:sz="0" w:space="0" w:color="auto"/>
          </w:divBdr>
        </w:div>
        <w:div w:id="681198806">
          <w:marLeft w:val="144"/>
          <w:marRight w:val="0"/>
          <w:marTop w:val="0"/>
          <w:marBottom w:val="0"/>
          <w:divBdr>
            <w:top w:val="none" w:sz="0" w:space="0" w:color="auto"/>
            <w:left w:val="none" w:sz="0" w:space="0" w:color="auto"/>
            <w:bottom w:val="none" w:sz="0" w:space="0" w:color="auto"/>
            <w:right w:val="none" w:sz="0" w:space="0" w:color="auto"/>
          </w:divBdr>
        </w:div>
        <w:div w:id="706951522">
          <w:marLeft w:val="144"/>
          <w:marRight w:val="0"/>
          <w:marTop w:val="0"/>
          <w:marBottom w:val="0"/>
          <w:divBdr>
            <w:top w:val="none" w:sz="0" w:space="0" w:color="auto"/>
            <w:left w:val="none" w:sz="0" w:space="0" w:color="auto"/>
            <w:bottom w:val="none" w:sz="0" w:space="0" w:color="auto"/>
            <w:right w:val="none" w:sz="0" w:space="0" w:color="auto"/>
          </w:divBdr>
        </w:div>
        <w:div w:id="727653432">
          <w:marLeft w:val="144"/>
          <w:marRight w:val="0"/>
          <w:marTop w:val="0"/>
          <w:marBottom w:val="0"/>
          <w:divBdr>
            <w:top w:val="none" w:sz="0" w:space="0" w:color="auto"/>
            <w:left w:val="none" w:sz="0" w:space="0" w:color="auto"/>
            <w:bottom w:val="none" w:sz="0" w:space="0" w:color="auto"/>
            <w:right w:val="none" w:sz="0" w:space="0" w:color="auto"/>
          </w:divBdr>
        </w:div>
        <w:div w:id="758988941">
          <w:marLeft w:val="144"/>
          <w:marRight w:val="0"/>
          <w:marTop w:val="0"/>
          <w:marBottom w:val="0"/>
          <w:divBdr>
            <w:top w:val="none" w:sz="0" w:space="0" w:color="auto"/>
            <w:left w:val="none" w:sz="0" w:space="0" w:color="auto"/>
            <w:bottom w:val="none" w:sz="0" w:space="0" w:color="auto"/>
            <w:right w:val="none" w:sz="0" w:space="0" w:color="auto"/>
          </w:divBdr>
        </w:div>
        <w:div w:id="888882821">
          <w:marLeft w:val="144"/>
          <w:marRight w:val="0"/>
          <w:marTop w:val="0"/>
          <w:marBottom w:val="0"/>
          <w:divBdr>
            <w:top w:val="none" w:sz="0" w:space="0" w:color="auto"/>
            <w:left w:val="none" w:sz="0" w:space="0" w:color="auto"/>
            <w:bottom w:val="none" w:sz="0" w:space="0" w:color="auto"/>
            <w:right w:val="none" w:sz="0" w:space="0" w:color="auto"/>
          </w:divBdr>
        </w:div>
        <w:div w:id="907417665">
          <w:marLeft w:val="144"/>
          <w:marRight w:val="0"/>
          <w:marTop w:val="0"/>
          <w:marBottom w:val="0"/>
          <w:divBdr>
            <w:top w:val="none" w:sz="0" w:space="0" w:color="auto"/>
            <w:left w:val="none" w:sz="0" w:space="0" w:color="auto"/>
            <w:bottom w:val="none" w:sz="0" w:space="0" w:color="auto"/>
            <w:right w:val="none" w:sz="0" w:space="0" w:color="auto"/>
          </w:divBdr>
        </w:div>
        <w:div w:id="908270325">
          <w:marLeft w:val="144"/>
          <w:marRight w:val="0"/>
          <w:marTop w:val="0"/>
          <w:marBottom w:val="0"/>
          <w:divBdr>
            <w:top w:val="none" w:sz="0" w:space="0" w:color="auto"/>
            <w:left w:val="none" w:sz="0" w:space="0" w:color="auto"/>
            <w:bottom w:val="none" w:sz="0" w:space="0" w:color="auto"/>
            <w:right w:val="none" w:sz="0" w:space="0" w:color="auto"/>
          </w:divBdr>
        </w:div>
        <w:div w:id="941304211">
          <w:marLeft w:val="144"/>
          <w:marRight w:val="0"/>
          <w:marTop w:val="0"/>
          <w:marBottom w:val="0"/>
          <w:divBdr>
            <w:top w:val="none" w:sz="0" w:space="0" w:color="auto"/>
            <w:left w:val="none" w:sz="0" w:space="0" w:color="auto"/>
            <w:bottom w:val="none" w:sz="0" w:space="0" w:color="auto"/>
            <w:right w:val="none" w:sz="0" w:space="0" w:color="auto"/>
          </w:divBdr>
        </w:div>
        <w:div w:id="981155175">
          <w:marLeft w:val="144"/>
          <w:marRight w:val="0"/>
          <w:marTop w:val="0"/>
          <w:marBottom w:val="0"/>
          <w:divBdr>
            <w:top w:val="none" w:sz="0" w:space="0" w:color="auto"/>
            <w:left w:val="none" w:sz="0" w:space="0" w:color="auto"/>
            <w:bottom w:val="none" w:sz="0" w:space="0" w:color="auto"/>
            <w:right w:val="none" w:sz="0" w:space="0" w:color="auto"/>
          </w:divBdr>
        </w:div>
        <w:div w:id="1014192196">
          <w:marLeft w:val="144"/>
          <w:marRight w:val="0"/>
          <w:marTop w:val="0"/>
          <w:marBottom w:val="0"/>
          <w:divBdr>
            <w:top w:val="none" w:sz="0" w:space="0" w:color="auto"/>
            <w:left w:val="none" w:sz="0" w:space="0" w:color="auto"/>
            <w:bottom w:val="none" w:sz="0" w:space="0" w:color="auto"/>
            <w:right w:val="none" w:sz="0" w:space="0" w:color="auto"/>
          </w:divBdr>
        </w:div>
        <w:div w:id="1134832737">
          <w:marLeft w:val="144"/>
          <w:marRight w:val="0"/>
          <w:marTop w:val="0"/>
          <w:marBottom w:val="0"/>
          <w:divBdr>
            <w:top w:val="none" w:sz="0" w:space="0" w:color="auto"/>
            <w:left w:val="none" w:sz="0" w:space="0" w:color="auto"/>
            <w:bottom w:val="none" w:sz="0" w:space="0" w:color="auto"/>
            <w:right w:val="none" w:sz="0" w:space="0" w:color="auto"/>
          </w:divBdr>
        </w:div>
        <w:div w:id="1185947392">
          <w:marLeft w:val="144"/>
          <w:marRight w:val="0"/>
          <w:marTop w:val="0"/>
          <w:marBottom w:val="0"/>
          <w:divBdr>
            <w:top w:val="none" w:sz="0" w:space="0" w:color="auto"/>
            <w:left w:val="none" w:sz="0" w:space="0" w:color="auto"/>
            <w:bottom w:val="none" w:sz="0" w:space="0" w:color="auto"/>
            <w:right w:val="none" w:sz="0" w:space="0" w:color="auto"/>
          </w:divBdr>
        </w:div>
        <w:div w:id="1375691012">
          <w:marLeft w:val="144"/>
          <w:marRight w:val="0"/>
          <w:marTop w:val="0"/>
          <w:marBottom w:val="0"/>
          <w:divBdr>
            <w:top w:val="none" w:sz="0" w:space="0" w:color="auto"/>
            <w:left w:val="none" w:sz="0" w:space="0" w:color="auto"/>
            <w:bottom w:val="none" w:sz="0" w:space="0" w:color="auto"/>
            <w:right w:val="none" w:sz="0" w:space="0" w:color="auto"/>
          </w:divBdr>
        </w:div>
        <w:div w:id="1482506632">
          <w:marLeft w:val="144"/>
          <w:marRight w:val="0"/>
          <w:marTop w:val="0"/>
          <w:marBottom w:val="0"/>
          <w:divBdr>
            <w:top w:val="none" w:sz="0" w:space="0" w:color="auto"/>
            <w:left w:val="none" w:sz="0" w:space="0" w:color="auto"/>
            <w:bottom w:val="none" w:sz="0" w:space="0" w:color="auto"/>
            <w:right w:val="none" w:sz="0" w:space="0" w:color="auto"/>
          </w:divBdr>
        </w:div>
        <w:div w:id="1527718846">
          <w:marLeft w:val="144"/>
          <w:marRight w:val="0"/>
          <w:marTop w:val="0"/>
          <w:marBottom w:val="0"/>
          <w:divBdr>
            <w:top w:val="none" w:sz="0" w:space="0" w:color="auto"/>
            <w:left w:val="none" w:sz="0" w:space="0" w:color="auto"/>
            <w:bottom w:val="none" w:sz="0" w:space="0" w:color="auto"/>
            <w:right w:val="none" w:sz="0" w:space="0" w:color="auto"/>
          </w:divBdr>
        </w:div>
        <w:div w:id="1546064153">
          <w:marLeft w:val="144"/>
          <w:marRight w:val="0"/>
          <w:marTop w:val="0"/>
          <w:marBottom w:val="0"/>
          <w:divBdr>
            <w:top w:val="none" w:sz="0" w:space="0" w:color="auto"/>
            <w:left w:val="none" w:sz="0" w:space="0" w:color="auto"/>
            <w:bottom w:val="none" w:sz="0" w:space="0" w:color="auto"/>
            <w:right w:val="none" w:sz="0" w:space="0" w:color="auto"/>
          </w:divBdr>
        </w:div>
        <w:div w:id="1588491458">
          <w:marLeft w:val="144"/>
          <w:marRight w:val="0"/>
          <w:marTop w:val="0"/>
          <w:marBottom w:val="0"/>
          <w:divBdr>
            <w:top w:val="none" w:sz="0" w:space="0" w:color="auto"/>
            <w:left w:val="none" w:sz="0" w:space="0" w:color="auto"/>
            <w:bottom w:val="none" w:sz="0" w:space="0" w:color="auto"/>
            <w:right w:val="none" w:sz="0" w:space="0" w:color="auto"/>
          </w:divBdr>
        </w:div>
        <w:div w:id="1607537193">
          <w:marLeft w:val="144"/>
          <w:marRight w:val="0"/>
          <w:marTop w:val="0"/>
          <w:marBottom w:val="0"/>
          <w:divBdr>
            <w:top w:val="none" w:sz="0" w:space="0" w:color="auto"/>
            <w:left w:val="none" w:sz="0" w:space="0" w:color="auto"/>
            <w:bottom w:val="none" w:sz="0" w:space="0" w:color="auto"/>
            <w:right w:val="none" w:sz="0" w:space="0" w:color="auto"/>
          </w:divBdr>
        </w:div>
        <w:div w:id="1727679381">
          <w:marLeft w:val="144"/>
          <w:marRight w:val="0"/>
          <w:marTop w:val="0"/>
          <w:marBottom w:val="0"/>
          <w:divBdr>
            <w:top w:val="none" w:sz="0" w:space="0" w:color="auto"/>
            <w:left w:val="none" w:sz="0" w:space="0" w:color="auto"/>
            <w:bottom w:val="none" w:sz="0" w:space="0" w:color="auto"/>
            <w:right w:val="none" w:sz="0" w:space="0" w:color="auto"/>
          </w:divBdr>
        </w:div>
        <w:div w:id="1747996182">
          <w:marLeft w:val="144"/>
          <w:marRight w:val="0"/>
          <w:marTop w:val="0"/>
          <w:marBottom w:val="0"/>
          <w:divBdr>
            <w:top w:val="none" w:sz="0" w:space="0" w:color="auto"/>
            <w:left w:val="none" w:sz="0" w:space="0" w:color="auto"/>
            <w:bottom w:val="none" w:sz="0" w:space="0" w:color="auto"/>
            <w:right w:val="none" w:sz="0" w:space="0" w:color="auto"/>
          </w:divBdr>
        </w:div>
        <w:div w:id="1769422159">
          <w:marLeft w:val="144"/>
          <w:marRight w:val="0"/>
          <w:marTop w:val="0"/>
          <w:marBottom w:val="0"/>
          <w:divBdr>
            <w:top w:val="none" w:sz="0" w:space="0" w:color="auto"/>
            <w:left w:val="none" w:sz="0" w:space="0" w:color="auto"/>
            <w:bottom w:val="none" w:sz="0" w:space="0" w:color="auto"/>
            <w:right w:val="none" w:sz="0" w:space="0" w:color="auto"/>
          </w:divBdr>
        </w:div>
        <w:div w:id="1775977109">
          <w:marLeft w:val="144"/>
          <w:marRight w:val="0"/>
          <w:marTop w:val="0"/>
          <w:marBottom w:val="0"/>
          <w:divBdr>
            <w:top w:val="none" w:sz="0" w:space="0" w:color="auto"/>
            <w:left w:val="none" w:sz="0" w:space="0" w:color="auto"/>
            <w:bottom w:val="none" w:sz="0" w:space="0" w:color="auto"/>
            <w:right w:val="none" w:sz="0" w:space="0" w:color="auto"/>
          </w:divBdr>
        </w:div>
        <w:div w:id="1848444944">
          <w:marLeft w:val="144"/>
          <w:marRight w:val="0"/>
          <w:marTop w:val="0"/>
          <w:marBottom w:val="0"/>
          <w:divBdr>
            <w:top w:val="none" w:sz="0" w:space="0" w:color="auto"/>
            <w:left w:val="none" w:sz="0" w:space="0" w:color="auto"/>
            <w:bottom w:val="none" w:sz="0" w:space="0" w:color="auto"/>
            <w:right w:val="none" w:sz="0" w:space="0" w:color="auto"/>
          </w:divBdr>
        </w:div>
        <w:div w:id="1881623130">
          <w:marLeft w:val="144"/>
          <w:marRight w:val="0"/>
          <w:marTop w:val="0"/>
          <w:marBottom w:val="0"/>
          <w:divBdr>
            <w:top w:val="none" w:sz="0" w:space="0" w:color="auto"/>
            <w:left w:val="none" w:sz="0" w:space="0" w:color="auto"/>
            <w:bottom w:val="none" w:sz="0" w:space="0" w:color="auto"/>
            <w:right w:val="none" w:sz="0" w:space="0" w:color="auto"/>
          </w:divBdr>
        </w:div>
        <w:div w:id="1883247633">
          <w:marLeft w:val="144"/>
          <w:marRight w:val="0"/>
          <w:marTop w:val="0"/>
          <w:marBottom w:val="0"/>
          <w:divBdr>
            <w:top w:val="none" w:sz="0" w:space="0" w:color="auto"/>
            <w:left w:val="none" w:sz="0" w:space="0" w:color="auto"/>
            <w:bottom w:val="none" w:sz="0" w:space="0" w:color="auto"/>
            <w:right w:val="none" w:sz="0" w:space="0" w:color="auto"/>
          </w:divBdr>
        </w:div>
        <w:div w:id="1919753504">
          <w:marLeft w:val="144"/>
          <w:marRight w:val="0"/>
          <w:marTop w:val="0"/>
          <w:marBottom w:val="0"/>
          <w:divBdr>
            <w:top w:val="none" w:sz="0" w:space="0" w:color="auto"/>
            <w:left w:val="none" w:sz="0" w:space="0" w:color="auto"/>
            <w:bottom w:val="none" w:sz="0" w:space="0" w:color="auto"/>
            <w:right w:val="none" w:sz="0" w:space="0" w:color="auto"/>
          </w:divBdr>
        </w:div>
        <w:div w:id="1960181828">
          <w:marLeft w:val="144"/>
          <w:marRight w:val="0"/>
          <w:marTop w:val="0"/>
          <w:marBottom w:val="0"/>
          <w:divBdr>
            <w:top w:val="none" w:sz="0" w:space="0" w:color="auto"/>
            <w:left w:val="none" w:sz="0" w:space="0" w:color="auto"/>
            <w:bottom w:val="none" w:sz="0" w:space="0" w:color="auto"/>
            <w:right w:val="none" w:sz="0" w:space="0" w:color="auto"/>
          </w:divBdr>
        </w:div>
        <w:div w:id="1985114178">
          <w:marLeft w:val="144"/>
          <w:marRight w:val="0"/>
          <w:marTop w:val="0"/>
          <w:marBottom w:val="0"/>
          <w:divBdr>
            <w:top w:val="none" w:sz="0" w:space="0" w:color="auto"/>
            <w:left w:val="none" w:sz="0" w:space="0" w:color="auto"/>
            <w:bottom w:val="none" w:sz="0" w:space="0" w:color="auto"/>
            <w:right w:val="none" w:sz="0" w:space="0" w:color="auto"/>
          </w:divBdr>
        </w:div>
        <w:div w:id="2078357602">
          <w:marLeft w:val="144"/>
          <w:marRight w:val="0"/>
          <w:marTop w:val="0"/>
          <w:marBottom w:val="0"/>
          <w:divBdr>
            <w:top w:val="none" w:sz="0" w:space="0" w:color="auto"/>
            <w:left w:val="none" w:sz="0" w:space="0" w:color="auto"/>
            <w:bottom w:val="none" w:sz="0" w:space="0" w:color="auto"/>
            <w:right w:val="none" w:sz="0" w:space="0" w:color="auto"/>
          </w:divBdr>
        </w:div>
      </w:divsChild>
    </w:div>
    <w:div w:id="1444769186">
      <w:bodyDiv w:val="1"/>
      <w:marLeft w:val="0"/>
      <w:marRight w:val="0"/>
      <w:marTop w:val="0"/>
      <w:marBottom w:val="0"/>
      <w:divBdr>
        <w:top w:val="none" w:sz="0" w:space="0" w:color="auto"/>
        <w:left w:val="none" w:sz="0" w:space="0" w:color="auto"/>
        <w:bottom w:val="none" w:sz="0" w:space="0" w:color="auto"/>
        <w:right w:val="none" w:sz="0" w:space="0" w:color="auto"/>
      </w:divBdr>
    </w:div>
    <w:div w:id="1459299279">
      <w:bodyDiv w:val="1"/>
      <w:marLeft w:val="0"/>
      <w:marRight w:val="0"/>
      <w:marTop w:val="0"/>
      <w:marBottom w:val="0"/>
      <w:divBdr>
        <w:top w:val="none" w:sz="0" w:space="0" w:color="auto"/>
        <w:left w:val="none" w:sz="0" w:space="0" w:color="auto"/>
        <w:bottom w:val="none" w:sz="0" w:space="0" w:color="auto"/>
        <w:right w:val="none" w:sz="0" w:space="0" w:color="auto"/>
      </w:divBdr>
    </w:div>
    <w:div w:id="1459684987">
      <w:bodyDiv w:val="1"/>
      <w:marLeft w:val="0"/>
      <w:marRight w:val="0"/>
      <w:marTop w:val="0"/>
      <w:marBottom w:val="0"/>
      <w:divBdr>
        <w:top w:val="none" w:sz="0" w:space="0" w:color="auto"/>
        <w:left w:val="none" w:sz="0" w:space="0" w:color="auto"/>
        <w:bottom w:val="none" w:sz="0" w:space="0" w:color="auto"/>
        <w:right w:val="none" w:sz="0" w:space="0" w:color="auto"/>
      </w:divBdr>
    </w:div>
    <w:div w:id="1480270465">
      <w:bodyDiv w:val="1"/>
      <w:marLeft w:val="0"/>
      <w:marRight w:val="0"/>
      <w:marTop w:val="0"/>
      <w:marBottom w:val="0"/>
      <w:divBdr>
        <w:top w:val="none" w:sz="0" w:space="0" w:color="auto"/>
        <w:left w:val="none" w:sz="0" w:space="0" w:color="auto"/>
        <w:bottom w:val="none" w:sz="0" w:space="0" w:color="auto"/>
        <w:right w:val="none" w:sz="0" w:space="0" w:color="auto"/>
      </w:divBdr>
    </w:div>
    <w:div w:id="1491870967">
      <w:bodyDiv w:val="1"/>
      <w:marLeft w:val="0"/>
      <w:marRight w:val="0"/>
      <w:marTop w:val="0"/>
      <w:marBottom w:val="0"/>
      <w:divBdr>
        <w:top w:val="none" w:sz="0" w:space="0" w:color="auto"/>
        <w:left w:val="none" w:sz="0" w:space="0" w:color="auto"/>
        <w:bottom w:val="none" w:sz="0" w:space="0" w:color="auto"/>
        <w:right w:val="none" w:sz="0" w:space="0" w:color="auto"/>
      </w:divBdr>
    </w:div>
    <w:div w:id="1494838869">
      <w:bodyDiv w:val="1"/>
      <w:marLeft w:val="0"/>
      <w:marRight w:val="0"/>
      <w:marTop w:val="0"/>
      <w:marBottom w:val="0"/>
      <w:divBdr>
        <w:top w:val="none" w:sz="0" w:space="0" w:color="auto"/>
        <w:left w:val="none" w:sz="0" w:space="0" w:color="auto"/>
        <w:bottom w:val="none" w:sz="0" w:space="0" w:color="auto"/>
        <w:right w:val="none" w:sz="0" w:space="0" w:color="auto"/>
      </w:divBdr>
    </w:div>
    <w:div w:id="1506164249">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20123442">
      <w:bodyDiv w:val="1"/>
      <w:marLeft w:val="0"/>
      <w:marRight w:val="0"/>
      <w:marTop w:val="0"/>
      <w:marBottom w:val="0"/>
      <w:divBdr>
        <w:top w:val="none" w:sz="0" w:space="0" w:color="auto"/>
        <w:left w:val="none" w:sz="0" w:space="0" w:color="auto"/>
        <w:bottom w:val="none" w:sz="0" w:space="0" w:color="auto"/>
        <w:right w:val="none" w:sz="0" w:space="0" w:color="auto"/>
      </w:divBdr>
    </w:div>
    <w:div w:id="1520385388">
      <w:bodyDiv w:val="1"/>
      <w:marLeft w:val="0"/>
      <w:marRight w:val="0"/>
      <w:marTop w:val="0"/>
      <w:marBottom w:val="0"/>
      <w:divBdr>
        <w:top w:val="none" w:sz="0" w:space="0" w:color="auto"/>
        <w:left w:val="none" w:sz="0" w:space="0" w:color="auto"/>
        <w:bottom w:val="none" w:sz="0" w:space="0" w:color="auto"/>
        <w:right w:val="none" w:sz="0" w:space="0" w:color="auto"/>
      </w:divBdr>
    </w:div>
    <w:div w:id="1531529128">
      <w:bodyDiv w:val="1"/>
      <w:marLeft w:val="0"/>
      <w:marRight w:val="0"/>
      <w:marTop w:val="0"/>
      <w:marBottom w:val="0"/>
      <w:divBdr>
        <w:top w:val="none" w:sz="0" w:space="0" w:color="auto"/>
        <w:left w:val="none" w:sz="0" w:space="0" w:color="auto"/>
        <w:bottom w:val="none" w:sz="0" w:space="0" w:color="auto"/>
        <w:right w:val="none" w:sz="0" w:space="0" w:color="auto"/>
      </w:divBdr>
    </w:div>
    <w:div w:id="1536045505">
      <w:bodyDiv w:val="1"/>
      <w:marLeft w:val="0"/>
      <w:marRight w:val="0"/>
      <w:marTop w:val="0"/>
      <w:marBottom w:val="0"/>
      <w:divBdr>
        <w:top w:val="none" w:sz="0" w:space="0" w:color="auto"/>
        <w:left w:val="none" w:sz="0" w:space="0" w:color="auto"/>
        <w:bottom w:val="none" w:sz="0" w:space="0" w:color="auto"/>
        <w:right w:val="none" w:sz="0" w:space="0" w:color="auto"/>
      </w:divBdr>
      <w:divsChild>
        <w:div w:id="286161392">
          <w:marLeft w:val="547"/>
          <w:marRight w:val="0"/>
          <w:marTop w:val="200"/>
          <w:marBottom w:val="0"/>
          <w:divBdr>
            <w:top w:val="none" w:sz="0" w:space="0" w:color="auto"/>
            <w:left w:val="none" w:sz="0" w:space="0" w:color="auto"/>
            <w:bottom w:val="none" w:sz="0" w:space="0" w:color="auto"/>
            <w:right w:val="none" w:sz="0" w:space="0" w:color="auto"/>
          </w:divBdr>
        </w:div>
        <w:div w:id="1214806963">
          <w:marLeft w:val="547"/>
          <w:marRight w:val="0"/>
          <w:marTop w:val="200"/>
          <w:marBottom w:val="0"/>
          <w:divBdr>
            <w:top w:val="none" w:sz="0" w:space="0" w:color="auto"/>
            <w:left w:val="none" w:sz="0" w:space="0" w:color="auto"/>
            <w:bottom w:val="none" w:sz="0" w:space="0" w:color="auto"/>
            <w:right w:val="none" w:sz="0" w:space="0" w:color="auto"/>
          </w:divBdr>
        </w:div>
        <w:div w:id="1973320879">
          <w:marLeft w:val="547"/>
          <w:marRight w:val="0"/>
          <w:marTop w:val="200"/>
          <w:marBottom w:val="0"/>
          <w:divBdr>
            <w:top w:val="none" w:sz="0" w:space="0" w:color="auto"/>
            <w:left w:val="none" w:sz="0" w:space="0" w:color="auto"/>
            <w:bottom w:val="none" w:sz="0" w:space="0" w:color="auto"/>
            <w:right w:val="none" w:sz="0" w:space="0" w:color="auto"/>
          </w:divBdr>
        </w:div>
        <w:div w:id="1976594152">
          <w:marLeft w:val="547"/>
          <w:marRight w:val="0"/>
          <w:marTop w:val="200"/>
          <w:marBottom w:val="0"/>
          <w:divBdr>
            <w:top w:val="none" w:sz="0" w:space="0" w:color="auto"/>
            <w:left w:val="none" w:sz="0" w:space="0" w:color="auto"/>
            <w:bottom w:val="none" w:sz="0" w:space="0" w:color="auto"/>
            <w:right w:val="none" w:sz="0" w:space="0" w:color="auto"/>
          </w:divBdr>
        </w:div>
      </w:divsChild>
    </w:div>
    <w:div w:id="1542131840">
      <w:bodyDiv w:val="1"/>
      <w:marLeft w:val="0"/>
      <w:marRight w:val="0"/>
      <w:marTop w:val="0"/>
      <w:marBottom w:val="0"/>
      <w:divBdr>
        <w:top w:val="none" w:sz="0" w:space="0" w:color="auto"/>
        <w:left w:val="none" w:sz="0" w:space="0" w:color="auto"/>
        <w:bottom w:val="none" w:sz="0" w:space="0" w:color="auto"/>
        <w:right w:val="none" w:sz="0" w:space="0" w:color="auto"/>
      </w:divBdr>
      <w:divsChild>
        <w:div w:id="279646779">
          <w:marLeft w:val="274"/>
          <w:marRight w:val="0"/>
          <w:marTop w:val="0"/>
          <w:marBottom w:val="0"/>
          <w:divBdr>
            <w:top w:val="none" w:sz="0" w:space="0" w:color="auto"/>
            <w:left w:val="none" w:sz="0" w:space="0" w:color="auto"/>
            <w:bottom w:val="none" w:sz="0" w:space="0" w:color="auto"/>
            <w:right w:val="none" w:sz="0" w:space="0" w:color="auto"/>
          </w:divBdr>
        </w:div>
        <w:div w:id="716928506">
          <w:marLeft w:val="274"/>
          <w:marRight w:val="0"/>
          <w:marTop w:val="0"/>
          <w:marBottom w:val="0"/>
          <w:divBdr>
            <w:top w:val="none" w:sz="0" w:space="0" w:color="auto"/>
            <w:left w:val="none" w:sz="0" w:space="0" w:color="auto"/>
            <w:bottom w:val="none" w:sz="0" w:space="0" w:color="auto"/>
            <w:right w:val="none" w:sz="0" w:space="0" w:color="auto"/>
          </w:divBdr>
        </w:div>
        <w:div w:id="920405526">
          <w:marLeft w:val="274"/>
          <w:marRight w:val="0"/>
          <w:marTop w:val="0"/>
          <w:marBottom w:val="0"/>
          <w:divBdr>
            <w:top w:val="none" w:sz="0" w:space="0" w:color="auto"/>
            <w:left w:val="none" w:sz="0" w:space="0" w:color="auto"/>
            <w:bottom w:val="none" w:sz="0" w:space="0" w:color="auto"/>
            <w:right w:val="none" w:sz="0" w:space="0" w:color="auto"/>
          </w:divBdr>
        </w:div>
        <w:div w:id="2081782898">
          <w:marLeft w:val="274"/>
          <w:marRight w:val="0"/>
          <w:marTop w:val="0"/>
          <w:marBottom w:val="0"/>
          <w:divBdr>
            <w:top w:val="none" w:sz="0" w:space="0" w:color="auto"/>
            <w:left w:val="none" w:sz="0" w:space="0" w:color="auto"/>
            <w:bottom w:val="none" w:sz="0" w:space="0" w:color="auto"/>
            <w:right w:val="none" w:sz="0" w:space="0" w:color="auto"/>
          </w:divBdr>
        </w:div>
      </w:divsChild>
    </w:div>
    <w:div w:id="1544101625">
      <w:bodyDiv w:val="1"/>
      <w:marLeft w:val="0"/>
      <w:marRight w:val="0"/>
      <w:marTop w:val="0"/>
      <w:marBottom w:val="0"/>
      <w:divBdr>
        <w:top w:val="none" w:sz="0" w:space="0" w:color="auto"/>
        <w:left w:val="none" w:sz="0" w:space="0" w:color="auto"/>
        <w:bottom w:val="none" w:sz="0" w:space="0" w:color="auto"/>
        <w:right w:val="none" w:sz="0" w:space="0" w:color="auto"/>
      </w:divBdr>
    </w:div>
    <w:div w:id="1546060422">
      <w:bodyDiv w:val="1"/>
      <w:marLeft w:val="0"/>
      <w:marRight w:val="0"/>
      <w:marTop w:val="0"/>
      <w:marBottom w:val="0"/>
      <w:divBdr>
        <w:top w:val="none" w:sz="0" w:space="0" w:color="auto"/>
        <w:left w:val="none" w:sz="0" w:space="0" w:color="auto"/>
        <w:bottom w:val="none" w:sz="0" w:space="0" w:color="auto"/>
        <w:right w:val="none" w:sz="0" w:space="0" w:color="auto"/>
      </w:divBdr>
    </w:div>
    <w:div w:id="1548493615">
      <w:bodyDiv w:val="1"/>
      <w:marLeft w:val="0"/>
      <w:marRight w:val="0"/>
      <w:marTop w:val="0"/>
      <w:marBottom w:val="0"/>
      <w:divBdr>
        <w:top w:val="none" w:sz="0" w:space="0" w:color="auto"/>
        <w:left w:val="none" w:sz="0" w:space="0" w:color="auto"/>
        <w:bottom w:val="none" w:sz="0" w:space="0" w:color="auto"/>
        <w:right w:val="none" w:sz="0" w:space="0" w:color="auto"/>
      </w:divBdr>
    </w:div>
    <w:div w:id="1556233527">
      <w:bodyDiv w:val="1"/>
      <w:marLeft w:val="0"/>
      <w:marRight w:val="0"/>
      <w:marTop w:val="0"/>
      <w:marBottom w:val="0"/>
      <w:divBdr>
        <w:top w:val="none" w:sz="0" w:space="0" w:color="auto"/>
        <w:left w:val="none" w:sz="0" w:space="0" w:color="auto"/>
        <w:bottom w:val="none" w:sz="0" w:space="0" w:color="auto"/>
        <w:right w:val="none" w:sz="0" w:space="0" w:color="auto"/>
      </w:divBdr>
    </w:div>
    <w:div w:id="1559629028">
      <w:bodyDiv w:val="1"/>
      <w:marLeft w:val="0"/>
      <w:marRight w:val="0"/>
      <w:marTop w:val="0"/>
      <w:marBottom w:val="0"/>
      <w:divBdr>
        <w:top w:val="none" w:sz="0" w:space="0" w:color="auto"/>
        <w:left w:val="none" w:sz="0" w:space="0" w:color="auto"/>
        <w:bottom w:val="none" w:sz="0" w:space="0" w:color="auto"/>
        <w:right w:val="none" w:sz="0" w:space="0" w:color="auto"/>
      </w:divBdr>
    </w:div>
    <w:div w:id="1564830687">
      <w:bodyDiv w:val="1"/>
      <w:marLeft w:val="0"/>
      <w:marRight w:val="0"/>
      <w:marTop w:val="0"/>
      <w:marBottom w:val="0"/>
      <w:divBdr>
        <w:top w:val="none" w:sz="0" w:space="0" w:color="auto"/>
        <w:left w:val="none" w:sz="0" w:space="0" w:color="auto"/>
        <w:bottom w:val="none" w:sz="0" w:space="0" w:color="auto"/>
        <w:right w:val="none" w:sz="0" w:space="0" w:color="auto"/>
      </w:divBdr>
    </w:div>
    <w:div w:id="1567767096">
      <w:bodyDiv w:val="1"/>
      <w:marLeft w:val="0"/>
      <w:marRight w:val="0"/>
      <w:marTop w:val="0"/>
      <w:marBottom w:val="0"/>
      <w:divBdr>
        <w:top w:val="none" w:sz="0" w:space="0" w:color="auto"/>
        <w:left w:val="none" w:sz="0" w:space="0" w:color="auto"/>
        <w:bottom w:val="none" w:sz="0" w:space="0" w:color="auto"/>
        <w:right w:val="none" w:sz="0" w:space="0" w:color="auto"/>
      </w:divBdr>
    </w:div>
    <w:div w:id="1585871559">
      <w:bodyDiv w:val="1"/>
      <w:marLeft w:val="0"/>
      <w:marRight w:val="0"/>
      <w:marTop w:val="0"/>
      <w:marBottom w:val="0"/>
      <w:divBdr>
        <w:top w:val="none" w:sz="0" w:space="0" w:color="auto"/>
        <w:left w:val="none" w:sz="0" w:space="0" w:color="auto"/>
        <w:bottom w:val="none" w:sz="0" w:space="0" w:color="auto"/>
        <w:right w:val="none" w:sz="0" w:space="0" w:color="auto"/>
      </w:divBdr>
    </w:div>
    <w:div w:id="1588999586">
      <w:bodyDiv w:val="1"/>
      <w:marLeft w:val="0"/>
      <w:marRight w:val="0"/>
      <w:marTop w:val="0"/>
      <w:marBottom w:val="0"/>
      <w:divBdr>
        <w:top w:val="none" w:sz="0" w:space="0" w:color="auto"/>
        <w:left w:val="none" w:sz="0" w:space="0" w:color="auto"/>
        <w:bottom w:val="none" w:sz="0" w:space="0" w:color="auto"/>
        <w:right w:val="none" w:sz="0" w:space="0" w:color="auto"/>
      </w:divBdr>
      <w:divsChild>
        <w:div w:id="490409333">
          <w:marLeft w:val="547"/>
          <w:marRight w:val="0"/>
          <w:marTop w:val="200"/>
          <w:marBottom w:val="0"/>
          <w:divBdr>
            <w:top w:val="none" w:sz="0" w:space="0" w:color="auto"/>
            <w:left w:val="none" w:sz="0" w:space="0" w:color="auto"/>
            <w:bottom w:val="none" w:sz="0" w:space="0" w:color="auto"/>
            <w:right w:val="none" w:sz="0" w:space="0" w:color="auto"/>
          </w:divBdr>
        </w:div>
        <w:div w:id="626353436">
          <w:marLeft w:val="547"/>
          <w:marRight w:val="0"/>
          <w:marTop w:val="200"/>
          <w:marBottom w:val="0"/>
          <w:divBdr>
            <w:top w:val="none" w:sz="0" w:space="0" w:color="auto"/>
            <w:left w:val="none" w:sz="0" w:space="0" w:color="auto"/>
            <w:bottom w:val="none" w:sz="0" w:space="0" w:color="auto"/>
            <w:right w:val="none" w:sz="0" w:space="0" w:color="auto"/>
          </w:divBdr>
        </w:div>
        <w:div w:id="633365743">
          <w:marLeft w:val="547"/>
          <w:marRight w:val="0"/>
          <w:marTop w:val="200"/>
          <w:marBottom w:val="0"/>
          <w:divBdr>
            <w:top w:val="none" w:sz="0" w:space="0" w:color="auto"/>
            <w:left w:val="none" w:sz="0" w:space="0" w:color="auto"/>
            <w:bottom w:val="none" w:sz="0" w:space="0" w:color="auto"/>
            <w:right w:val="none" w:sz="0" w:space="0" w:color="auto"/>
          </w:divBdr>
        </w:div>
        <w:div w:id="988249159">
          <w:marLeft w:val="547"/>
          <w:marRight w:val="0"/>
          <w:marTop w:val="200"/>
          <w:marBottom w:val="0"/>
          <w:divBdr>
            <w:top w:val="none" w:sz="0" w:space="0" w:color="auto"/>
            <w:left w:val="none" w:sz="0" w:space="0" w:color="auto"/>
            <w:bottom w:val="none" w:sz="0" w:space="0" w:color="auto"/>
            <w:right w:val="none" w:sz="0" w:space="0" w:color="auto"/>
          </w:divBdr>
        </w:div>
      </w:divsChild>
    </w:div>
    <w:div w:id="1599289582">
      <w:bodyDiv w:val="1"/>
      <w:marLeft w:val="0"/>
      <w:marRight w:val="0"/>
      <w:marTop w:val="0"/>
      <w:marBottom w:val="0"/>
      <w:divBdr>
        <w:top w:val="none" w:sz="0" w:space="0" w:color="auto"/>
        <w:left w:val="none" w:sz="0" w:space="0" w:color="auto"/>
        <w:bottom w:val="none" w:sz="0" w:space="0" w:color="auto"/>
        <w:right w:val="none" w:sz="0" w:space="0" w:color="auto"/>
      </w:divBdr>
    </w:div>
    <w:div w:id="1599943618">
      <w:bodyDiv w:val="1"/>
      <w:marLeft w:val="0"/>
      <w:marRight w:val="0"/>
      <w:marTop w:val="0"/>
      <w:marBottom w:val="0"/>
      <w:divBdr>
        <w:top w:val="none" w:sz="0" w:space="0" w:color="auto"/>
        <w:left w:val="none" w:sz="0" w:space="0" w:color="auto"/>
        <w:bottom w:val="none" w:sz="0" w:space="0" w:color="auto"/>
        <w:right w:val="none" w:sz="0" w:space="0" w:color="auto"/>
      </w:divBdr>
    </w:div>
    <w:div w:id="1600286834">
      <w:bodyDiv w:val="1"/>
      <w:marLeft w:val="0"/>
      <w:marRight w:val="0"/>
      <w:marTop w:val="0"/>
      <w:marBottom w:val="0"/>
      <w:divBdr>
        <w:top w:val="none" w:sz="0" w:space="0" w:color="auto"/>
        <w:left w:val="none" w:sz="0" w:space="0" w:color="auto"/>
        <w:bottom w:val="none" w:sz="0" w:space="0" w:color="auto"/>
        <w:right w:val="none" w:sz="0" w:space="0" w:color="auto"/>
      </w:divBdr>
      <w:divsChild>
        <w:div w:id="237174847">
          <w:marLeft w:val="0"/>
          <w:marRight w:val="0"/>
          <w:marTop w:val="0"/>
          <w:marBottom w:val="0"/>
          <w:divBdr>
            <w:top w:val="none" w:sz="0" w:space="0" w:color="auto"/>
            <w:left w:val="none" w:sz="0" w:space="0" w:color="auto"/>
            <w:bottom w:val="none" w:sz="0" w:space="0" w:color="auto"/>
            <w:right w:val="none" w:sz="0" w:space="0" w:color="auto"/>
          </w:divBdr>
        </w:div>
        <w:div w:id="311834603">
          <w:marLeft w:val="0"/>
          <w:marRight w:val="0"/>
          <w:marTop w:val="0"/>
          <w:marBottom w:val="0"/>
          <w:divBdr>
            <w:top w:val="none" w:sz="0" w:space="0" w:color="auto"/>
            <w:left w:val="none" w:sz="0" w:space="0" w:color="auto"/>
            <w:bottom w:val="none" w:sz="0" w:space="0" w:color="auto"/>
            <w:right w:val="none" w:sz="0" w:space="0" w:color="auto"/>
          </w:divBdr>
        </w:div>
        <w:div w:id="350840585">
          <w:marLeft w:val="0"/>
          <w:marRight w:val="0"/>
          <w:marTop w:val="0"/>
          <w:marBottom w:val="0"/>
          <w:divBdr>
            <w:top w:val="none" w:sz="0" w:space="0" w:color="auto"/>
            <w:left w:val="none" w:sz="0" w:space="0" w:color="auto"/>
            <w:bottom w:val="none" w:sz="0" w:space="0" w:color="auto"/>
            <w:right w:val="none" w:sz="0" w:space="0" w:color="auto"/>
          </w:divBdr>
        </w:div>
        <w:div w:id="575212644">
          <w:marLeft w:val="0"/>
          <w:marRight w:val="0"/>
          <w:marTop w:val="0"/>
          <w:marBottom w:val="0"/>
          <w:divBdr>
            <w:top w:val="none" w:sz="0" w:space="0" w:color="auto"/>
            <w:left w:val="none" w:sz="0" w:space="0" w:color="auto"/>
            <w:bottom w:val="none" w:sz="0" w:space="0" w:color="auto"/>
            <w:right w:val="none" w:sz="0" w:space="0" w:color="auto"/>
          </w:divBdr>
        </w:div>
        <w:div w:id="690686282">
          <w:marLeft w:val="0"/>
          <w:marRight w:val="0"/>
          <w:marTop w:val="0"/>
          <w:marBottom w:val="0"/>
          <w:divBdr>
            <w:top w:val="none" w:sz="0" w:space="0" w:color="auto"/>
            <w:left w:val="none" w:sz="0" w:space="0" w:color="auto"/>
            <w:bottom w:val="none" w:sz="0" w:space="0" w:color="auto"/>
            <w:right w:val="none" w:sz="0" w:space="0" w:color="auto"/>
          </w:divBdr>
        </w:div>
        <w:div w:id="716247872">
          <w:marLeft w:val="0"/>
          <w:marRight w:val="0"/>
          <w:marTop w:val="0"/>
          <w:marBottom w:val="0"/>
          <w:divBdr>
            <w:top w:val="none" w:sz="0" w:space="0" w:color="auto"/>
            <w:left w:val="none" w:sz="0" w:space="0" w:color="auto"/>
            <w:bottom w:val="none" w:sz="0" w:space="0" w:color="auto"/>
            <w:right w:val="none" w:sz="0" w:space="0" w:color="auto"/>
          </w:divBdr>
        </w:div>
        <w:div w:id="724530582">
          <w:marLeft w:val="0"/>
          <w:marRight w:val="0"/>
          <w:marTop w:val="0"/>
          <w:marBottom w:val="0"/>
          <w:divBdr>
            <w:top w:val="none" w:sz="0" w:space="0" w:color="auto"/>
            <w:left w:val="none" w:sz="0" w:space="0" w:color="auto"/>
            <w:bottom w:val="none" w:sz="0" w:space="0" w:color="auto"/>
            <w:right w:val="none" w:sz="0" w:space="0" w:color="auto"/>
          </w:divBdr>
        </w:div>
        <w:div w:id="741683499">
          <w:marLeft w:val="0"/>
          <w:marRight w:val="0"/>
          <w:marTop w:val="0"/>
          <w:marBottom w:val="0"/>
          <w:divBdr>
            <w:top w:val="none" w:sz="0" w:space="0" w:color="auto"/>
            <w:left w:val="none" w:sz="0" w:space="0" w:color="auto"/>
            <w:bottom w:val="none" w:sz="0" w:space="0" w:color="auto"/>
            <w:right w:val="none" w:sz="0" w:space="0" w:color="auto"/>
          </w:divBdr>
        </w:div>
        <w:div w:id="777602351">
          <w:marLeft w:val="0"/>
          <w:marRight w:val="0"/>
          <w:marTop w:val="0"/>
          <w:marBottom w:val="0"/>
          <w:divBdr>
            <w:top w:val="none" w:sz="0" w:space="0" w:color="auto"/>
            <w:left w:val="none" w:sz="0" w:space="0" w:color="auto"/>
            <w:bottom w:val="none" w:sz="0" w:space="0" w:color="auto"/>
            <w:right w:val="none" w:sz="0" w:space="0" w:color="auto"/>
          </w:divBdr>
        </w:div>
        <w:div w:id="978534195">
          <w:marLeft w:val="0"/>
          <w:marRight w:val="0"/>
          <w:marTop w:val="0"/>
          <w:marBottom w:val="0"/>
          <w:divBdr>
            <w:top w:val="none" w:sz="0" w:space="0" w:color="auto"/>
            <w:left w:val="none" w:sz="0" w:space="0" w:color="auto"/>
            <w:bottom w:val="none" w:sz="0" w:space="0" w:color="auto"/>
            <w:right w:val="none" w:sz="0" w:space="0" w:color="auto"/>
          </w:divBdr>
        </w:div>
        <w:div w:id="1009261316">
          <w:marLeft w:val="0"/>
          <w:marRight w:val="0"/>
          <w:marTop w:val="0"/>
          <w:marBottom w:val="0"/>
          <w:divBdr>
            <w:top w:val="none" w:sz="0" w:space="0" w:color="auto"/>
            <w:left w:val="none" w:sz="0" w:space="0" w:color="auto"/>
            <w:bottom w:val="none" w:sz="0" w:space="0" w:color="auto"/>
            <w:right w:val="none" w:sz="0" w:space="0" w:color="auto"/>
          </w:divBdr>
        </w:div>
        <w:div w:id="1071731009">
          <w:marLeft w:val="0"/>
          <w:marRight w:val="0"/>
          <w:marTop w:val="0"/>
          <w:marBottom w:val="0"/>
          <w:divBdr>
            <w:top w:val="none" w:sz="0" w:space="0" w:color="auto"/>
            <w:left w:val="none" w:sz="0" w:space="0" w:color="auto"/>
            <w:bottom w:val="none" w:sz="0" w:space="0" w:color="auto"/>
            <w:right w:val="none" w:sz="0" w:space="0" w:color="auto"/>
          </w:divBdr>
        </w:div>
        <w:div w:id="1091465149">
          <w:marLeft w:val="0"/>
          <w:marRight w:val="0"/>
          <w:marTop w:val="0"/>
          <w:marBottom w:val="0"/>
          <w:divBdr>
            <w:top w:val="none" w:sz="0" w:space="0" w:color="auto"/>
            <w:left w:val="none" w:sz="0" w:space="0" w:color="auto"/>
            <w:bottom w:val="none" w:sz="0" w:space="0" w:color="auto"/>
            <w:right w:val="none" w:sz="0" w:space="0" w:color="auto"/>
          </w:divBdr>
        </w:div>
        <w:div w:id="1126045106">
          <w:marLeft w:val="0"/>
          <w:marRight w:val="0"/>
          <w:marTop w:val="0"/>
          <w:marBottom w:val="0"/>
          <w:divBdr>
            <w:top w:val="none" w:sz="0" w:space="0" w:color="auto"/>
            <w:left w:val="none" w:sz="0" w:space="0" w:color="auto"/>
            <w:bottom w:val="none" w:sz="0" w:space="0" w:color="auto"/>
            <w:right w:val="none" w:sz="0" w:space="0" w:color="auto"/>
          </w:divBdr>
        </w:div>
        <w:div w:id="1155797808">
          <w:marLeft w:val="0"/>
          <w:marRight w:val="0"/>
          <w:marTop w:val="0"/>
          <w:marBottom w:val="0"/>
          <w:divBdr>
            <w:top w:val="none" w:sz="0" w:space="0" w:color="auto"/>
            <w:left w:val="none" w:sz="0" w:space="0" w:color="auto"/>
            <w:bottom w:val="none" w:sz="0" w:space="0" w:color="auto"/>
            <w:right w:val="none" w:sz="0" w:space="0" w:color="auto"/>
          </w:divBdr>
        </w:div>
        <w:div w:id="1282152703">
          <w:marLeft w:val="0"/>
          <w:marRight w:val="0"/>
          <w:marTop w:val="0"/>
          <w:marBottom w:val="0"/>
          <w:divBdr>
            <w:top w:val="none" w:sz="0" w:space="0" w:color="auto"/>
            <w:left w:val="none" w:sz="0" w:space="0" w:color="auto"/>
            <w:bottom w:val="none" w:sz="0" w:space="0" w:color="auto"/>
            <w:right w:val="none" w:sz="0" w:space="0" w:color="auto"/>
          </w:divBdr>
        </w:div>
        <w:div w:id="1460686419">
          <w:marLeft w:val="0"/>
          <w:marRight w:val="0"/>
          <w:marTop w:val="0"/>
          <w:marBottom w:val="0"/>
          <w:divBdr>
            <w:top w:val="none" w:sz="0" w:space="0" w:color="auto"/>
            <w:left w:val="none" w:sz="0" w:space="0" w:color="auto"/>
            <w:bottom w:val="none" w:sz="0" w:space="0" w:color="auto"/>
            <w:right w:val="none" w:sz="0" w:space="0" w:color="auto"/>
          </w:divBdr>
        </w:div>
        <w:div w:id="1491674880">
          <w:marLeft w:val="0"/>
          <w:marRight w:val="0"/>
          <w:marTop w:val="0"/>
          <w:marBottom w:val="0"/>
          <w:divBdr>
            <w:top w:val="none" w:sz="0" w:space="0" w:color="auto"/>
            <w:left w:val="none" w:sz="0" w:space="0" w:color="auto"/>
            <w:bottom w:val="none" w:sz="0" w:space="0" w:color="auto"/>
            <w:right w:val="none" w:sz="0" w:space="0" w:color="auto"/>
          </w:divBdr>
        </w:div>
        <w:div w:id="1538621294">
          <w:marLeft w:val="0"/>
          <w:marRight w:val="0"/>
          <w:marTop w:val="0"/>
          <w:marBottom w:val="0"/>
          <w:divBdr>
            <w:top w:val="none" w:sz="0" w:space="0" w:color="auto"/>
            <w:left w:val="none" w:sz="0" w:space="0" w:color="auto"/>
            <w:bottom w:val="none" w:sz="0" w:space="0" w:color="auto"/>
            <w:right w:val="none" w:sz="0" w:space="0" w:color="auto"/>
          </w:divBdr>
        </w:div>
        <w:div w:id="1543208571">
          <w:marLeft w:val="0"/>
          <w:marRight w:val="0"/>
          <w:marTop w:val="0"/>
          <w:marBottom w:val="0"/>
          <w:divBdr>
            <w:top w:val="none" w:sz="0" w:space="0" w:color="auto"/>
            <w:left w:val="none" w:sz="0" w:space="0" w:color="auto"/>
            <w:bottom w:val="none" w:sz="0" w:space="0" w:color="auto"/>
            <w:right w:val="none" w:sz="0" w:space="0" w:color="auto"/>
          </w:divBdr>
        </w:div>
        <w:div w:id="1578399270">
          <w:marLeft w:val="0"/>
          <w:marRight w:val="0"/>
          <w:marTop w:val="0"/>
          <w:marBottom w:val="0"/>
          <w:divBdr>
            <w:top w:val="none" w:sz="0" w:space="0" w:color="auto"/>
            <w:left w:val="none" w:sz="0" w:space="0" w:color="auto"/>
            <w:bottom w:val="none" w:sz="0" w:space="0" w:color="auto"/>
            <w:right w:val="none" w:sz="0" w:space="0" w:color="auto"/>
          </w:divBdr>
        </w:div>
        <w:div w:id="1599675783">
          <w:marLeft w:val="0"/>
          <w:marRight w:val="0"/>
          <w:marTop w:val="0"/>
          <w:marBottom w:val="0"/>
          <w:divBdr>
            <w:top w:val="none" w:sz="0" w:space="0" w:color="auto"/>
            <w:left w:val="none" w:sz="0" w:space="0" w:color="auto"/>
            <w:bottom w:val="none" w:sz="0" w:space="0" w:color="auto"/>
            <w:right w:val="none" w:sz="0" w:space="0" w:color="auto"/>
          </w:divBdr>
        </w:div>
        <w:div w:id="1848209080">
          <w:marLeft w:val="0"/>
          <w:marRight w:val="0"/>
          <w:marTop w:val="0"/>
          <w:marBottom w:val="0"/>
          <w:divBdr>
            <w:top w:val="none" w:sz="0" w:space="0" w:color="auto"/>
            <w:left w:val="none" w:sz="0" w:space="0" w:color="auto"/>
            <w:bottom w:val="none" w:sz="0" w:space="0" w:color="auto"/>
            <w:right w:val="none" w:sz="0" w:space="0" w:color="auto"/>
          </w:divBdr>
        </w:div>
        <w:div w:id="1888179329">
          <w:marLeft w:val="0"/>
          <w:marRight w:val="0"/>
          <w:marTop w:val="0"/>
          <w:marBottom w:val="0"/>
          <w:divBdr>
            <w:top w:val="none" w:sz="0" w:space="0" w:color="auto"/>
            <w:left w:val="none" w:sz="0" w:space="0" w:color="auto"/>
            <w:bottom w:val="none" w:sz="0" w:space="0" w:color="auto"/>
            <w:right w:val="none" w:sz="0" w:space="0" w:color="auto"/>
          </w:divBdr>
        </w:div>
        <w:div w:id="1892230258">
          <w:marLeft w:val="0"/>
          <w:marRight w:val="0"/>
          <w:marTop w:val="0"/>
          <w:marBottom w:val="0"/>
          <w:divBdr>
            <w:top w:val="none" w:sz="0" w:space="0" w:color="auto"/>
            <w:left w:val="none" w:sz="0" w:space="0" w:color="auto"/>
            <w:bottom w:val="none" w:sz="0" w:space="0" w:color="auto"/>
            <w:right w:val="none" w:sz="0" w:space="0" w:color="auto"/>
          </w:divBdr>
        </w:div>
        <w:div w:id="1898082830">
          <w:marLeft w:val="0"/>
          <w:marRight w:val="0"/>
          <w:marTop w:val="0"/>
          <w:marBottom w:val="0"/>
          <w:divBdr>
            <w:top w:val="none" w:sz="0" w:space="0" w:color="auto"/>
            <w:left w:val="none" w:sz="0" w:space="0" w:color="auto"/>
            <w:bottom w:val="none" w:sz="0" w:space="0" w:color="auto"/>
            <w:right w:val="none" w:sz="0" w:space="0" w:color="auto"/>
          </w:divBdr>
        </w:div>
        <w:div w:id="1920626750">
          <w:marLeft w:val="0"/>
          <w:marRight w:val="0"/>
          <w:marTop w:val="0"/>
          <w:marBottom w:val="0"/>
          <w:divBdr>
            <w:top w:val="none" w:sz="0" w:space="0" w:color="auto"/>
            <w:left w:val="none" w:sz="0" w:space="0" w:color="auto"/>
            <w:bottom w:val="none" w:sz="0" w:space="0" w:color="auto"/>
            <w:right w:val="none" w:sz="0" w:space="0" w:color="auto"/>
          </w:divBdr>
        </w:div>
        <w:div w:id="1926836615">
          <w:marLeft w:val="0"/>
          <w:marRight w:val="0"/>
          <w:marTop w:val="0"/>
          <w:marBottom w:val="0"/>
          <w:divBdr>
            <w:top w:val="none" w:sz="0" w:space="0" w:color="auto"/>
            <w:left w:val="none" w:sz="0" w:space="0" w:color="auto"/>
            <w:bottom w:val="none" w:sz="0" w:space="0" w:color="auto"/>
            <w:right w:val="none" w:sz="0" w:space="0" w:color="auto"/>
          </w:divBdr>
        </w:div>
        <w:div w:id="2142578290">
          <w:marLeft w:val="0"/>
          <w:marRight w:val="0"/>
          <w:marTop w:val="0"/>
          <w:marBottom w:val="0"/>
          <w:divBdr>
            <w:top w:val="none" w:sz="0" w:space="0" w:color="auto"/>
            <w:left w:val="none" w:sz="0" w:space="0" w:color="auto"/>
            <w:bottom w:val="none" w:sz="0" w:space="0" w:color="auto"/>
            <w:right w:val="none" w:sz="0" w:space="0" w:color="auto"/>
          </w:divBdr>
        </w:div>
      </w:divsChild>
    </w:div>
    <w:div w:id="1604727977">
      <w:bodyDiv w:val="1"/>
      <w:marLeft w:val="0"/>
      <w:marRight w:val="0"/>
      <w:marTop w:val="0"/>
      <w:marBottom w:val="0"/>
      <w:divBdr>
        <w:top w:val="none" w:sz="0" w:space="0" w:color="auto"/>
        <w:left w:val="none" w:sz="0" w:space="0" w:color="auto"/>
        <w:bottom w:val="none" w:sz="0" w:space="0" w:color="auto"/>
        <w:right w:val="none" w:sz="0" w:space="0" w:color="auto"/>
      </w:divBdr>
    </w:div>
    <w:div w:id="1608345588">
      <w:bodyDiv w:val="1"/>
      <w:marLeft w:val="0"/>
      <w:marRight w:val="0"/>
      <w:marTop w:val="0"/>
      <w:marBottom w:val="0"/>
      <w:divBdr>
        <w:top w:val="none" w:sz="0" w:space="0" w:color="auto"/>
        <w:left w:val="none" w:sz="0" w:space="0" w:color="auto"/>
        <w:bottom w:val="none" w:sz="0" w:space="0" w:color="auto"/>
        <w:right w:val="none" w:sz="0" w:space="0" w:color="auto"/>
      </w:divBdr>
    </w:div>
    <w:div w:id="1609847738">
      <w:bodyDiv w:val="1"/>
      <w:marLeft w:val="0"/>
      <w:marRight w:val="0"/>
      <w:marTop w:val="0"/>
      <w:marBottom w:val="0"/>
      <w:divBdr>
        <w:top w:val="none" w:sz="0" w:space="0" w:color="auto"/>
        <w:left w:val="none" w:sz="0" w:space="0" w:color="auto"/>
        <w:bottom w:val="none" w:sz="0" w:space="0" w:color="auto"/>
        <w:right w:val="none" w:sz="0" w:space="0" w:color="auto"/>
      </w:divBdr>
      <w:divsChild>
        <w:div w:id="189297436">
          <w:marLeft w:val="648"/>
          <w:marRight w:val="0"/>
          <w:marTop w:val="0"/>
          <w:marBottom w:val="0"/>
          <w:divBdr>
            <w:top w:val="none" w:sz="0" w:space="0" w:color="auto"/>
            <w:left w:val="none" w:sz="0" w:space="0" w:color="auto"/>
            <w:bottom w:val="none" w:sz="0" w:space="0" w:color="auto"/>
            <w:right w:val="none" w:sz="0" w:space="0" w:color="auto"/>
          </w:divBdr>
        </w:div>
        <w:div w:id="1137189322">
          <w:marLeft w:val="274"/>
          <w:marRight w:val="0"/>
          <w:marTop w:val="0"/>
          <w:marBottom w:val="0"/>
          <w:divBdr>
            <w:top w:val="none" w:sz="0" w:space="0" w:color="auto"/>
            <w:left w:val="none" w:sz="0" w:space="0" w:color="auto"/>
            <w:bottom w:val="none" w:sz="0" w:space="0" w:color="auto"/>
            <w:right w:val="none" w:sz="0" w:space="0" w:color="auto"/>
          </w:divBdr>
        </w:div>
        <w:div w:id="2047680436">
          <w:marLeft w:val="648"/>
          <w:marRight w:val="0"/>
          <w:marTop w:val="0"/>
          <w:marBottom w:val="0"/>
          <w:divBdr>
            <w:top w:val="none" w:sz="0" w:space="0" w:color="auto"/>
            <w:left w:val="none" w:sz="0" w:space="0" w:color="auto"/>
            <w:bottom w:val="none" w:sz="0" w:space="0" w:color="auto"/>
            <w:right w:val="none" w:sz="0" w:space="0" w:color="auto"/>
          </w:divBdr>
        </w:div>
      </w:divsChild>
    </w:div>
    <w:div w:id="1612514765">
      <w:bodyDiv w:val="1"/>
      <w:marLeft w:val="0"/>
      <w:marRight w:val="0"/>
      <w:marTop w:val="0"/>
      <w:marBottom w:val="0"/>
      <w:divBdr>
        <w:top w:val="none" w:sz="0" w:space="0" w:color="auto"/>
        <w:left w:val="none" w:sz="0" w:space="0" w:color="auto"/>
        <w:bottom w:val="none" w:sz="0" w:space="0" w:color="auto"/>
        <w:right w:val="none" w:sz="0" w:space="0" w:color="auto"/>
      </w:divBdr>
    </w:div>
    <w:div w:id="1622610638">
      <w:bodyDiv w:val="1"/>
      <w:marLeft w:val="0"/>
      <w:marRight w:val="0"/>
      <w:marTop w:val="0"/>
      <w:marBottom w:val="0"/>
      <w:divBdr>
        <w:top w:val="none" w:sz="0" w:space="0" w:color="auto"/>
        <w:left w:val="none" w:sz="0" w:space="0" w:color="auto"/>
        <w:bottom w:val="none" w:sz="0" w:space="0" w:color="auto"/>
        <w:right w:val="none" w:sz="0" w:space="0" w:color="auto"/>
      </w:divBdr>
      <w:divsChild>
        <w:div w:id="1279291159">
          <w:marLeft w:val="432"/>
          <w:marRight w:val="0"/>
          <w:marTop w:val="0"/>
          <w:marBottom w:val="0"/>
          <w:divBdr>
            <w:top w:val="none" w:sz="0" w:space="0" w:color="auto"/>
            <w:left w:val="none" w:sz="0" w:space="0" w:color="auto"/>
            <w:bottom w:val="none" w:sz="0" w:space="0" w:color="auto"/>
            <w:right w:val="none" w:sz="0" w:space="0" w:color="auto"/>
          </w:divBdr>
        </w:div>
        <w:div w:id="1580599823">
          <w:marLeft w:val="432"/>
          <w:marRight w:val="0"/>
          <w:marTop w:val="0"/>
          <w:marBottom w:val="0"/>
          <w:divBdr>
            <w:top w:val="none" w:sz="0" w:space="0" w:color="auto"/>
            <w:left w:val="none" w:sz="0" w:space="0" w:color="auto"/>
            <w:bottom w:val="none" w:sz="0" w:space="0" w:color="auto"/>
            <w:right w:val="none" w:sz="0" w:space="0" w:color="auto"/>
          </w:divBdr>
        </w:div>
      </w:divsChild>
    </w:div>
    <w:div w:id="1624388662">
      <w:bodyDiv w:val="1"/>
      <w:marLeft w:val="0"/>
      <w:marRight w:val="0"/>
      <w:marTop w:val="0"/>
      <w:marBottom w:val="0"/>
      <w:divBdr>
        <w:top w:val="none" w:sz="0" w:space="0" w:color="auto"/>
        <w:left w:val="none" w:sz="0" w:space="0" w:color="auto"/>
        <w:bottom w:val="none" w:sz="0" w:space="0" w:color="auto"/>
        <w:right w:val="none" w:sz="0" w:space="0" w:color="auto"/>
      </w:divBdr>
    </w:div>
    <w:div w:id="1629621933">
      <w:bodyDiv w:val="1"/>
      <w:marLeft w:val="0"/>
      <w:marRight w:val="0"/>
      <w:marTop w:val="0"/>
      <w:marBottom w:val="0"/>
      <w:divBdr>
        <w:top w:val="none" w:sz="0" w:space="0" w:color="auto"/>
        <w:left w:val="none" w:sz="0" w:space="0" w:color="auto"/>
        <w:bottom w:val="none" w:sz="0" w:space="0" w:color="auto"/>
        <w:right w:val="none" w:sz="0" w:space="0" w:color="auto"/>
      </w:divBdr>
    </w:div>
    <w:div w:id="1641763582">
      <w:bodyDiv w:val="1"/>
      <w:marLeft w:val="0"/>
      <w:marRight w:val="0"/>
      <w:marTop w:val="0"/>
      <w:marBottom w:val="0"/>
      <w:divBdr>
        <w:top w:val="none" w:sz="0" w:space="0" w:color="auto"/>
        <w:left w:val="none" w:sz="0" w:space="0" w:color="auto"/>
        <w:bottom w:val="none" w:sz="0" w:space="0" w:color="auto"/>
        <w:right w:val="none" w:sz="0" w:space="0" w:color="auto"/>
      </w:divBdr>
      <w:divsChild>
        <w:div w:id="824129912">
          <w:marLeft w:val="288"/>
          <w:marRight w:val="0"/>
          <w:marTop w:val="120"/>
          <w:marBottom w:val="120"/>
          <w:divBdr>
            <w:top w:val="none" w:sz="0" w:space="0" w:color="auto"/>
            <w:left w:val="none" w:sz="0" w:space="0" w:color="auto"/>
            <w:bottom w:val="none" w:sz="0" w:space="0" w:color="auto"/>
            <w:right w:val="none" w:sz="0" w:space="0" w:color="auto"/>
          </w:divBdr>
        </w:div>
        <w:div w:id="1066800038">
          <w:marLeft w:val="288"/>
          <w:marRight w:val="0"/>
          <w:marTop w:val="120"/>
          <w:marBottom w:val="120"/>
          <w:divBdr>
            <w:top w:val="none" w:sz="0" w:space="0" w:color="auto"/>
            <w:left w:val="none" w:sz="0" w:space="0" w:color="auto"/>
            <w:bottom w:val="none" w:sz="0" w:space="0" w:color="auto"/>
            <w:right w:val="none" w:sz="0" w:space="0" w:color="auto"/>
          </w:divBdr>
        </w:div>
        <w:div w:id="1107850448">
          <w:marLeft w:val="288"/>
          <w:marRight w:val="0"/>
          <w:marTop w:val="120"/>
          <w:marBottom w:val="120"/>
          <w:divBdr>
            <w:top w:val="none" w:sz="0" w:space="0" w:color="auto"/>
            <w:left w:val="none" w:sz="0" w:space="0" w:color="auto"/>
            <w:bottom w:val="none" w:sz="0" w:space="0" w:color="auto"/>
            <w:right w:val="none" w:sz="0" w:space="0" w:color="auto"/>
          </w:divBdr>
        </w:div>
        <w:div w:id="1475412847">
          <w:marLeft w:val="288"/>
          <w:marRight w:val="0"/>
          <w:marTop w:val="120"/>
          <w:marBottom w:val="120"/>
          <w:divBdr>
            <w:top w:val="none" w:sz="0" w:space="0" w:color="auto"/>
            <w:left w:val="none" w:sz="0" w:space="0" w:color="auto"/>
            <w:bottom w:val="none" w:sz="0" w:space="0" w:color="auto"/>
            <w:right w:val="none" w:sz="0" w:space="0" w:color="auto"/>
          </w:divBdr>
        </w:div>
      </w:divsChild>
    </w:div>
    <w:div w:id="1654724032">
      <w:bodyDiv w:val="1"/>
      <w:marLeft w:val="0"/>
      <w:marRight w:val="0"/>
      <w:marTop w:val="0"/>
      <w:marBottom w:val="0"/>
      <w:divBdr>
        <w:top w:val="none" w:sz="0" w:space="0" w:color="auto"/>
        <w:left w:val="none" w:sz="0" w:space="0" w:color="auto"/>
        <w:bottom w:val="none" w:sz="0" w:space="0" w:color="auto"/>
        <w:right w:val="none" w:sz="0" w:space="0" w:color="auto"/>
      </w:divBdr>
    </w:div>
    <w:div w:id="1662463898">
      <w:bodyDiv w:val="1"/>
      <w:marLeft w:val="0"/>
      <w:marRight w:val="0"/>
      <w:marTop w:val="0"/>
      <w:marBottom w:val="0"/>
      <w:divBdr>
        <w:top w:val="none" w:sz="0" w:space="0" w:color="auto"/>
        <w:left w:val="none" w:sz="0" w:space="0" w:color="auto"/>
        <w:bottom w:val="none" w:sz="0" w:space="0" w:color="auto"/>
        <w:right w:val="none" w:sz="0" w:space="0" w:color="auto"/>
      </w:divBdr>
    </w:div>
    <w:div w:id="1664503327">
      <w:bodyDiv w:val="1"/>
      <w:marLeft w:val="0"/>
      <w:marRight w:val="0"/>
      <w:marTop w:val="0"/>
      <w:marBottom w:val="0"/>
      <w:divBdr>
        <w:top w:val="none" w:sz="0" w:space="0" w:color="auto"/>
        <w:left w:val="none" w:sz="0" w:space="0" w:color="auto"/>
        <w:bottom w:val="none" w:sz="0" w:space="0" w:color="auto"/>
        <w:right w:val="none" w:sz="0" w:space="0" w:color="auto"/>
      </w:divBdr>
    </w:div>
    <w:div w:id="1667127310">
      <w:bodyDiv w:val="1"/>
      <w:marLeft w:val="0"/>
      <w:marRight w:val="0"/>
      <w:marTop w:val="0"/>
      <w:marBottom w:val="0"/>
      <w:divBdr>
        <w:top w:val="none" w:sz="0" w:space="0" w:color="auto"/>
        <w:left w:val="none" w:sz="0" w:space="0" w:color="auto"/>
        <w:bottom w:val="none" w:sz="0" w:space="0" w:color="auto"/>
        <w:right w:val="none" w:sz="0" w:space="0" w:color="auto"/>
      </w:divBdr>
    </w:div>
    <w:div w:id="1672440624">
      <w:bodyDiv w:val="1"/>
      <w:marLeft w:val="0"/>
      <w:marRight w:val="0"/>
      <w:marTop w:val="0"/>
      <w:marBottom w:val="0"/>
      <w:divBdr>
        <w:top w:val="none" w:sz="0" w:space="0" w:color="auto"/>
        <w:left w:val="none" w:sz="0" w:space="0" w:color="auto"/>
        <w:bottom w:val="none" w:sz="0" w:space="0" w:color="auto"/>
        <w:right w:val="none" w:sz="0" w:space="0" w:color="auto"/>
      </w:divBdr>
    </w:div>
    <w:div w:id="1674141965">
      <w:bodyDiv w:val="1"/>
      <w:marLeft w:val="0"/>
      <w:marRight w:val="0"/>
      <w:marTop w:val="0"/>
      <w:marBottom w:val="0"/>
      <w:divBdr>
        <w:top w:val="none" w:sz="0" w:space="0" w:color="auto"/>
        <w:left w:val="none" w:sz="0" w:space="0" w:color="auto"/>
        <w:bottom w:val="none" w:sz="0" w:space="0" w:color="auto"/>
        <w:right w:val="none" w:sz="0" w:space="0" w:color="auto"/>
      </w:divBdr>
    </w:div>
    <w:div w:id="1674335631">
      <w:bodyDiv w:val="1"/>
      <w:marLeft w:val="0"/>
      <w:marRight w:val="0"/>
      <w:marTop w:val="0"/>
      <w:marBottom w:val="0"/>
      <w:divBdr>
        <w:top w:val="none" w:sz="0" w:space="0" w:color="auto"/>
        <w:left w:val="none" w:sz="0" w:space="0" w:color="auto"/>
        <w:bottom w:val="none" w:sz="0" w:space="0" w:color="auto"/>
        <w:right w:val="none" w:sz="0" w:space="0" w:color="auto"/>
      </w:divBdr>
    </w:div>
    <w:div w:id="1678118156">
      <w:bodyDiv w:val="1"/>
      <w:marLeft w:val="0"/>
      <w:marRight w:val="0"/>
      <w:marTop w:val="0"/>
      <w:marBottom w:val="0"/>
      <w:divBdr>
        <w:top w:val="none" w:sz="0" w:space="0" w:color="auto"/>
        <w:left w:val="none" w:sz="0" w:space="0" w:color="auto"/>
        <w:bottom w:val="none" w:sz="0" w:space="0" w:color="auto"/>
        <w:right w:val="none" w:sz="0" w:space="0" w:color="auto"/>
      </w:divBdr>
    </w:div>
    <w:div w:id="1683167483">
      <w:bodyDiv w:val="1"/>
      <w:marLeft w:val="0"/>
      <w:marRight w:val="0"/>
      <w:marTop w:val="0"/>
      <w:marBottom w:val="0"/>
      <w:divBdr>
        <w:top w:val="none" w:sz="0" w:space="0" w:color="auto"/>
        <w:left w:val="none" w:sz="0" w:space="0" w:color="auto"/>
        <w:bottom w:val="none" w:sz="0" w:space="0" w:color="auto"/>
        <w:right w:val="none" w:sz="0" w:space="0" w:color="auto"/>
      </w:divBdr>
    </w:div>
    <w:div w:id="1687436345">
      <w:bodyDiv w:val="1"/>
      <w:marLeft w:val="0"/>
      <w:marRight w:val="0"/>
      <w:marTop w:val="0"/>
      <w:marBottom w:val="0"/>
      <w:divBdr>
        <w:top w:val="none" w:sz="0" w:space="0" w:color="auto"/>
        <w:left w:val="none" w:sz="0" w:space="0" w:color="auto"/>
        <w:bottom w:val="none" w:sz="0" w:space="0" w:color="auto"/>
        <w:right w:val="none" w:sz="0" w:space="0" w:color="auto"/>
      </w:divBdr>
    </w:div>
    <w:div w:id="1699774178">
      <w:bodyDiv w:val="1"/>
      <w:marLeft w:val="0"/>
      <w:marRight w:val="0"/>
      <w:marTop w:val="0"/>
      <w:marBottom w:val="0"/>
      <w:divBdr>
        <w:top w:val="none" w:sz="0" w:space="0" w:color="auto"/>
        <w:left w:val="none" w:sz="0" w:space="0" w:color="auto"/>
        <w:bottom w:val="none" w:sz="0" w:space="0" w:color="auto"/>
        <w:right w:val="none" w:sz="0" w:space="0" w:color="auto"/>
      </w:divBdr>
    </w:div>
    <w:div w:id="1705867937">
      <w:bodyDiv w:val="1"/>
      <w:marLeft w:val="0"/>
      <w:marRight w:val="0"/>
      <w:marTop w:val="0"/>
      <w:marBottom w:val="0"/>
      <w:divBdr>
        <w:top w:val="none" w:sz="0" w:space="0" w:color="auto"/>
        <w:left w:val="none" w:sz="0" w:space="0" w:color="auto"/>
        <w:bottom w:val="none" w:sz="0" w:space="0" w:color="auto"/>
        <w:right w:val="none" w:sz="0" w:space="0" w:color="auto"/>
      </w:divBdr>
      <w:divsChild>
        <w:div w:id="585456366">
          <w:marLeft w:val="288"/>
          <w:marRight w:val="0"/>
          <w:marTop w:val="54"/>
          <w:marBottom w:val="54"/>
          <w:divBdr>
            <w:top w:val="none" w:sz="0" w:space="0" w:color="auto"/>
            <w:left w:val="none" w:sz="0" w:space="0" w:color="auto"/>
            <w:bottom w:val="none" w:sz="0" w:space="0" w:color="auto"/>
            <w:right w:val="none" w:sz="0" w:space="0" w:color="auto"/>
          </w:divBdr>
        </w:div>
        <w:div w:id="804156637">
          <w:marLeft w:val="288"/>
          <w:marRight w:val="0"/>
          <w:marTop w:val="54"/>
          <w:marBottom w:val="54"/>
          <w:divBdr>
            <w:top w:val="none" w:sz="0" w:space="0" w:color="auto"/>
            <w:left w:val="none" w:sz="0" w:space="0" w:color="auto"/>
            <w:bottom w:val="none" w:sz="0" w:space="0" w:color="auto"/>
            <w:right w:val="none" w:sz="0" w:space="0" w:color="auto"/>
          </w:divBdr>
        </w:div>
        <w:div w:id="1324695803">
          <w:marLeft w:val="288"/>
          <w:marRight w:val="0"/>
          <w:marTop w:val="54"/>
          <w:marBottom w:val="54"/>
          <w:divBdr>
            <w:top w:val="none" w:sz="0" w:space="0" w:color="auto"/>
            <w:left w:val="none" w:sz="0" w:space="0" w:color="auto"/>
            <w:bottom w:val="none" w:sz="0" w:space="0" w:color="auto"/>
            <w:right w:val="none" w:sz="0" w:space="0" w:color="auto"/>
          </w:divBdr>
        </w:div>
      </w:divsChild>
    </w:div>
    <w:div w:id="1712264075">
      <w:bodyDiv w:val="1"/>
      <w:marLeft w:val="0"/>
      <w:marRight w:val="0"/>
      <w:marTop w:val="0"/>
      <w:marBottom w:val="0"/>
      <w:divBdr>
        <w:top w:val="none" w:sz="0" w:space="0" w:color="auto"/>
        <w:left w:val="none" w:sz="0" w:space="0" w:color="auto"/>
        <w:bottom w:val="none" w:sz="0" w:space="0" w:color="auto"/>
        <w:right w:val="none" w:sz="0" w:space="0" w:color="auto"/>
      </w:divBdr>
    </w:div>
    <w:div w:id="1723359153">
      <w:bodyDiv w:val="1"/>
      <w:marLeft w:val="0"/>
      <w:marRight w:val="0"/>
      <w:marTop w:val="0"/>
      <w:marBottom w:val="0"/>
      <w:divBdr>
        <w:top w:val="none" w:sz="0" w:space="0" w:color="auto"/>
        <w:left w:val="none" w:sz="0" w:space="0" w:color="auto"/>
        <w:bottom w:val="none" w:sz="0" w:space="0" w:color="auto"/>
        <w:right w:val="none" w:sz="0" w:space="0" w:color="auto"/>
      </w:divBdr>
    </w:div>
    <w:div w:id="1749383012">
      <w:bodyDiv w:val="1"/>
      <w:marLeft w:val="0"/>
      <w:marRight w:val="0"/>
      <w:marTop w:val="0"/>
      <w:marBottom w:val="0"/>
      <w:divBdr>
        <w:top w:val="none" w:sz="0" w:space="0" w:color="auto"/>
        <w:left w:val="none" w:sz="0" w:space="0" w:color="auto"/>
        <w:bottom w:val="none" w:sz="0" w:space="0" w:color="auto"/>
        <w:right w:val="none" w:sz="0" w:space="0" w:color="auto"/>
      </w:divBdr>
    </w:div>
    <w:div w:id="1750149291">
      <w:bodyDiv w:val="1"/>
      <w:marLeft w:val="0"/>
      <w:marRight w:val="0"/>
      <w:marTop w:val="0"/>
      <w:marBottom w:val="0"/>
      <w:divBdr>
        <w:top w:val="none" w:sz="0" w:space="0" w:color="auto"/>
        <w:left w:val="none" w:sz="0" w:space="0" w:color="auto"/>
        <w:bottom w:val="none" w:sz="0" w:space="0" w:color="auto"/>
        <w:right w:val="none" w:sz="0" w:space="0" w:color="auto"/>
      </w:divBdr>
    </w:div>
    <w:div w:id="1750536599">
      <w:bodyDiv w:val="1"/>
      <w:marLeft w:val="0"/>
      <w:marRight w:val="0"/>
      <w:marTop w:val="0"/>
      <w:marBottom w:val="0"/>
      <w:divBdr>
        <w:top w:val="none" w:sz="0" w:space="0" w:color="auto"/>
        <w:left w:val="none" w:sz="0" w:space="0" w:color="auto"/>
        <w:bottom w:val="none" w:sz="0" w:space="0" w:color="auto"/>
        <w:right w:val="none" w:sz="0" w:space="0" w:color="auto"/>
      </w:divBdr>
    </w:div>
    <w:div w:id="1750809183">
      <w:bodyDiv w:val="1"/>
      <w:marLeft w:val="0"/>
      <w:marRight w:val="0"/>
      <w:marTop w:val="0"/>
      <w:marBottom w:val="0"/>
      <w:divBdr>
        <w:top w:val="none" w:sz="0" w:space="0" w:color="auto"/>
        <w:left w:val="none" w:sz="0" w:space="0" w:color="auto"/>
        <w:bottom w:val="none" w:sz="0" w:space="0" w:color="auto"/>
        <w:right w:val="none" w:sz="0" w:space="0" w:color="auto"/>
      </w:divBdr>
      <w:divsChild>
        <w:div w:id="58672636">
          <w:marLeft w:val="144"/>
          <w:marRight w:val="0"/>
          <w:marTop w:val="0"/>
          <w:marBottom w:val="0"/>
          <w:divBdr>
            <w:top w:val="none" w:sz="0" w:space="0" w:color="auto"/>
            <w:left w:val="none" w:sz="0" w:space="0" w:color="auto"/>
            <w:bottom w:val="none" w:sz="0" w:space="0" w:color="auto"/>
            <w:right w:val="none" w:sz="0" w:space="0" w:color="auto"/>
          </w:divBdr>
        </w:div>
        <w:div w:id="115101204">
          <w:marLeft w:val="144"/>
          <w:marRight w:val="0"/>
          <w:marTop w:val="0"/>
          <w:marBottom w:val="0"/>
          <w:divBdr>
            <w:top w:val="none" w:sz="0" w:space="0" w:color="auto"/>
            <w:left w:val="none" w:sz="0" w:space="0" w:color="auto"/>
            <w:bottom w:val="none" w:sz="0" w:space="0" w:color="auto"/>
            <w:right w:val="none" w:sz="0" w:space="0" w:color="auto"/>
          </w:divBdr>
        </w:div>
        <w:div w:id="140118001">
          <w:marLeft w:val="144"/>
          <w:marRight w:val="0"/>
          <w:marTop w:val="0"/>
          <w:marBottom w:val="0"/>
          <w:divBdr>
            <w:top w:val="none" w:sz="0" w:space="0" w:color="auto"/>
            <w:left w:val="none" w:sz="0" w:space="0" w:color="auto"/>
            <w:bottom w:val="none" w:sz="0" w:space="0" w:color="auto"/>
            <w:right w:val="none" w:sz="0" w:space="0" w:color="auto"/>
          </w:divBdr>
        </w:div>
        <w:div w:id="164787185">
          <w:marLeft w:val="144"/>
          <w:marRight w:val="0"/>
          <w:marTop w:val="0"/>
          <w:marBottom w:val="0"/>
          <w:divBdr>
            <w:top w:val="none" w:sz="0" w:space="0" w:color="auto"/>
            <w:left w:val="none" w:sz="0" w:space="0" w:color="auto"/>
            <w:bottom w:val="none" w:sz="0" w:space="0" w:color="auto"/>
            <w:right w:val="none" w:sz="0" w:space="0" w:color="auto"/>
          </w:divBdr>
        </w:div>
        <w:div w:id="182862301">
          <w:marLeft w:val="144"/>
          <w:marRight w:val="0"/>
          <w:marTop w:val="0"/>
          <w:marBottom w:val="0"/>
          <w:divBdr>
            <w:top w:val="none" w:sz="0" w:space="0" w:color="auto"/>
            <w:left w:val="none" w:sz="0" w:space="0" w:color="auto"/>
            <w:bottom w:val="none" w:sz="0" w:space="0" w:color="auto"/>
            <w:right w:val="none" w:sz="0" w:space="0" w:color="auto"/>
          </w:divBdr>
        </w:div>
        <w:div w:id="325325652">
          <w:marLeft w:val="144"/>
          <w:marRight w:val="0"/>
          <w:marTop w:val="0"/>
          <w:marBottom w:val="0"/>
          <w:divBdr>
            <w:top w:val="none" w:sz="0" w:space="0" w:color="auto"/>
            <w:left w:val="none" w:sz="0" w:space="0" w:color="auto"/>
            <w:bottom w:val="none" w:sz="0" w:space="0" w:color="auto"/>
            <w:right w:val="none" w:sz="0" w:space="0" w:color="auto"/>
          </w:divBdr>
        </w:div>
        <w:div w:id="348258912">
          <w:marLeft w:val="144"/>
          <w:marRight w:val="0"/>
          <w:marTop w:val="0"/>
          <w:marBottom w:val="0"/>
          <w:divBdr>
            <w:top w:val="none" w:sz="0" w:space="0" w:color="auto"/>
            <w:left w:val="none" w:sz="0" w:space="0" w:color="auto"/>
            <w:bottom w:val="none" w:sz="0" w:space="0" w:color="auto"/>
            <w:right w:val="none" w:sz="0" w:space="0" w:color="auto"/>
          </w:divBdr>
        </w:div>
        <w:div w:id="402794969">
          <w:marLeft w:val="144"/>
          <w:marRight w:val="0"/>
          <w:marTop w:val="0"/>
          <w:marBottom w:val="0"/>
          <w:divBdr>
            <w:top w:val="none" w:sz="0" w:space="0" w:color="auto"/>
            <w:left w:val="none" w:sz="0" w:space="0" w:color="auto"/>
            <w:bottom w:val="none" w:sz="0" w:space="0" w:color="auto"/>
            <w:right w:val="none" w:sz="0" w:space="0" w:color="auto"/>
          </w:divBdr>
        </w:div>
        <w:div w:id="480580830">
          <w:marLeft w:val="144"/>
          <w:marRight w:val="0"/>
          <w:marTop w:val="0"/>
          <w:marBottom w:val="0"/>
          <w:divBdr>
            <w:top w:val="none" w:sz="0" w:space="0" w:color="auto"/>
            <w:left w:val="none" w:sz="0" w:space="0" w:color="auto"/>
            <w:bottom w:val="none" w:sz="0" w:space="0" w:color="auto"/>
            <w:right w:val="none" w:sz="0" w:space="0" w:color="auto"/>
          </w:divBdr>
        </w:div>
        <w:div w:id="486363709">
          <w:marLeft w:val="144"/>
          <w:marRight w:val="0"/>
          <w:marTop w:val="0"/>
          <w:marBottom w:val="0"/>
          <w:divBdr>
            <w:top w:val="none" w:sz="0" w:space="0" w:color="auto"/>
            <w:left w:val="none" w:sz="0" w:space="0" w:color="auto"/>
            <w:bottom w:val="none" w:sz="0" w:space="0" w:color="auto"/>
            <w:right w:val="none" w:sz="0" w:space="0" w:color="auto"/>
          </w:divBdr>
        </w:div>
        <w:div w:id="486943010">
          <w:marLeft w:val="144"/>
          <w:marRight w:val="0"/>
          <w:marTop w:val="0"/>
          <w:marBottom w:val="0"/>
          <w:divBdr>
            <w:top w:val="none" w:sz="0" w:space="0" w:color="auto"/>
            <w:left w:val="none" w:sz="0" w:space="0" w:color="auto"/>
            <w:bottom w:val="none" w:sz="0" w:space="0" w:color="auto"/>
            <w:right w:val="none" w:sz="0" w:space="0" w:color="auto"/>
          </w:divBdr>
        </w:div>
        <w:div w:id="577981228">
          <w:marLeft w:val="144"/>
          <w:marRight w:val="0"/>
          <w:marTop w:val="0"/>
          <w:marBottom w:val="0"/>
          <w:divBdr>
            <w:top w:val="none" w:sz="0" w:space="0" w:color="auto"/>
            <w:left w:val="none" w:sz="0" w:space="0" w:color="auto"/>
            <w:bottom w:val="none" w:sz="0" w:space="0" w:color="auto"/>
            <w:right w:val="none" w:sz="0" w:space="0" w:color="auto"/>
          </w:divBdr>
        </w:div>
        <w:div w:id="582103377">
          <w:marLeft w:val="144"/>
          <w:marRight w:val="0"/>
          <w:marTop w:val="0"/>
          <w:marBottom w:val="0"/>
          <w:divBdr>
            <w:top w:val="none" w:sz="0" w:space="0" w:color="auto"/>
            <w:left w:val="none" w:sz="0" w:space="0" w:color="auto"/>
            <w:bottom w:val="none" w:sz="0" w:space="0" w:color="auto"/>
            <w:right w:val="none" w:sz="0" w:space="0" w:color="auto"/>
          </w:divBdr>
        </w:div>
        <w:div w:id="708338967">
          <w:marLeft w:val="144"/>
          <w:marRight w:val="0"/>
          <w:marTop w:val="0"/>
          <w:marBottom w:val="0"/>
          <w:divBdr>
            <w:top w:val="none" w:sz="0" w:space="0" w:color="auto"/>
            <w:left w:val="none" w:sz="0" w:space="0" w:color="auto"/>
            <w:bottom w:val="none" w:sz="0" w:space="0" w:color="auto"/>
            <w:right w:val="none" w:sz="0" w:space="0" w:color="auto"/>
          </w:divBdr>
        </w:div>
        <w:div w:id="718171410">
          <w:marLeft w:val="144"/>
          <w:marRight w:val="0"/>
          <w:marTop w:val="0"/>
          <w:marBottom w:val="0"/>
          <w:divBdr>
            <w:top w:val="none" w:sz="0" w:space="0" w:color="auto"/>
            <w:left w:val="none" w:sz="0" w:space="0" w:color="auto"/>
            <w:bottom w:val="none" w:sz="0" w:space="0" w:color="auto"/>
            <w:right w:val="none" w:sz="0" w:space="0" w:color="auto"/>
          </w:divBdr>
        </w:div>
        <w:div w:id="766192462">
          <w:marLeft w:val="144"/>
          <w:marRight w:val="0"/>
          <w:marTop w:val="0"/>
          <w:marBottom w:val="0"/>
          <w:divBdr>
            <w:top w:val="none" w:sz="0" w:space="0" w:color="auto"/>
            <w:left w:val="none" w:sz="0" w:space="0" w:color="auto"/>
            <w:bottom w:val="none" w:sz="0" w:space="0" w:color="auto"/>
            <w:right w:val="none" w:sz="0" w:space="0" w:color="auto"/>
          </w:divBdr>
        </w:div>
        <w:div w:id="798452240">
          <w:marLeft w:val="144"/>
          <w:marRight w:val="0"/>
          <w:marTop w:val="0"/>
          <w:marBottom w:val="0"/>
          <w:divBdr>
            <w:top w:val="none" w:sz="0" w:space="0" w:color="auto"/>
            <w:left w:val="none" w:sz="0" w:space="0" w:color="auto"/>
            <w:bottom w:val="none" w:sz="0" w:space="0" w:color="auto"/>
            <w:right w:val="none" w:sz="0" w:space="0" w:color="auto"/>
          </w:divBdr>
        </w:div>
        <w:div w:id="821117813">
          <w:marLeft w:val="144"/>
          <w:marRight w:val="0"/>
          <w:marTop w:val="0"/>
          <w:marBottom w:val="0"/>
          <w:divBdr>
            <w:top w:val="none" w:sz="0" w:space="0" w:color="auto"/>
            <w:left w:val="none" w:sz="0" w:space="0" w:color="auto"/>
            <w:bottom w:val="none" w:sz="0" w:space="0" w:color="auto"/>
            <w:right w:val="none" w:sz="0" w:space="0" w:color="auto"/>
          </w:divBdr>
        </w:div>
        <w:div w:id="871966465">
          <w:marLeft w:val="144"/>
          <w:marRight w:val="0"/>
          <w:marTop w:val="0"/>
          <w:marBottom w:val="0"/>
          <w:divBdr>
            <w:top w:val="none" w:sz="0" w:space="0" w:color="auto"/>
            <w:left w:val="none" w:sz="0" w:space="0" w:color="auto"/>
            <w:bottom w:val="none" w:sz="0" w:space="0" w:color="auto"/>
            <w:right w:val="none" w:sz="0" w:space="0" w:color="auto"/>
          </w:divBdr>
        </w:div>
        <w:div w:id="911819604">
          <w:marLeft w:val="144"/>
          <w:marRight w:val="0"/>
          <w:marTop w:val="0"/>
          <w:marBottom w:val="0"/>
          <w:divBdr>
            <w:top w:val="none" w:sz="0" w:space="0" w:color="auto"/>
            <w:left w:val="none" w:sz="0" w:space="0" w:color="auto"/>
            <w:bottom w:val="none" w:sz="0" w:space="0" w:color="auto"/>
            <w:right w:val="none" w:sz="0" w:space="0" w:color="auto"/>
          </w:divBdr>
        </w:div>
        <w:div w:id="957100122">
          <w:marLeft w:val="144"/>
          <w:marRight w:val="0"/>
          <w:marTop w:val="0"/>
          <w:marBottom w:val="0"/>
          <w:divBdr>
            <w:top w:val="none" w:sz="0" w:space="0" w:color="auto"/>
            <w:left w:val="none" w:sz="0" w:space="0" w:color="auto"/>
            <w:bottom w:val="none" w:sz="0" w:space="0" w:color="auto"/>
            <w:right w:val="none" w:sz="0" w:space="0" w:color="auto"/>
          </w:divBdr>
        </w:div>
        <w:div w:id="1021660487">
          <w:marLeft w:val="144"/>
          <w:marRight w:val="0"/>
          <w:marTop w:val="0"/>
          <w:marBottom w:val="0"/>
          <w:divBdr>
            <w:top w:val="none" w:sz="0" w:space="0" w:color="auto"/>
            <w:left w:val="none" w:sz="0" w:space="0" w:color="auto"/>
            <w:bottom w:val="none" w:sz="0" w:space="0" w:color="auto"/>
            <w:right w:val="none" w:sz="0" w:space="0" w:color="auto"/>
          </w:divBdr>
        </w:div>
        <w:div w:id="1024669305">
          <w:marLeft w:val="144"/>
          <w:marRight w:val="0"/>
          <w:marTop w:val="0"/>
          <w:marBottom w:val="0"/>
          <w:divBdr>
            <w:top w:val="none" w:sz="0" w:space="0" w:color="auto"/>
            <w:left w:val="none" w:sz="0" w:space="0" w:color="auto"/>
            <w:bottom w:val="none" w:sz="0" w:space="0" w:color="auto"/>
            <w:right w:val="none" w:sz="0" w:space="0" w:color="auto"/>
          </w:divBdr>
        </w:div>
        <w:div w:id="1052389636">
          <w:marLeft w:val="144"/>
          <w:marRight w:val="0"/>
          <w:marTop w:val="0"/>
          <w:marBottom w:val="0"/>
          <w:divBdr>
            <w:top w:val="none" w:sz="0" w:space="0" w:color="auto"/>
            <w:left w:val="none" w:sz="0" w:space="0" w:color="auto"/>
            <w:bottom w:val="none" w:sz="0" w:space="0" w:color="auto"/>
            <w:right w:val="none" w:sz="0" w:space="0" w:color="auto"/>
          </w:divBdr>
        </w:div>
        <w:div w:id="1238519523">
          <w:marLeft w:val="144"/>
          <w:marRight w:val="0"/>
          <w:marTop w:val="0"/>
          <w:marBottom w:val="0"/>
          <w:divBdr>
            <w:top w:val="none" w:sz="0" w:space="0" w:color="auto"/>
            <w:left w:val="none" w:sz="0" w:space="0" w:color="auto"/>
            <w:bottom w:val="none" w:sz="0" w:space="0" w:color="auto"/>
            <w:right w:val="none" w:sz="0" w:space="0" w:color="auto"/>
          </w:divBdr>
        </w:div>
        <w:div w:id="1251616876">
          <w:marLeft w:val="144"/>
          <w:marRight w:val="0"/>
          <w:marTop w:val="0"/>
          <w:marBottom w:val="0"/>
          <w:divBdr>
            <w:top w:val="none" w:sz="0" w:space="0" w:color="auto"/>
            <w:left w:val="none" w:sz="0" w:space="0" w:color="auto"/>
            <w:bottom w:val="none" w:sz="0" w:space="0" w:color="auto"/>
            <w:right w:val="none" w:sz="0" w:space="0" w:color="auto"/>
          </w:divBdr>
        </w:div>
        <w:div w:id="1354651910">
          <w:marLeft w:val="144"/>
          <w:marRight w:val="0"/>
          <w:marTop w:val="0"/>
          <w:marBottom w:val="0"/>
          <w:divBdr>
            <w:top w:val="none" w:sz="0" w:space="0" w:color="auto"/>
            <w:left w:val="none" w:sz="0" w:space="0" w:color="auto"/>
            <w:bottom w:val="none" w:sz="0" w:space="0" w:color="auto"/>
            <w:right w:val="none" w:sz="0" w:space="0" w:color="auto"/>
          </w:divBdr>
        </w:div>
        <w:div w:id="1388258756">
          <w:marLeft w:val="144"/>
          <w:marRight w:val="0"/>
          <w:marTop w:val="0"/>
          <w:marBottom w:val="0"/>
          <w:divBdr>
            <w:top w:val="none" w:sz="0" w:space="0" w:color="auto"/>
            <w:left w:val="none" w:sz="0" w:space="0" w:color="auto"/>
            <w:bottom w:val="none" w:sz="0" w:space="0" w:color="auto"/>
            <w:right w:val="none" w:sz="0" w:space="0" w:color="auto"/>
          </w:divBdr>
        </w:div>
        <w:div w:id="1392192832">
          <w:marLeft w:val="144"/>
          <w:marRight w:val="0"/>
          <w:marTop w:val="0"/>
          <w:marBottom w:val="0"/>
          <w:divBdr>
            <w:top w:val="none" w:sz="0" w:space="0" w:color="auto"/>
            <w:left w:val="none" w:sz="0" w:space="0" w:color="auto"/>
            <w:bottom w:val="none" w:sz="0" w:space="0" w:color="auto"/>
            <w:right w:val="none" w:sz="0" w:space="0" w:color="auto"/>
          </w:divBdr>
        </w:div>
        <w:div w:id="1407529450">
          <w:marLeft w:val="144"/>
          <w:marRight w:val="0"/>
          <w:marTop w:val="0"/>
          <w:marBottom w:val="0"/>
          <w:divBdr>
            <w:top w:val="none" w:sz="0" w:space="0" w:color="auto"/>
            <w:left w:val="none" w:sz="0" w:space="0" w:color="auto"/>
            <w:bottom w:val="none" w:sz="0" w:space="0" w:color="auto"/>
            <w:right w:val="none" w:sz="0" w:space="0" w:color="auto"/>
          </w:divBdr>
        </w:div>
        <w:div w:id="1415588394">
          <w:marLeft w:val="144"/>
          <w:marRight w:val="0"/>
          <w:marTop w:val="0"/>
          <w:marBottom w:val="0"/>
          <w:divBdr>
            <w:top w:val="none" w:sz="0" w:space="0" w:color="auto"/>
            <w:left w:val="none" w:sz="0" w:space="0" w:color="auto"/>
            <w:bottom w:val="none" w:sz="0" w:space="0" w:color="auto"/>
            <w:right w:val="none" w:sz="0" w:space="0" w:color="auto"/>
          </w:divBdr>
        </w:div>
        <w:div w:id="1495028065">
          <w:marLeft w:val="144"/>
          <w:marRight w:val="0"/>
          <w:marTop w:val="0"/>
          <w:marBottom w:val="0"/>
          <w:divBdr>
            <w:top w:val="none" w:sz="0" w:space="0" w:color="auto"/>
            <w:left w:val="none" w:sz="0" w:space="0" w:color="auto"/>
            <w:bottom w:val="none" w:sz="0" w:space="0" w:color="auto"/>
            <w:right w:val="none" w:sz="0" w:space="0" w:color="auto"/>
          </w:divBdr>
        </w:div>
        <w:div w:id="1507209799">
          <w:marLeft w:val="144"/>
          <w:marRight w:val="0"/>
          <w:marTop w:val="0"/>
          <w:marBottom w:val="0"/>
          <w:divBdr>
            <w:top w:val="none" w:sz="0" w:space="0" w:color="auto"/>
            <w:left w:val="none" w:sz="0" w:space="0" w:color="auto"/>
            <w:bottom w:val="none" w:sz="0" w:space="0" w:color="auto"/>
            <w:right w:val="none" w:sz="0" w:space="0" w:color="auto"/>
          </w:divBdr>
        </w:div>
        <w:div w:id="1509056728">
          <w:marLeft w:val="144"/>
          <w:marRight w:val="0"/>
          <w:marTop w:val="0"/>
          <w:marBottom w:val="0"/>
          <w:divBdr>
            <w:top w:val="none" w:sz="0" w:space="0" w:color="auto"/>
            <w:left w:val="none" w:sz="0" w:space="0" w:color="auto"/>
            <w:bottom w:val="none" w:sz="0" w:space="0" w:color="auto"/>
            <w:right w:val="none" w:sz="0" w:space="0" w:color="auto"/>
          </w:divBdr>
        </w:div>
        <w:div w:id="1589386305">
          <w:marLeft w:val="144"/>
          <w:marRight w:val="0"/>
          <w:marTop w:val="0"/>
          <w:marBottom w:val="0"/>
          <w:divBdr>
            <w:top w:val="none" w:sz="0" w:space="0" w:color="auto"/>
            <w:left w:val="none" w:sz="0" w:space="0" w:color="auto"/>
            <w:bottom w:val="none" w:sz="0" w:space="0" w:color="auto"/>
            <w:right w:val="none" w:sz="0" w:space="0" w:color="auto"/>
          </w:divBdr>
        </w:div>
        <w:div w:id="1688865782">
          <w:marLeft w:val="144"/>
          <w:marRight w:val="0"/>
          <w:marTop w:val="0"/>
          <w:marBottom w:val="0"/>
          <w:divBdr>
            <w:top w:val="none" w:sz="0" w:space="0" w:color="auto"/>
            <w:left w:val="none" w:sz="0" w:space="0" w:color="auto"/>
            <w:bottom w:val="none" w:sz="0" w:space="0" w:color="auto"/>
            <w:right w:val="none" w:sz="0" w:space="0" w:color="auto"/>
          </w:divBdr>
        </w:div>
        <w:div w:id="1833720792">
          <w:marLeft w:val="144"/>
          <w:marRight w:val="0"/>
          <w:marTop w:val="0"/>
          <w:marBottom w:val="0"/>
          <w:divBdr>
            <w:top w:val="none" w:sz="0" w:space="0" w:color="auto"/>
            <w:left w:val="none" w:sz="0" w:space="0" w:color="auto"/>
            <w:bottom w:val="none" w:sz="0" w:space="0" w:color="auto"/>
            <w:right w:val="none" w:sz="0" w:space="0" w:color="auto"/>
          </w:divBdr>
        </w:div>
        <w:div w:id="2013675755">
          <w:marLeft w:val="144"/>
          <w:marRight w:val="0"/>
          <w:marTop w:val="0"/>
          <w:marBottom w:val="0"/>
          <w:divBdr>
            <w:top w:val="none" w:sz="0" w:space="0" w:color="auto"/>
            <w:left w:val="none" w:sz="0" w:space="0" w:color="auto"/>
            <w:bottom w:val="none" w:sz="0" w:space="0" w:color="auto"/>
            <w:right w:val="none" w:sz="0" w:space="0" w:color="auto"/>
          </w:divBdr>
        </w:div>
        <w:div w:id="2046366935">
          <w:marLeft w:val="144"/>
          <w:marRight w:val="0"/>
          <w:marTop w:val="0"/>
          <w:marBottom w:val="0"/>
          <w:divBdr>
            <w:top w:val="none" w:sz="0" w:space="0" w:color="auto"/>
            <w:left w:val="none" w:sz="0" w:space="0" w:color="auto"/>
            <w:bottom w:val="none" w:sz="0" w:space="0" w:color="auto"/>
            <w:right w:val="none" w:sz="0" w:space="0" w:color="auto"/>
          </w:divBdr>
        </w:div>
        <w:div w:id="2090614070">
          <w:marLeft w:val="144"/>
          <w:marRight w:val="0"/>
          <w:marTop w:val="0"/>
          <w:marBottom w:val="0"/>
          <w:divBdr>
            <w:top w:val="none" w:sz="0" w:space="0" w:color="auto"/>
            <w:left w:val="none" w:sz="0" w:space="0" w:color="auto"/>
            <w:bottom w:val="none" w:sz="0" w:space="0" w:color="auto"/>
            <w:right w:val="none" w:sz="0" w:space="0" w:color="auto"/>
          </w:divBdr>
        </w:div>
        <w:div w:id="2104715350">
          <w:marLeft w:val="144"/>
          <w:marRight w:val="0"/>
          <w:marTop w:val="0"/>
          <w:marBottom w:val="0"/>
          <w:divBdr>
            <w:top w:val="none" w:sz="0" w:space="0" w:color="auto"/>
            <w:left w:val="none" w:sz="0" w:space="0" w:color="auto"/>
            <w:bottom w:val="none" w:sz="0" w:space="0" w:color="auto"/>
            <w:right w:val="none" w:sz="0" w:space="0" w:color="auto"/>
          </w:divBdr>
        </w:div>
      </w:divsChild>
    </w:div>
    <w:div w:id="1755009808">
      <w:bodyDiv w:val="1"/>
      <w:marLeft w:val="0"/>
      <w:marRight w:val="0"/>
      <w:marTop w:val="0"/>
      <w:marBottom w:val="0"/>
      <w:divBdr>
        <w:top w:val="none" w:sz="0" w:space="0" w:color="auto"/>
        <w:left w:val="none" w:sz="0" w:space="0" w:color="auto"/>
        <w:bottom w:val="none" w:sz="0" w:space="0" w:color="auto"/>
        <w:right w:val="none" w:sz="0" w:space="0" w:color="auto"/>
      </w:divBdr>
    </w:div>
    <w:div w:id="1758089537">
      <w:bodyDiv w:val="1"/>
      <w:marLeft w:val="0"/>
      <w:marRight w:val="0"/>
      <w:marTop w:val="0"/>
      <w:marBottom w:val="0"/>
      <w:divBdr>
        <w:top w:val="none" w:sz="0" w:space="0" w:color="auto"/>
        <w:left w:val="none" w:sz="0" w:space="0" w:color="auto"/>
        <w:bottom w:val="none" w:sz="0" w:space="0" w:color="auto"/>
        <w:right w:val="none" w:sz="0" w:space="0" w:color="auto"/>
      </w:divBdr>
    </w:div>
    <w:div w:id="1758747628">
      <w:bodyDiv w:val="1"/>
      <w:marLeft w:val="0"/>
      <w:marRight w:val="0"/>
      <w:marTop w:val="0"/>
      <w:marBottom w:val="0"/>
      <w:divBdr>
        <w:top w:val="none" w:sz="0" w:space="0" w:color="auto"/>
        <w:left w:val="none" w:sz="0" w:space="0" w:color="auto"/>
        <w:bottom w:val="none" w:sz="0" w:space="0" w:color="auto"/>
        <w:right w:val="none" w:sz="0" w:space="0" w:color="auto"/>
      </w:divBdr>
    </w:div>
    <w:div w:id="1762484569">
      <w:bodyDiv w:val="1"/>
      <w:marLeft w:val="0"/>
      <w:marRight w:val="0"/>
      <w:marTop w:val="0"/>
      <w:marBottom w:val="0"/>
      <w:divBdr>
        <w:top w:val="none" w:sz="0" w:space="0" w:color="auto"/>
        <w:left w:val="none" w:sz="0" w:space="0" w:color="auto"/>
        <w:bottom w:val="none" w:sz="0" w:space="0" w:color="auto"/>
        <w:right w:val="none" w:sz="0" w:space="0" w:color="auto"/>
      </w:divBdr>
      <w:divsChild>
        <w:div w:id="1235552226">
          <w:marLeft w:val="274"/>
          <w:marRight w:val="0"/>
          <w:marTop w:val="0"/>
          <w:marBottom w:val="0"/>
          <w:divBdr>
            <w:top w:val="none" w:sz="0" w:space="0" w:color="auto"/>
            <w:left w:val="none" w:sz="0" w:space="0" w:color="auto"/>
            <w:bottom w:val="none" w:sz="0" w:space="0" w:color="auto"/>
            <w:right w:val="none" w:sz="0" w:space="0" w:color="auto"/>
          </w:divBdr>
        </w:div>
      </w:divsChild>
    </w:div>
    <w:div w:id="1768575069">
      <w:bodyDiv w:val="1"/>
      <w:marLeft w:val="0"/>
      <w:marRight w:val="0"/>
      <w:marTop w:val="0"/>
      <w:marBottom w:val="0"/>
      <w:divBdr>
        <w:top w:val="none" w:sz="0" w:space="0" w:color="auto"/>
        <w:left w:val="none" w:sz="0" w:space="0" w:color="auto"/>
        <w:bottom w:val="none" w:sz="0" w:space="0" w:color="auto"/>
        <w:right w:val="none" w:sz="0" w:space="0" w:color="auto"/>
      </w:divBdr>
    </w:div>
    <w:div w:id="1786001651">
      <w:bodyDiv w:val="1"/>
      <w:marLeft w:val="0"/>
      <w:marRight w:val="0"/>
      <w:marTop w:val="0"/>
      <w:marBottom w:val="0"/>
      <w:divBdr>
        <w:top w:val="none" w:sz="0" w:space="0" w:color="auto"/>
        <w:left w:val="none" w:sz="0" w:space="0" w:color="auto"/>
        <w:bottom w:val="none" w:sz="0" w:space="0" w:color="auto"/>
        <w:right w:val="none" w:sz="0" w:space="0" w:color="auto"/>
      </w:divBdr>
    </w:div>
    <w:div w:id="1787500752">
      <w:bodyDiv w:val="1"/>
      <w:marLeft w:val="0"/>
      <w:marRight w:val="0"/>
      <w:marTop w:val="0"/>
      <w:marBottom w:val="0"/>
      <w:divBdr>
        <w:top w:val="none" w:sz="0" w:space="0" w:color="auto"/>
        <w:left w:val="none" w:sz="0" w:space="0" w:color="auto"/>
        <w:bottom w:val="none" w:sz="0" w:space="0" w:color="auto"/>
        <w:right w:val="none" w:sz="0" w:space="0" w:color="auto"/>
      </w:divBdr>
    </w:div>
    <w:div w:id="1789743034">
      <w:bodyDiv w:val="1"/>
      <w:marLeft w:val="0"/>
      <w:marRight w:val="0"/>
      <w:marTop w:val="0"/>
      <w:marBottom w:val="0"/>
      <w:divBdr>
        <w:top w:val="none" w:sz="0" w:space="0" w:color="auto"/>
        <w:left w:val="none" w:sz="0" w:space="0" w:color="auto"/>
        <w:bottom w:val="none" w:sz="0" w:space="0" w:color="auto"/>
        <w:right w:val="none" w:sz="0" w:space="0" w:color="auto"/>
      </w:divBdr>
    </w:div>
    <w:div w:id="1802116858">
      <w:bodyDiv w:val="1"/>
      <w:marLeft w:val="0"/>
      <w:marRight w:val="0"/>
      <w:marTop w:val="0"/>
      <w:marBottom w:val="0"/>
      <w:divBdr>
        <w:top w:val="none" w:sz="0" w:space="0" w:color="auto"/>
        <w:left w:val="none" w:sz="0" w:space="0" w:color="auto"/>
        <w:bottom w:val="none" w:sz="0" w:space="0" w:color="auto"/>
        <w:right w:val="none" w:sz="0" w:space="0" w:color="auto"/>
      </w:divBdr>
    </w:div>
    <w:div w:id="1821000317">
      <w:bodyDiv w:val="1"/>
      <w:marLeft w:val="0"/>
      <w:marRight w:val="0"/>
      <w:marTop w:val="0"/>
      <w:marBottom w:val="0"/>
      <w:divBdr>
        <w:top w:val="none" w:sz="0" w:space="0" w:color="auto"/>
        <w:left w:val="none" w:sz="0" w:space="0" w:color="auto"/>
        <w:bottom w:val="none" w:sz="0" w:space="0" w:color="auto"/>
        <w:right w:val="none" w:sz="0" w:space="0" w:color="auto"/>
      </w:divBdr>
      <w:divsChild>
        <w:div w:id="801459824">
          <w:marLeft w:val="288"/>
          <w:marRight w:val="0"/>
          <w:marTop w:val="54"/>
          <w:marBottom w:val="54"/>
          <w:divBdr>
            <w:top w:val="none" w:sz="0" w:space="0" w:color="auto"/>
            <w:left w:val="none" w:sz="0" w:space="0" w:color="auto"/>
            <w:bottom w:val="none" w:sz="0" w:space="0" w:color="auto"/>
            <w:right w:val="none" w:sz="0" w:space="0" w:color="auto"/>
          </w:divBdr>
        </w:div>
        <w:div w:id="949241868">
          <w:marLeft w:val="288"/>
          <w:marRight w:val="0"/>
          <w:marTop w:val="54"/>
          <w:marBottom w:val="54"/>
          <w:divBdr>
            <w:top w:val="none" w:sz="0" w:space="0" w:color="auto"/>
            <w:left w:val="none" w:sz="0" w:space="0" w:color="auto"/>
            <w:bottom w:val="none" w:sz="0" w:space="0" w:color="auto"/>
            <w:right w:val="none" w:sz="0" w:space="0" w:color="auto"/>
          </w:divBdr>
        </w:div>
        <w:div w:id="1059591368">
          <w:marLeft w:val="288"/>
          <w:marRight w:val="0"/>
          <w:marTop w:val="54"/>
          <w:marBottom w:val="54"/>
          <w:divBdr>
            <w:top w:val="none" w:sz="0" w:space="0" w:color="auto"/>
            <w:left w:val="none" w:sz="0" w:space="0" w:color="auto"/>
            <w:bottom w:val="none" w:sz="0" w:space="0" w:color="auto"/>
            <w:right w:val="none" w:sz="0" w:space="0" w:color="auto"/>
          </w:divBdr>
        </w:div>
        <w:div w:id="1224415066">
          <w:marLeft w:val="288"/>
          <w:marRight w:val="0"/>
          <w:marTop w:val="54"/>
          <w:marBottom w:val="54"/>
          <w:divBdr>
            <w:top w:val="none" w:sz="0" w:space="0" w:color="auto"/>
            <w:left w:val="none" w:sz="0" w:space="0" w:color="auto"/>
            <w:bottom w:val="none" w:sz="0" w:space="0" w:color="auto"/>
            <w:right w:val="none" w:sz="0" w:space="0" w:color="auto"/>
          </w:divBdr>
        </w:div>
        <w:div w:id="1733262304">
          <w:marLeft w:val="288"/>
          <w:marRight w:val="0"/>
          <w:marTop w:val="54"/>
          <w:marBottom w:val="54"/>
          <w:divBdr>
            <w:top w:val="none" w:sz="0" w:space="0" w:color="auto"/>
            <w:left w:val="none" w:sz="0" w:space="0" w:color="auto"/>
            <w:bottom w:val="none" w:sz="0" w:space="0" w:color="auto"/>
            <w:right w:val="none" w:sz="0" w:space="0" w:color="auto"/>
          </w:divBdr>
        </w:div>
      </w:divsChild>
    </w:div>
    <w:div w:id="1826893823">
      <w:bodyDiv w:val="1"/>
      <w:marLeft w:val="0"/>
      <w:marRight w:val="0"/>
      <w:marTop w:val="0"/>
      <w:marBottom w:val="0"/>
      <w:divBdr>
        <w:top w:val="none" w:sz="0" w:space="0" w:color="auto"/>
        <w:left w:val="none" w:sz="0" w:space="0" w:color="auto"/>
        <w:bottom w:val="none" w:sz="0" w:space="0" w:color="auto"/>
        <w:right w:val="none" w:sz="0" w:space="0" w:color="auto"/>
      </w:divBdr>
      <w:divsChild>
        <w:div w:id="15931594">
          <w:marLeft w:val="0"/>
          <w:marRight w:val="0"/>
          <w:marTop w:val="0"/>
          <w:marBottom w:val="0"/>
          <w:divBdr>
            <w:top w:val="none" w:sz="0" w:space="0" w:color="auto"/>
            <w:left w:val="none" w:sz="0" w:space="0" w:color="auto"/>
            <w:bottom w:val="none" w:sz="0" w:space="0" w:color="auto"/>
            <w:right w:val="none" w:sz="0" w:space="0" w:color="auto"/>
          </w:divBdr>
        </w:div>
        <w:div w:id="18895872">
          <w:marLeft w:val="0"/>
          <w:marRight w:val="0"/>
          <w:marTop w:val="0"/>
          <w:marBottom w:val="0"/>
          <w:divBdr>
            <w:top w:val="none" w:sz="0" w:space="0" w:color="auto"/>
            <w:left w:val="none" w:sz="0" w:space="0" w:color="auto"/>
            <w:bottom w:val="none" w:sz="0" w:space="0" w:color="auto"/>
            <w:right w:val="none" w:sz="0" w:space="0" w:color="auto"/>
          </w:divBdr>
        </w:div>
        <w:div w:id="431047079">
          <w:marLeft w:val="0"/>
          <w:marRight w:val="0"/>
          <w:marTop w:val="0"/>
          <w:marBottom w:val="0"/>
          <w:divBdr>
            <w:top w:val="none" w:sz="0" w:space="0" w:color="auto"/>
            <w:left w:val="none" w:sz="0" w:space="0" w:color="auto"/>
            <w:bottom w:val="none" w:sz="0" w:space="0" w:color="auto"/>
            <w:right w:val="none" w:sz="0" w:space="0" w:color="auto"/>
          </w:divBdr>
        </w:div>
        <w:div w:id="504825639">
          <w:marLeft w:val="0"/>
          <w:marRight w:val="0"/>
          <w:marTop w:val="0"/>
          <w:marBottom w:val="0"/>
          <w:divBdr>
            <w:top w:val="none" w:sz="0" w:space="0" w:color="auto"/>
            <w:left w:val="none" w:sz="0" w:space="0" w:color="auto"/>
            <w:bottom w:val="none" w:sz="0" w:space="0" w:color="auto"/>
            <w:right w:val="none" w:sz="0" w:space="0" w:color="auto"/>
          </w:divBdr>
        </w:div>
        <w:div w:id="658651431">
          <w:marLeft w:val="0"/>
          <w:marRight w:val="0"/>
          <w:marTop w:val="0"/>
          <w:marBottom w:val="0"/>
          <w:divBdr>
            <w:top w:val="none" w:sz="0" w:space="0" w:color="auto"/>
            <w:left w:val="none" w:sz="0" w:space="0" w:color="auto"/>
            <w:bottom w:val="none" w:sz="0" w:space="0" w:color="auto"/>
            <w:right w:val="none" w:sz="0" w:space="0" w:color="auto"/>
          </w:divBdr>
        </w:div>
        <w:div w:id="692730729">
          <w:marLeft w:val="0"/>
          <w:marRight w:val="0"/>
          <w:marTop w:val="0"/>
          <w:marBottom w:val="0"/>
          <w:divBdr>
            <w:top w:val="none" w:sz="0" w:space="0" w:color="auto"/>
            <w:left w:val="none" w:sz="0" w:space="0" w:color="auto"/>
            <w:bottom w:val="none" w:sz="0" w:space="0" w:color="auto"/>
            <w:right w:val="none" w:sz="0" w:space="0" w:color="auto"/>
          </w:divBdr>
        </w:div>
        <w:div w:id="703017527">
          <w:marLeft w:val="0"/>
          <w:marRight w:val="0"/>
          <w:marTop w:val="0"/>
          <w:marBottom w:val="0"/>
          <w:divBdr>
            <w:top w:val="none" w:sz="0" w:space="0" w:color="auto"/>
            <w:left w:val="none" w:sz="0" w:space="0" w:color="auto"/>
            <w:bottom w:val="none" w:sz="0" w:space="0" w:color="auto"/>
            <w:right w:val="none" w:sz="0" w:space="0" w:color="auto"/>
          </w:divBdr>
        </w:div>
        <w:div w:id="868684559">
          <w:marLeft w:val="0"/>
          <w:marRight w:val="0"/>
          <w:marTop w:val="0"/>
          <w:marBottom w:val="0"/>
          <w:divBdr>
            <w:top w:val="none" w:sz="0" w:space="0" w:color="auto"/>
            <w:left w:val="none" w:sz="0" w:space="0" w:color="auto"/>
            <w:bottom w:val="none" w:sz="0" w:space="0" w:color="auto"/>
            <w:right w:val="none" w:sz="0" w:space="0" w:color="auto"/>
          </w:divBdr>
        </w:div>
        <w:div w:id="892153601">
          <w:marLeft w:val="0"/>
          <w:marRight w:val="0"/>
          <w:marTop w:val="0"/>
          <w:marBottom w:val="0"/>
          <w:divBdr>
            <w:top w:val="none" w:sz="0" w:space="0" w:color="auto"/>
            <w:left w:val="none" w:sz="0" w:space="0" w:color="auto"/>
            <w:bottom w:val="none" w:sz="0" w:space="0" w:color="auto"/>
            <w:right w:val="none" w:sz="0" w:space="0" w:color="auto"/>
          </w:divBdr>
        </w:div>
        <w:div w:id="919633306">
          <w:marLeft w:val="0"/>
          <w:marRight w:val="0"/>
          <w:marTop w:val="0"/>
          <w:marBottom w:val="0"/>
          <w:divBdr>
            <w:top w:val="none" w:sz="0" w:space="0" w:color="auto"/>
            <w:left w:val="none" w:sz="0" w:space="0" w:color="auto"/>
            <w:bottom w:val="none" w:sz="0" w:space="0" w:color="auto"/>
            <w:right w:val="none" w:sz="0" w:space="0" w:color="auto"/>
          </w:divBdr>
        </w:div>
        <w:div w:id="973872466">
          <w:marLeft w:val="0"/>
          <w:marRight w:val="0"/>
          <w:marTop w:val="0"/>
          <w:marBottom w:val="0"/>
          <w:divBdr>
            <w:top w:val="none" w:sz="0" w:space="0" w:color="auto"/>
            <w:left w:val="none" w:sz="0" w:space="0" w:color="auto"/>
            <w:bottom w:val="none" w:sz="0" w:space="0" w:color="auto"/>
            <w:right w:val="none" w:sz="0" w:space="0" w:color="auto"/>
          </w:divBdr>
        </w:div>
        <w:div w:id="992375199">
          <w:marLeft w:val="0"/>
          <w:marRight w:val="0"/>
          <w:marTop w:val="0"/>
          <w:marBottom w:val="0"/>
          <w:divBdr>
            <w:top w:val="none" w:sz="0" w:space="0" w:color="auto"/>
            <w:left w:val="none" w:sz="0" w:space="0" w:color="auto"/>
            <w:bottom w:val="none" w:sz="0" w:space="0" w:color="auto"/>
            <w:right w:val="none" w:sz="0" w:space="0" w:color="auto"/>
          </w:divBdr>
        </w:div>
        <w:div w:id="1032919744">
          <w:marLeft w:val="0"/>
          <w:marRight w:val="0"/>
          <w:marTop w:val="0"/>
          <w:marBottom w:val="0"/>
          <w:divBdr>
            <w:top w:val="none" w:sz="0" w:space="0" w:color="auto"/>
            <w:left w:val="none" w:sz="0" w:space="0" w:color="auto"/>
            <w:bottom w:val="none" w:sz="0" w:space="0" w:color="auto"/>
            <w:right w:val="none" w:sz="0" w:space="0" w:color="auto"/>
          </w:divBdr>
        </w:div>
        <w:div w:id="1075740324">
          <w:marLeft w:val="0"/>
          <w:marRight w:val="0"/>
          <w:marTop w:val="0"/>
          <w:marBottom w:val="0"/>
          <w:divBdr>
            <w:top w:val="none" w:sz="0" w:space="0" w:color="auto"/>
            <w:left w:val="none" w:sz="0" w:space="0" w:color="auto"/>
            <w:bottom w:val="none" w:sz="0" w:space="0" w:color="auto"/>
            <w:right w:val="none" w:sz="0" w:space="0" w:color="auto"/>
          </w:divBdr>
        </w:div>
        <w:div w:id="1131249568">
          <w:marLeft w:val="0"/>
          <w:marRight w:val="0"/>
          <w:marTop w:val="0"/>
          <w:marBottom w:val="0"/>
          <w:divBdr>
            <w:top w:val="none" w:sz="0" w:space="0" w:color="auto"/>
            <w:left w:val="none" w:sz="0" w:space="0" w:color="auto"/>
            <w:bottom w:val="none" w:sz="0" w:space="0" w:color="auto"/>
            <w:right w:val="none" w:sz="0" w:space="0" w:color="auto"/>
          </w:divBdr>
        </w:div>
        <w:div w:id="1182358160">
          <w:marLeft w:val="0"/>
          <w:marRight w:val="0"/>
          <w:marTop w:val="0"/>
          <w:marBottom w:val="0"/>
          <w:divBdr>
            <w:top w:val="none" w:sz="0" w:space="0" w:color="auto"/>
            <w:left w:val="none" w:sz="0" w:space="0" w:color="auto"/>
            <w:bottom w:val="none" w:sz="0" w:space="0" w:color="auto"/>
            <w:right w:val="none" w:sz="0" w:space="0" w:color="auto"/>
          </w:divBdr>
        </w:div>
        <w:div w:id="1219971242">
          <w:marLeft w:val="0"/>
          <w:marRight w:val="0"/>
          <w:marTop w:val="0"/>
          <w:marBottom w:val="0"/>
          <w:divBdr>
            <w:top w:val="none" w:sz="0" w:space="0" w:color="auto"/>
            <w:left w:val="none" w:sz="0" w:space="0" w:color="auto"/>
            <w:bottom w:val="none" w:sz="0" w:space="0" w:color="auto"/>
            <w:right w:val="none" w:sz="0" w:space="0" w:color="auto"/>
          </w:divBdr>
        </w:div>
        <w:div w:id="1239054880">
          <w:marLeft w:val="0"/>
          <w:marRight w:val="0"/>
          <w:marTop w:val="0"/>
          <w:marBottom w:val="0"/>
          <w:divBdr>
            <w:top w:val="none" w:sz="0" w:space="0" w:color="auto"/>
            <w:left w:val="none" w:sz="0" w:space="0" w:color="auto"/>
            <w:bottom w:val="none" w:sz="0" w:space="0" w:color="auto"/>
            <w:right w:val="none" w:sz="0" w:space="0" w:color="auto"/>
          </w:divBdr>
        </w:div>
        <w:div w:id="1284775524">
          <w:marLeft w:val="0"/>
          <w:marRight w:val="0"/>
          <w:marTop w:val="0"/>
          <w:marBottom w:val="0"/>
          <w:divBdr>
            <w:top w:val="none" w:sz="0" w:space="0" w:color="auto"/>
            <w:left w:val="none" w:sz="0" w:space="0" w:color="auto"/>
            <w:bottom w:val="none" w:sz="0" w:space="0" w:color="auto"/>
            <w:right w:val="none" w:sz="0" w:space="0" w:color="auto"/>
          </w:divBdr>
        </w:div>
        <w:div w:id="1444959416">
          <w:marLeft w:val="0"/>
          <w:marRight w:val="0"/>
          <w:marTop w:val="0"/>
          <w:marBottom w:val="0"/>
          <w:divBdr>
            <w:top w:val="none" w:sz="0" w:space="0" w:color="auto"/>
            <w:left w:val="none" w:sz="0" w:space="0" w:color="auto"/>
            <w:bottom w:val="none" w:sz="0" w:space="0" w:color="auto"/>
            <w:right w:val="none" w:sz="0" w:space="0" w:color="auto"/>
          </w:divBdr>
        </w:div>
        <w:div w:id="1512572902">
          <w:marLeft w:val="0"/>
          <w:marRight w:val="0"/>
          <w:marTop w:val="0"/>
          <w:marBottom w:val="0"/>
          <w:divBdr>
            <w:top w:val="none" w:sz="0" w:space="0" w:color="auto"/>
            <w:left w:val="none" w:sz="0" w:space="0" w:color="auto"/>
            <w:bottom w:val="none" w:sz="0" w:space="0" w:color="auto"/>
            <w:right w:val="none" w:sz="0" w:space="0" w:color="auto"/>
          </w:divBdr>
        </w:div>
        <w:div w:id="1618835519">
          <w:marLeft w:val="0"/>
          <w:marRight w:val="0"/>
          <w:marTop w:val="0"/>
          <w:marBottom w:val="0"/>
          <w:divBdr>
            <w:top w:val="none" w:sz="0" w:space="0" w:color="auto"/>
            <w:left w:val="none" w:sz="0" w:space="0" w:color="auto"/>
            <w:bottom w:val="none" w:sz="0" w:space="0" w:color="auto"/>
            <w:right w:val="none" w:sz="0" w:space="0" w:color="auto"/>
          </w:divBdr>
        </w:div>
        <w:div w:id="1684819139">
          <w:marLeft w:val="0"/>
          <w:marRight w:val="0"/>
          <w:marTop w:val="0"/>
          <w:marBottom w:val="0"/>
          <w:divBdr>
            <w:top w:val="none" w:sz="0" w:space="0" w:color="auto"/>
            <w:left w:val="none" w:sz="0" w:space="0" w:color="auto"/>
            <w:bottom w:val="none" w:sz="0" w:space="0" w:color="auto"/>
            <w:right w:val="none" w:sz="0" w:space="0" w:color="auto"/>
          </w:divBdr>
        </w:div>
        <w:div w:id="1702703225">
          <w:marLeft w:val="0"/>
          <w:marRight w:val="0"/>
          <w:marTop w:val="0"/>
          <w:marBottom w:val="0"/>
          <w:divBdr>
            <w:top w:val="none" w:sz="0" w:space="0" w:color="auto"/>
            <w:left w:val="none" w:sz="0" w:space="0" w:color="auto"/>
            <w:bottom w:val="none" w:sz="0" w:space="0" w:color="auto"/>
            <w:right w:val="none" w:sz="0" w:space="0" w:color="auto"/>
          </w:divBdr>
        </w:div>
        <w:div w:id="1730182257">
          <w:marLeft w:val="0"/>
          <w:marRight w:val="0"/>
          <w:marTop w:val="0"/>
          <w:marBottom w:val="0"/>
          <w:divBdr>
            <w:top w:val="none" w:sz="0" w:space="0" w:color="auto"/>
            <w:left w:val="none" w:sz="0" w:space="0" w:color="auto"/>
            <w:bottom w:val="none" w:sz="0" w:space="0" w:color="auto"/>
            <w:right w:val="none" w:sz="0" w:space="0" w:color="auto"/>
          </w:divBdr>
        </w:div>
        <w:div w:id="1872184513">
          <w:marLeft w:val="0"/>
          <w:marRight w:val="0"/>
          <w:marTop w:val="0"/>
          <w:marBottom w:val="0"/>
          <w:divBdr>
            <w:top w:val="none" w:sz="0" w:space="0" w:color="auto"/>
            <w:left w:val="none" w:sz="0" w:space="0" w:color="auto"/>
            <w:bottom w:val="none" w:sz="0" w:space="0" w:color="auto"/>
            <w:right w:val="none" w:sz="0" w:space="0" w:color="auto"/>
          </w:divBdr>
        </w:div>
        <w:div w:id="2108572589">
          <w:marLeft w:val="0"/>
          <w:marRight w:val="0"/>
          <w:marTop w:val="0"/>
          <w:marBottom w:val="0"/>
          <w:divBdr>
            <w:top w:val="none" w:sz="0" w:space="0" w:color="auto"/>
            <w:left w:val="none" w:sz="0" w:space="0" w:color="auto"/>
            <w:bottom w:val="none" w:sz="0" w:space="0" w:color="auto"/>
            <w:right w:val="none" w:sz="0" w:space="0" w:color="auto"/>
          </w:divBdr>
        </w:div>
        <w:div w:id="2109888229">
          <w:marLeft w:val="0"/>
          <w:marRight w:val="0"/>
          <w:marTop w:val="0"/>
          <w:marBottom w:val="0"/>
          <w:divBdr>
            <w:top w:val="none" w:sz="0" w:space="0" w:color="auto"/>
            <w:left w:val="none" w:sz="0" w:space="0" w:color="auto"/>
            <w:bottom w:val="none" w:sz="0" w:space="0" w:color="auto"/>
            <w:right w:val="none" w:sz="0" w:space="0" w:color="auto"/>
          </w:divBdr>
        </w:div>
        <w:div w:id="2132627387">
          <w:marLeft w:val="0"/>
          <w:marRight w:val="0"/>
          <w:marTop w:val="0"/>
          <w:marBottom w:val="0"/>
          <w:divBdr>
            <w:top w:val="none" w:sz="0" w:space="0" w:color="auto"/>
            <w:left w:val="none" w:sz="0" w:space="0" w:color="auto"/>
            <w:bottom w:val="none" w:sz="0" w:space="0" w:color="auto"/>
            <w:right w:val="none" w:sz="0" w:space="0" w:color="auto"/>
          </w:divBdr>
        </w:div>
      </w:divsChild>
    </w:div>
    <w:div w:id="1829519142">
      <w:bodyDiv w:val="1"/>
      <w:marLeft w:val="0"/>
      <w:marRight w:val="0"/>
      <w:marTop w:val="0"/>
      <w:marBottom w:val="0"/>
      <w:divBdr>
        <w:top w:val="none" w:sz="0" w:space="0" w:color="auto"/>
        <w:left w:val="none" w:sz="0" w:space="0" w:color="auto"/>
        <w:bottom w:val="none" w:sz="0" w:space="0" w:color="auto"/>
        <w:right w:val="none" w:sz="0" w:space="0" w:color="auto"/>
      </w:divBdr>
    </w:div>
    <w:div w:id="1831284819">
      <w:bodyDiv w:val="1"/>
      <w:marLeft w:val="0"/>
      <w:marRight w:val="0"/>
      <w:marTop w:val="0"/>
      <w:marBottom w:val="0"/>
      <w:divBdr>
        <w:top w:val="none" w:sz="0" w:space="0" w:color="auto"/>
        <w:left w:val="none" w:sz="0" w:space="0" w:color="auto"/>
        <w:bottom w:val="none" w:sz="0" w:space="0" w:color="auto"/>
        <w:right w:val="none" w:sz="0" w:space="0" w:color="auto"/>
      </w:divBdr>
    </w:div>
    <w:div w:id="1838836737">
      <w:bodyDiv w:val="1"/>
      <w:marLeft w:val="0"/>
      <w:marRight w:val="0"/>
      <w:marTop w:val="0"/>
      <w:marBottom w:val="0"/>
      <w:divBdr>
        <w:top w:val="none" w:sz="0" w:space="0" w:color="auto"/>
        <w:left w:val="none" w:sz="0" w:space="0" w:color="auto"/>
        <w:bottom w:val="none" w:sz="0" w:space="0" w:color="auto"/>
        <w:right w:val="none" w:sz="0" w:space="0" w:color="auto"/>
      </w:divBdr>
    </w:div>
    <w:div w:id="1839077575">
      <w:bodyDiv w:val="1"/>
      <w:marLeft w:val="0"/>
      <w:marRight w:val="0"/>
      <w:marTop w:val="0"/>
      <w:marBottom w:val="0"/>
      <w:divBdr>
        <w:top w:val="none" w:sz="0" w:space="0" w:color="auto"/>
        <w:left w:val="none" w:sz="0" w:space="0" w:color="auto"/>
        <w:bottom w:val="none" w:sz="0" w:space="0" w:color="auto"/>
        <w:right w:val="none" w:sz="0" w:space="0" w:color="auto"/>
      </w:divBdr>
    </w:div>
    <w:div w:id="1843886374">
      <w:bodyDiv w:val="1"/>
      <w:marLeft w:val="0"/>
      <w:marRight w:val="0"/>
      <w:marTop w:val="0"/>
      <w:marBottom w:val="0"/>
      <w:divBdr>
        <w:top w:val="none" w:sz="0" w:space="0" w:color="auto"/>
        <w:left w:val="none" w:sz="0" w:space="0" w:color="auto"/>
        <w:bottom w:val="none" w:sz="0" w:space="0" w:color="auto"/>
        <w:right w:val="none" w:sz="0" w:space="0" w:color="auto"/>
      </w:divBdr>
    </w:div>
    <w:div w:id="1845509724">
      <w:bodyDiv w:val="1"/>
      <w:marLeft w:val="0"/>
      <w:marRight w:val="0"/>
      <w:marTop w:val="0"/>
      <w:marBottom w:val="0"/>
      <w:divBdr>
        <w:top w:val="none" w:sz="0" w:space="0" w:color="auto"/>
        <w:left w:val="none" w:sz="0" w:space="0" w:color="auto"/>
        <w:bottom w:val="none" w:sz="0" w:space="0" w:color="auto"/>
        <w:right w:val="none" w:sz="0" w:space="0" w:color="auto"/>
      </w:divBdr>
    </w:div>
    <w:div w:id="1846477663">
      <w:bodyDiv w:val="1"/>
      <w:marLeft w:val="0"/>
      <w:marRight w:val="0"/>
      <w:marTop w:val="0"/>
      <w:marBottom w:val="0"/>
      <w:divBdr>
        <w:top w:val="none" w:sz="0" w:space="0" w:color="auto"/>
        <w:left w:val="none" w:sz="0" w:space="0" w:color="auto"/>
        <w:bottom w:val="none" w:sz="0" w:space="0" w:color="auto"/>
        <w:right w:val="none" w:sz="0" w:space="0" w:color="auto"/>
      </w:divBdr>
    </w:div>
    <w:div w:id="1846553838">
      <w:bodyDiv w:val="1"/>
      <w:marLeft w:val="0"/>
      <w:marRight w:val="0"/>
      <w:marTop w:val="0"/>
      <w:marBottom w:val="0"/>
      <w:divBdr>
        <w:top w:val="none" w:sz="0" w:space="0" w:color="auto"/>
        <w:left w:val="none" w:sz="0" w:space="0" w:color="auto"/>
        <w:bottom w:val="none" w:sz="0" w:space="0" w:color="auto"/>
        <w:right w:val="none" w:sz="0" w:space="0" w:color="auto"/>
      </w:divBdr>
      <w:divsChild>
        <w:div w:id="549152594">
          <w:marLeft w:val="0"/>
          <w:marRight w:val="0"/>
          <w:marTop w:val="0"/>
          <w:marBottom w:val="0"/>
          <w:divBdr>
            <w:top w:val="none" w:sz="0" w:space="0" w:color="auto"/>
            <w:left w:val="none" w:sz="0" w:space="0" w:color="auto"/>
            <w:bottom w:val="none" w:sz="0" w:space="0" w:color="auto"/>
            <w:right w:val="none" w:sz="0" w:space="0" w:color="auto"/>
          </w:divBdr>
        </w:div>
        <w:div w:id="717514957">
          <w:marLeft w:val="0"/>
          <w:marRight w:val="0"/>
          <w:marTop w:val="0"/>
          <w:marBottom w:val="0"/>
          <w:divBdr>
            <w:top w:val="none" w:sz="0" w:space="0" w:color="auto"/>
            <w:left w:val="none" w:sz="0" w:space="0" w:color="auto"/>
            <w:bottom w:val="none" w:sz="0" w:space="0" w:color="auto"/>
            <w:right w:val="none" w:sz="0" w:space="0" w:color="auto"/>
          </w:divBdr>
        </w:div>
        <w:div w:id="888107072">
          <w:marLeft w:val="0"/>
          <w:marRight w:val="0"/>
          <w:marTop w:val="0"/>
          <w:marBottom w:val="0"/>
          <w:divBdr>
            <w:top w:val="none" w:sz="0" w:space="0" w:color="auto"/>
            <w:left w:val="none" w:sz="0" w:space="0" w:color="auto"/>
            <w:bottom w:val="none" w:sz="0" w:space="0" w:color="auto"/>
            <w:right w:val="none" w:sz="0" w:space="0" w:color="auto"/>
          </w:divBdr>
        </w:div>
        <w:div w:id="1709790825">
          <w:marLeft w:val="0"/>
          <w:marRight w:val="0"/>
          <w:marTop w:val="0"/>
          <w:marBottom w:val="0"/>
          <w:divBdr>
            <w:top w:val="none" w:sz="0" w:space="0" w:color="auto"/>
            <w:left w:val="none" w:sz="0" w:space="0" w:color="auto"/>
            <w:bottom w:val="none" w:sz="0" w:space="0" w:color="auto"/>
            <w:right w:val="none" w:sz="0" w:space="0" w:color="auto"/>
          </w:divBdr>
        </w:div>
      </w:divsChild>
    </w:div>
    <w:div w:id="1859462887">
      <w:bodyDiv w:val="1"/>
      <w:marLeft w:val="0"/>
      <w:marRight w:val="0"/>
      <w:marTop w:val="0"/>
      <w:marBottom w:val="0"/>
      <w:divBdr>
        <w:top w:val="none" w:sz="0" w:space="0" w:color="auto"/>
        <w:left w:val="none" w:sz="0" w:space="0" w:color="auto"/>
        <w:bottom w:val="none" w:sz="0" w:space="0" w:color="auto"/>
        <w:right w:val="none" w:sz="0" w:space="0" w:color="auto"/>
      </w:divBdr>
      <w:divsChild>
        <w:div w:id="125389834">
          <w:marLeft w:val="547"/>
          <w:marRight w:val="0"/>
          <w:marTop w:val="200"/>
          <w:marBottom w:val="0"/>
          <w:divBdr>
            <w:top w:val="none" w:sz="0" w:space="0" w:color="auto"/>
            <w:left w:val="none" w:sz="0" w:space="0" w:color="auto"/>
            <w:bottom w:val="none" w:sz="0" w:space="0" w:color="auto"/>
            <w:right w:val="none" w:sz="0" w:space="0" w:color="auto"/>
          </w:divBdr>
        </w:div>
        <w:div w:id="159933840">
          <w:marLeft w:val="547"/>
          <w:marRight w:val="0"/>
          <w:marTop w:val="200"/>
          <w:marBottom w:val="0"/>
          <w:divBdr>
            <w:top w:val="none" w:sz="0" w:space="0" w:color="auto"/>
            <w:left w:val="none" w:sz="0" w:space="0" w:color="auto"/>
            <w:bottom w:val="none" w:sz="0" w:space="0" w:color="auto"/>
            <w:right w:val="none" w:sz="0" w:space="0" w:color="auto"/>
          </w:divBdr>
        </w:div>
        <w:div w:id="485053537">
          <w:marLeft w:val="547"/>
          <w:marRight w:val="0"/>
          <w:marTop w:val="200"/>
          <w:marBottom w:val="0"/>
          <w:divBdr>
            <w:top w:val="none" w:sz="0" w:space="0" w:color="auto"/>
            <w:left w:val="none" w:sz="0" w:space="0" w:color="auto"/>
            <w:bottom w:val="none" w:sz="0" w:space="0" w:color="auto"/>
            <w:right w:val="none" w:sz="0" w:space="0" w:color="auto"/>
          </w:divBdr>
        </w:div>
        <w:div w:id="1246768426">
          <w:marLeft w:val="547"/>
          <w:marRight w:val="0"/>
          <w:marTop w:val="200"/>
          <w:marBottom w:val="0"/>
          <w:divBdr>
            <w:top w:val="none" w:sz="0" w:space="0" w:color="auto"/>
            <w:left w:val="none" w:sz="0" w:space="0" w:color="auto"/>
            <w:bottom w:val="none" w:sz="0" w:space="0" w:color="auto"/>
            <w:right w:val="none" w:sz="0" w:space="0" w:color="auto"/>
          </w:divBdr>
        </w:div>
        <w:div w:id="1494685640">
          <w:marLeft w:val="547"/>
          <w:marRight w:val="0"/>
          <w:marTop w:val="200"/>
          <w:marBottom w:val="0"/>
          <w:divBdr>
            <w:top w:val="none" w:sz="0" w:space="0" w:color="auto"/>
            <w:left w:val="none" w:sz="0" w:space="0" w:color="auto"/>
            <w:bottom w:val="none" w:sz="0" w:space="0" w:color="auto"/>
            <w:right w:val="none" w:sz="0" w:space="0" w:color="auto"/>
          </w:divBdr>
        </w:div>
        <w:div w:id="2120027641">
          <w:marLeft w:val="547"/>
          <w:marRight w:val="0"/>
          <w:marTop w:val="200"/>
          <w:marBottom w:val="0"/>
          <w:divBdr>
            <w:top w:val="none" w:sz="0" w:space="0" w:color="auto"/>
            <w:left w:val="none" w:sz="0" w:space="0" w:color="auto"/>
            <w:bottom w:val="none" w:sz="0" w:space="0" w:color="auto"/>
            <w:right w:val="none" w:sz="0" w:space="0" w:color="auto"/>
          </w:divBdr>
        </w:div>
      </w:divsChild>
    </w:div>
    <w:div w:id="1864123845">
      <w:bodyDiv w:val="1"/>
      <w:marLeft w:val="0"/>
      <w:marRight w:val="0"/>
      <w:marTop w:val="0"/>
      <w:marBottom w:val="0"/>
      <w:divBdr>
        <w:top w:val="none" w:sz="0" w:space="0" w:color="auto"/>
        <w:left w:val="none" w:sz="0" w:space="0" w:color="auto"/>
        <w:bottom w:val="none" w:sz="0" w:space="0" w:color="auto"/>
        <w:right w:val="none" w:sz="0" w:space="0" w:color="auto"/>
      </w:divBdr>
    </w:div>
    <w:div w:id="1870993026">
      <w:bodyDiv w:val="1"/>
      <w:marLeft w:val="0"/>
      <w:marRight w:val="0"/>
      <w:marTop w:val="0"/>
      <w:marBottom w:val="0"/>
      <w:divBdr>
        <w:top w:val="none" w:sz="0" w:space="0" w:color="auto"/>
        <w:left w:val="none" w:sz="0" w:space="0" w:color="auto"/>
        <w:bottom w:val="none" w:sz="0" w:space="0" w:color="auto"/>
        <w:right w:val="none" w:sz="0" w:space="0" w:color="auto"/>
      </w:divBdr>
    </w:div>
    <w:div w:id="1872453387">
      <w:bodyDiv w:val="1"/>
      <w:marLeft w:val="0"/>
      <w:marRight w:val="0"/>
      <w:marTop w:val="0"/>
      <w:marBottom w:val="0"/>
      <w:divBdr>
        <w:top w:val="none" w:sz="0" w:space="0" w:color="auto"/>
        <w:left w:val="none" w:sz="0" w:space="0" w:color="auto"/>
        <w:bottom w:val="none" w:sz="0" w:space="0" w:color="auto"/>
        <w:right w:val="none" w:sz="0" w:space="0" w:color="auto"/>
      </w:divBdr>
    </w:div>
    <w:div w:id="1878619575">
      <w:bodyDiv w:val="1"/>
      <w:marLeft w:val="0"/>
      <w:marRight w:val="0"/>
      <w:marTop w:val="0"/>
      <w:marBottom w:val="0"/>
      <w:divBdr>
        <w:top w:val="none" w:sz="0" w:space="0" w:color="auto"/>
        <w:left w:val="none" w:sz="0" w:space="0" w:color="auto"/>
        <w:bottom w:val="none" w:sz="0" w:space="0" w:color="auto"/>
        <w:right w:val="none" w:sz="0" w:space="0" w:color="auto"/>
      </w:divBdr>
      <w:divsChild>
        <w:div w:id="747849638">
          <w:marLeft w:val="0"/>
          <w:marRight w:val="0"/>
          <w:marTop w:val="0"/>
          <w:marBottom w:val="0"/>
          <w:divBdr>
            <w:top w:val="none" w:sz="0" w:space="0" w:color="auto"/>
            <w:left w:val="none" w:sz="0" w:space="0" w:color="auto"/>
            <w:bottom w:val="none" w:sz="0" w:space="0" w:color="auto"/>
            <w:right w:val="none" w:sz="0" w:space="0" w:color="auto"/>
          </w:divBdr>
        </w:div>
        <w:div w:id="928349149">
          <w:marLeft w:val="0"/>
          <w:marRight w:val="0"/>
          <w:marTop w:val="0"/>
          <w:marBottom w:val="0"/>
          <w:divBdr>
            <w:top w:val="none" w:sz="0" w:space="0" w:color="auto"/>
            <w:left w:val="none" w:sz="0" w:space="0" w:color="auto"/>
            <w:bottom w:val="none" w:sz="0" w:space="0" w:color="auto"/>
            <w:right w:val="none" w:sz="0" w:space="0" w:color="auto"/>
          </w:divBdr>
        </w:div>
        <w:div w:id="952983710">
          <w:marLeft w:val="0"/>
          <w:marRight w:val="0"/>
          <w:marTop w:val="0"/>
          <w:marBottom w:val="0"/>
          <w:divBdr>
            <w:top w:val="none" w:sz="0" w:space="0" w:color="auto"/>
            <w:left w:val="none" w:sz="0" w:space="0" w:color="auto"/>
            <w:bottom w:val="none" w:sz="0" w:space="0" w:color="auto"/>
            <w:right w:val="none" w:sz="0" w:space="0" w:color="auto"/>
          </w:divBdr>
        </w:div>
        <w:div w:id="1952858018">
          <w:marLeft w:val="0"/>
          <w:marRight w:val="0"/>
          <w:marTop w:val="0"/>
          <w:marBottom w:val="0"/>
          <w:divBdr>
            <w:top w:val="none" w:sz="0" w:space="0" w:color="auto"/>
            <w:left w:val="none" w:sz="0" w:space="0" w:color="auto"/>
            <w:bottom w:val="none" w:sz="0" w:space="0" w:color="auto"/>
            <w:right w:val="none" w:sz="0" w:space="0" w:color="auto"/>
          </w:divBdr>
        </w:div>
      </w:divsChild>
    </w:div>
    <w:div w:id="1879245808">
      <w:bodyDiv w:val="1"/>
      <w:marLeft w:val="0"/>
      <w:marRight w:val="0"/>
      <w:marTop w:val="0"/>
      <w:marBottom w:val="0"/>
      <w:divBdr>
        <w:top w:val="none" w:sz="0" w:space="0" w:color="auto"/>
        <w:left w:val="none" w:sz="0" w:space="0" w:color="auto"/>
        <w:bottom w:val="none" w:sz="0" w:space="0" w:color="auto"/>
        <w:right w:val="none" w:sz="0" w:space="0" w:color="auto"/>
      </w:divBdr>
    </w:div>
    <w:div w:id="1879778848">
      <w:bodyDiv w:val="1"/>
      <w:marLeft w:val="0"/>
      <w:marRight w:val="0"/>
      <w:marTop w:val="0"/>
      <w:marBottom w:val="0"/>
      <w:divBdr>
        <w:top w:val="none" w:sz="0" w:space="0" w:color="auto"/>
        <w:left w:val="none" w:sz="0" w:space="0" w:color="auto"/>
        <w:bottom w:val="none" w:sz="0" w:space="0" w:color="auto"/>
        <w:right w:val="none" w:sz="0" w:space="0" w:color="auto"/>
      </w:divBdr>
    </w:div>
    <w:div w:id="1890452792">
      <w:bodyDiv w:val="1"/>
      <w:marLeft w:val="0"/>
      <w:marRight w:val="0"/>
      <w:marTop w:val="0"/>
      <w:marBottom w:val="0"/>
      <w:divBdr>
        <w:top w:val="none" w:sz="0" w:space="0" w:color="auto"/>
        <w:left w:val="none" w:sz="0" w:space="0" w:color="auto"/>
        <w:bottom w:val="none" w:sz="0" w:space="0" w:color="auto"/>
        <w:right w:val="none" w:sz="0" w:space="0" w:color="auto"/>
      </w:divBdr>
    </w:div>
    <w:div w:id="1899781027">
      <w:bodyDiv w:val="1"/>
      <w:marLeft w:val="0"/>
      <w:marRight w:val="0"/>
      <w:marTop w:val="0"/>
      <w:marBottom w:val="0"/>
      <w:divBdr>
        <w:top w:val="none" w:sz="0" w:space="0" w:color="auto"/>
        <w:left w:val="none" w:sz="0" w:space="0" w:color="auto"/>
        <w:bottom w:val="none" w:sz="0" w:space="0" w:color="auto"/>
        <w:right w:val="none" w:sz="0" w:space="0" w:color="auto"/>
      </w:divBdr>
    </w:div>
    <w:div w:id="1905749039">
      <w:bodyDiv w:val="1"/>
      <w:marLeft w:val="0"/>
      <w:marRight w:val="0"/>
      <w:marTop w:val="0"/>
      <w:marBottom w:val="0"/>
      <w:divBdr>
        <w:top w:val="none" w:sz="0" w:space="0" w:color="auto"/>
        <w:left w:val="none" w:sz="0" w:space="0" w:color="auto"/>
        <w:bottom w:val="none" w:sz="0" w:space="0" w:color="auto"/>
        <w:right w:val="none" w:sz="0" w:space="0" w:color="auto"/>
      </w:divBdr>
    </w:div>
    <w:div w:id="1920558933">
      <w:bodyDiv w:val="1"/>
      <w:marLeft w:val="0"/>
      <w:marRight w:val="0"/>
      <w:marTop w:val="0"/>
      <w:marBottom w:val="0"/>
      <w:divBdr>
        <w:top w:val="none" w:sz="0" w:space="0" w:color="auto"/>
        <w:left w:val="none" w:sz="0" w:space="0" w:color="auto"/>
        <w:bottom w:val="none" w:sz="0" w:space="0" w:color="auto"/>
        <w:right w:val="none" w:sz="0" w:space="0" w:color="auto"/>
      </w:divBdr>
    </w:div>
    <w:div w:id="1922787557">
      <w:bodyDiv w:val="1"/>
      <w:marLeft w:val="0"/>
      <w:marRight w:val="0"/>
      <w:marTop w:val="0"/>
      <w:marBottom w:val="0"/>
      <w:divBdr>
        <w:top w:val="none" w:sz="0" w:space="0" w:color="auto"/>
        <w:left w:val="none" w:sz="0" w:space="0" w:color="auto"/>
        <w:bottom w:val="none" w:sz="0" w:space="0" w:color="auto"/>
        <w:right w:val="none" w:sz="0" w:space="0" w:color="auto"/>
      </w:divBdr>
      <w:divsChild>
        <w:div w:id="1607617387">
          <w:marLeft w:val="288"/>
          <w:marRight w:val="0"/>
          <w:marTop w:val="120"/>
          <w:marBottom w:val="120"/>
          <w:divBdr>
            <w:top w:val="none" w:sz="0" w:space="0" w:color="auto"/>
            <w:left w:val="none" w:sz="0" w:space="0" w:color="auto"/>
            <w:bottom w:val="none" w:sz="0" w:space="0" w:color="auto"/>
            <w:right w:val="none" w:sz="0" w:space="0" w:color="auto"/>
          </w:divBdr>
        </w:div>
        <w:div w:id="2065324539">
          <w:marLeft w:val="288"/>
          <w:marRight w:val="0"/>
          <w:marTop w:val="120"/>
          <w:marBottom w:val="120"/>
          <w:divBdr>
            <w:top w:val="none" w:sz="0" w:space="0" w:color="auto"/>
            <w:left w:val="none" w:sz="0" w:space="0" w:color="auto"/>
            <w:bottom w:val="none" w:sz="0" w:space="0" w:color="auto"/>
            <w:right w:val="none" w:sz="0" w:space="0" w:color="auto"/>
          </w:divBdr>
        </w:div>
        <w:div w:id="2115319188">
          <w:marLeft w:val="288"/>
          <w:marRight w:val="0"/>
          <w:marTop w:val="120"/>
          <w:marBottom w:val="120"/>
          <w:divBdr>
            <w:top w:val="none" w:sz="0" w:space="0" w:color="auto"/>
            <w:left w:val="none" w:sz="0" w:space="0" w:color="auto"/>
            <w:bottom w:val="none" w:sz="0" w:space="0" w:color="auto"/>
            <w:right w:val="none" w:sz="0" w:space="0" w:color="auto"/>
          </w:divBdr>
        </w:div>
      </w:divsChild>
    </w:div>
    <w:div w:id="1928221549">
      <w:bodyDiv w:val="1"/>
      <w:marLeft w:val="0"/>
      <w:marRight w:val="0"/>
      <w:marTop w:val="0"/>
      <w:marBottom w:val="0"/>
      <w:divBdr>
        <w:top w:val="none" w:sz="0" w:space="0" w:color="auto"/>
        <w:left w:val="none" w:sz="0" w:space="0" w:color="auto"/>
        <w:bottom w:val="none" w:sz="0" w:space="0" w:color="auto"/>
        <w:right w:val="none" w:sz="0" w:space="0" w:color="auto"/>
      </w:divBdr>
    </w:div>
    <w:div w:id="1929927886">
      <w:bodyDiv w:val="1"/>
      <w:marLeft w:val="0"/>
      <w:marRight w:val="0"/>
      <w:marTop w:val="0"/>
      <w:marBottom w:val="0"/>
      <w:divBdr>
        <w:top w:val="none" w:sz="0" w:space="0" w:color="auto"/>
        <w:left w:val="none" w:sz="0" w:space="0" w:color="auto"/>
        <w:bottom w:val="none" w:sz="0" w:space="0" w:color="auto"/>
        <w:right w:val="none" w:sz="0" w:space="0" w:color="auto"/>
      </w:divBdr>
    </w:div>
    <w:div w:id="1937980141">
      <w:bodyDiv w:val="1"/>
      <w:marLeft w:val="0"/>
      <w:marRight w:val="0"/>
      <w:marTop w:val="0"/>
      <w:marBottom w:val="0"/>
      <w:divBdr>
        <w:top w:val="none" w:sz="0" w:space="0" w:color="auto"/>
        <w:left w:val="none" w:sz="0" w:space="0" w:color="auto"/>
        <w:bottom w:val="none" w:sz="0" w:space="0" w:color="auto"/>
        <w:right w:val="none" w:sz="0" w:space="0" w:color="auto"/>
      </w:divBdr>
      <w:divsChild>
        <w:div w:id="730428041">
          <w:marLeft w:val="547"/>
          <w:marRight w:val="0"/>
          <w:marTop w:val="200"/>
          <w:marBottom w:val="0"/>
          <w:divBdr>
            <w:top w:val="none" w:sz="0" w:space="0" w:color="auto"/>
            <w:left w:val="none" w:sz="0" w:space="0" w:color="auto"/>
            <w:bottom w:val="none" w:sz="0" w:space="0" w:color="auto"/>
            <w:right w:val="none" w:sz="0" w:space="0" w:color="auto"/>
          </w:divBdr>
        </w:div>
        <w:div w:id="1132677588">
          <w:marLeft w:val="547"/>
          <w:marRight w:val="0"/>
          <w:marTop w:val="200"/>
          <w:marBottom w:val="0"/>
          <w:divBdr>
            <w:top w:val="none" w:sz="0" w:space="0" w:color="auto"/>
            <w:left w:val="none" w:sz="0" w:space="0" w:color="auto"/>
            <w:bottom w:val="none" w:sz="0" w:space="0" w:color="auto"/>
            <w:right w:val="none" w:sz="0" w:space="0" w:color="auto"/>
          </w:divBdr>
        </w:div>
        <w:div w:id="1295985434">
          <w:marLeft w:val="547"/>
          <w:marRight w:val="0"/>
          <w:marTop w:val="200"/>
          <w:marBottom w:val="0"/>
          <w:divBdr>
            <w:top w:val="none" w:sz="0" w:space="0" w:color="auto"/>
            <w:left w:val="none" w:sz="0" w:space="0" w:color="auto"/>
            <w:bottom w:val="none" w:sz="0" w:space="0" w:color="auto"/>
            <w:right w:val="none" w:sz="0" w:space="0" w:color="auto"/>
          </w:divBdr>
        </w:div>
        <w:div w:id="1509952622">
          <w:marLeft w:val="547"/>
          <w:marRight w:val="0"/>
          <w:marTop w:val="200"/>
          <w:marBottom w:val="0"/>
          <w:divBdr>
            <w:top w:val="none" w:sz="0" w:space="0" w:color="auto"/>
            <w:left w:val="none" w:sz="0" w:space="0" w:color="auto"/>
            <w:bottom w:val="none" w:sz="0" w:space="0" w:color="auto"/>
            <w:right w:val="none" w:sz="0" w:space="0" w:color="auto"/>
          </w:divBdr>
        </w:div>
        <w:div w:id="1588538483">
          <w:marLeft w:val="547"/>
          <w:marRight w:val="0"/>
          <w:marTop w:val="200"/>
          <w:marBottom w:val="0"/>
          <w:divBdr>
            <w:top w:val="none" w:sz="0" w:space="0" w:color="auto"/>
            <w:left w:val="none" w:sz="0" w:space="0" w:color="auto"/>
            <w:bottom w:val="none" w:sz="0" w:space="0" w:color="auto"/>
            <w:right w:val="none" w:sz="0" w:space="0" w:color="auto"/>
          </w:divBdr>
        </w:div>
        <w:div w:id="1761246861">
          <w:marLeft w:val="1166"/>
          <w:marRight w:val="0"/>
          <w:marTop w:val="200"/>
          <w:marBottom w:val="0"/>
          <w:divBdr>
            <w:top w:val="none" w:sz="0" w:space="0" w:color="auto"/>
            <w:left w:val="none" w:sz="0" w:space="0" w:color="auto"/>
            <w:bottom w:val="none" w:sz="0" w:space="0" w:color="auto"/>
            <w:right w:val="none" w:sz="0" w:space="0" w:color="auto"/>
          </w:divBdr>
        </w:div>
      </w:divsChild>
    </w:div>
    <w:div w:id="1940677197">
      <w:bodyDiv w:val="1"/>
      <w:marLeft w:val="0"/>
      <w:marRight w:val="0"/>
      <w:marTop w:val="0"/>
      <w:marBottom w:val="0"/>
      <w:divBdr>
        <w:top w:val="none" w:sz="0" w:space="0" w:color="auto"/>
        <w:left w:val="none" w:sz="0" w:space="0" w:color="auto"/>
        <w:bottom w:val="none" w:sz="0" w:space="0" w:color="auto"/>
        <w:right w:val="none" w:sz="0" w:space="0" w:color="auto"/>
      </w:divBdr>
      <w:divsChild>
        <w:div w:id="200212536">
          <w:marLeft w:val="288"/>
          <w:marRight w:val="0"/>
          <w:marTop w:val="120"/>
          <w:marBottom w:val="120"/>
          <w:divBdr>
            <w:top w:val="none" w:sz="0" w:space="0" w:color="auto"/>
            <w:left w:val="none" w:sz="0" w:space="0" w:color="auto"/>
            <w:bottom w:val="none" w:sz="0" w:space="0" w:color="auto"/>
            <w:right w:val="none" w:sz="0" w:space="0" w:color="auto"/>
          </w:divBdr>
        </w:div>
        <w:div w:id="326978509">
          <w:marLeft w:val="288"/>
          <w:marRight w:val="0"/>
          <w:marTop w:val="120"/>
          <w:marBottom w:val="120"/>
          <w:divBdr>
            <w:top w:val="none" w:sz="0" w:space="0" w:color="auto"/>
            <w:left w:val="none" w:sz="0" w:space="0" w:color="auto"/>
            <w:bottom w:val="none" w:sz="0" w:space="0" w:color="auto"/>
            <w:right w:val="none" w:sz="0" w:space="0" w:color="auto"/>
          </w:divBdr>
        </w:div>
        <w:div w:id="620770827">
          <w:marLeft w:val="288"/>
          <w:marRight w:val="0"/>
          <w:marTop w:val="54"/>
          <w:marBottom w:val="54"/>
          <w:divBdr>
            <w:top w:val="none" w:sz="0" w:space="0" w:color="auto"/>
            <w:left w:val="none" w:sz="0" w:space="0" w:color="auto"/>
            <w:bottom w:val="none" w:sz="0" w:space="0" w:color="auto"/>
            <w:right w:val="none" w:sz="0" w:space="0" w:color="auto"/>
          </w:divBdr>
        </w:div>
        <w:div w:id="1348486809">
          <w:marLeft w:val="749"/>
          <w:marRight w:val="0"/>
          <w:marTop w:val="54"/>
          <w:marBottom w:val="54"/>
          <w:divBdr>
            <w:top w:val="none" w:sz="0" w:space="0" w:color="auto"/>
            <w:left w:val="none" w:sz="0" w:space="0" w:color="auto"/>
            <w:bottom w:val="none" w:sz="0" w:space="0" w:color="auto"/>
            <w:right w:val="none" w:sz="0" w:space="0" w:color="auto"/>
          </w:divBdr>
        </w:div>
      </w:divsChild>
    </w:div>
    <w:div w:id="1944875552">
      <w:bodyDiv w:val="1"/>
      <w:marLeft w:val="0"/>
      <w:marRight w:val="0"/>
      <w:marTop w:val="0"/>
      <w:marBottom w:val="0"/>
      <w:divBdr>
        <w:top w:val="none" w:sz="0" w:space="0" w:color="auto"/>
        <w:left w:val="none" w:sz="0" w:space="0" w:color="auto"/>
        <w:bottom w:val="none" w:sz="0" w:space="0" w:color="auto"/>
        <w:right w:val="none" w:sz="0" w:space="0" w:color="auto"/>
      </w:divBdr>
    </w:div>
    <w:div w:id="1952391742">
      <w:bodyDiv w:val="1"/>
      <w:marLeft w:val="0"/>
      <w:marRight w:val="0"/>
      <w:marTop w:val="0"/>
      <w:marBottom w:val="0"/>
      <w:divBdr>
        <w:top w:val="none" w:sz="0" w:space="0" w:color="auto"/>
        <w:left w:val="none" w:sz="0" w:space="0" w:color="auto"/>
        <w:bottom w:val="none" w:sz="0" w:space="0" w:color="auto"/>
        <w:right w:val="none" w:sz="0" w:space="0" w:color="auto"/>
      </w:divBdr>
      <w:divsChild>
        <w:div w:id="903369153">
          <w:marLeft w:val="1166"/>
          <w:marRight w:val="0"/>
          <w:marTop w:val="200"/>
          <w:marBottom w:val="0"/>
          <w:divBdr>
            <w:top w:val="none" w:sz="0" w:space="0" w:color="auto"/>
            <w:left w:val="none" w:sz="0" w:space="0" w:color="auto"/>
            <w:bottom w:val="none" w:sz="0" w:space="0" w:color="auto"/>
            <w:right w:val="none" w:sz="0" w:space="0" w:color="auto"/>
          </w:divBdr>
        </w:div>
        <w:div w:id="1118984006">
          <w:marLeft w:val="547"/>
          <w:marRight w:val="0"/>
          <w:marTop w:val="200"/>
          <w:marBottom w:val="0"/>
          <w:divBdr>
            <w:top w:val="none" w:sz="0" w:space="0" w:color="auto"/>
            <w:left w:val="none" w:sz="0" w:space="0" w:color="auto"/>
            <w:bottom w:val="none" w:sz="0" w:space="0" w:color="auto"/>
            <w:right w:val="none" w:sz="0" w:space="0" w:color="auto"/>
          </w:divBdr>
        </w:div>
        <w:div w:id="1440954696">
          <w:marLeft w:val="1166"/>
          <w:marRight w:val="0"/>
          <w:marTop w:val="200"/>
          <w:marBottom w:val="0"/>
          <w:divBdr>
            <w:top w:val="none" w:sz="0" w:space="0" w:color="auto"/>
            <w:left w:val="none" w:sz="0" w:space="0" w:color="auto"/>
            <w:bottom w:val="none" w:sz="0" w:space="0" w:color="auto"/>
            <w:right w:val="none" w:sz="0" w:space="0" w:color="auto"/>
          </w:divBdr>
        </w:div>
      </w:divsChild>
    </w:div>
    <w:div w:id="1963609155">
      <w:bodyDiv w:val="1"/>
      <w:marLeft w:val="0"/>
      <w:marRight w:val="0"/>
      <w:marTop w:val="0"/>
      <w:marBottom w:val="0"/>
      <w:divBdr>
        <w:top w:val="none" w:sz="0" w:space="0" w:color="auto"/>
        <w:left w:val="none" w:sz="0" w:space="0" w:color="auto"/>
        <w:bottom w:val="none" w:sz="0" w:space="0" w:color="auto"/>
        <w:right w:val="none" w:sz="0" w:space="0" w:color="auto"/>
      </w:divBdr>
    </w:div>
    <w:div w:id="1969436188">
      <w:bodyDiv w:val="1"/>
      <w:marLeft w:val="0"/>
      <w:marRight w:val="0"/>
      <w:marTop w:val="0"/>
      <w:marBottom w:val="0"/>
      <w:divBdr>
        <w:top w:val="none" w:sz="0" w:space="0" w:color="auto"/>
        <w:left w:val="none" w:sz="0" w:space="0" w:color="auto"/>
        <w:bottom w:val="none" w:sz="0" w:space="0" w:color="auto"/>
        <w:right w:val="none" w:sz="0" w:space="0" w:color="auto"/>
      </w:divBdr>
    </w:div>
    <w:div w:id="1974018035">
      <w:bodyDiv w:val="1"/>
      <w:marLeft w:val="0"/>
      <w:marRight w:val="0"/>
      <w:marTop w:val="0"/>
      <w:marBottom w:val="0"/>
      <w:divBdr>
        <w:top w:val="none" w:sz="0" w:space="0" w:color="auto"/>
        <w:left w:val="none" w:sz="0" w:space="0" w:color="auto"/>
        <w:bottom w:val="none" w:sz="0" w:space="0" w:color="auto"/>
        <w:right w:val="none" w:sz="0" w:space="0" w:color="auto"/>
      </w:divBdr>
    </w:div>
    <w:div w:id="1977639757">
      <w:bodyDiv w:val="1"/>
      <w:marLeft w:val="0"/>
      <w:marRight w:val="0"/>
      <w:marTop w:val="0"/>
      <w:marBottom w:val="0"/>
      <w:divBdr>
        <w:top w:val="none" w:sz="0" w:space="0" w:color="auto"/>
        <w:left w:val="none" w:sz="0" w:space="0" w:color="auto"/>
        <w:bottom w:val="none" w:sz="0" w:space="0" w:color="auto"/>
        <w:right w:val="none" w:sz="0" w:space="0" w:color="auto"/>
      </w:divBdr>
    </w:div>
    <w:div w:id="1980063862">
      <w:bodyDiv w:val="1"/>
      <w:marLeft w:val="0"/>
      <w:marRight w:val="0"/>
      <w:marTop w:val="0"/>
      <w:marBottom w:val="0"/>
      <w:divBdr>
        <w:top w:val="none" w:sz="0" w:space="0" w:color="auto"/>
        <w:left w:val="none" w:sz="0" w:space="0" w:color="auto"/>
        <w:bottom w:val="none" w:sz="0" w:space="0" w:color="auto"/>
        <w:right w:val="none" w:sz="0" w:space="0" w:color="auto"/>
      </w:divBdr>
    </w:div>
    <w:div w:id="1989820761">
      <w:bodyDiv w:val="1"/>
      <w:marLeft w:val="0"/>
      <w:marRight w:val="0"/>
      <w:marTop w:val="0"/>
      <w:marBottom w:val="0"/>
      <w:divBdr>
        <w:top w:val="none" w:sz="0" w:space="0" w:color="auto"/>
        <w:left w:val="none" w:sz="0" w:space="0" w:color="auto"/>
        <w:bottom w:val="none" w:sz="0" w:space="0" w:color="auto"/>
        <w:right w:val="none" w:sz="0" w:space="0" w:color="auto"/>
      </w:divBdr>
    </w:div>
    <w:div w:id="1997565483">
      <w:bodyDiv w:val="1"/>
      <w:marLeft w:val="0"/>
      <w:marRight w:val="0"/>
      <w:marTop w:val="0"/>
      <w:marBottom w:val="0"/>
      <w:divBdr>
        <w:top w:val="none" w:sz="0" w:space="0" w:color="auto"/>
        <w:left w:val="none" w:sz="0" w:space="0" w:color="auto"/>
        <w:bottom w:val="none" w:sz="0" w:space="0" w:color="auto"/>
        <w:right w:val="none" w:sz="0" w:space="0" w:color="auto"/>
      </w:divBdr>
    </w:div>
    <w:div w:id="1998073344">
      <w:bodyDiv w:val="1"/>
      <w:marLeft w:val="0"/>
      <w:marRight w:val="0"/>
      <w:marTop w:val="0"/>
      <w:marBottom w:val="0"/>
      <w:divBdr>
        <w:top w:val="none" w:sz="0" w:space="0" w:color="auto"/>
        <w:left w:val="none" w:sz="0" w:space="0" w:color="auto"/>
        <w:bottom w:val="none" w:sz="0" w:space="0" w:color="auto"/>
        <w:right w:val="none" w:sz="0" w:space="0" w:color="auto"/>
      </w:divBdr>
      <w:divsChild>
        <w:div w:id="2052265385">
          <w:marLeft w:val="274"/>
          <w:marRight w:val="0"/>
          <w:marTop w:val="0"/>
          <w:marBottom w:val="0"/>
          <w:divBdr>
            <w:top w:val="none" w:sz="0" w:space="0" w:color="auto"/>
            <w:left w:val="none" w:sz="0" w:space="0" w:color="auto"/>
            <w:bottom w:val="none" w:sz="0" w:space="0" w:color="auto"/>
            <w:right w:val="none" w:sz="0" w:space="0" w:color="auto"/>
          </w:divBdr>
        </w:div>
      </w:divsChild>
    </w:div>
    <w:div w:id="2002348242">
      <w:bodyDiv w:val="1"/>
      <w:marLeft w:val="0"/>
      <w:marRight w:val="0"/>
      <w:marTop w:val="0"/>
      <w:marBottom w:val="0"/>
      <w:divBdr>
        <w:top w:val="none" w:sz="0" w:space="0" w:color="auto"/>
        <w:left w:val="none" w:sz="0" w:space="0" w:color="auto"/>
        <w:bottom w:val="none" w:sz="0" w:space="0" w:color="auto"/>
        <w:right w:val="none" w:sz="0" w:space="0" w:color="auto"/>
      </w:divBdr>
    </w:div>
    <w:div w:id="2013415869">
      <w:bodyDiv w:val="1"/>
      <w:marLeft w:val="0"/>
      <w:marRight w:val="0"/>
      <w:marTop w:val="0"/>
      <w:marBottom w:val="0"/>
      <w:divBdr>
        <w:top w:val="none" w:sz="0" w:space="0" w:color="auto"/>
        <w:left w:val="none" w:sz="0" w:space="0" w:color="auto"/>
        <w:bottom w:val="none" w:sz="0" w:space="0" w:color="auto"/>
        <w:right w:val="none" w:sz="0" w:space="0" w:color="auto"/>
      </w:divBdr>
    </w:div>
    <w:div w:id="2021077515">
      <w:bodyDiv w:val="1"/>
      <w:marLeft w:val="0"/>
      <w:marRight w:val="0"/>
      <w:marTop w:val="0"/>
      <w:marBottom w:val="0"/>
      <w:divBdr>
        <w:top w:val="none" w:sz="0" w:space="0" w:color="auto"/>
        <w:left w:val="none" w:sz="0" w:space="0" w:color="auto"/>
        <w:bottom w:val="none" w:sz="0" w:space="0" w:color="auto"/>
        <w:right w:val="none" w:sz="0" w:space="0" w:color="auto"/>
      </w:divBdr>
      <w:divsChild>
        <w:div w:id="973564909">
          <w:marLeft w:val="288"/>
          <w:marRight w:val="0"/>
          <w:marTop w:val="54"/>
          <w:marBottom w:val="54"/>
          <w:divBdr>
            <w:top w:val="none" w:sz="0" w:space="0" w:color="auto"/>
            <w:left w:val="none" w:sz="0" w:space="0" w:color="auto"/>
            <w:bottom w:val="none" w:sz="0" w:space="0" w:color="auto"/>
            <w:right w:val="none" w:sz="0" w:space="0" w:color="auto"/>
          </w:divBdr>
        </w:div>
      </w:divsChild>
    </w:div>
    <w:div w:id="2022779251">
      <w:bodyDiv w:val="1"/>
      <w:marLeft w:val="0"/>
      <w:marRight w:val="0"/>
      <w:marTop w:val="0"/>
      <w:marBottom w:val="0"/>
      <w:divBdr>
        <w:top w:val="none" w:sz="0" w:space="0" w:color="auto"/>
        <w:left w:val="none" w:sz="0" w:space="0" w:color="auto"/>
        <w:bottom w:val="none" w:sz="0" w:space="0" w:color="auto"/>
        <w:right w:val="none" w:sz="0" w:space="0" w:color="auto"/>
      </w:divBdr>
    </w:div>
    <w:div w:id="2027172051">
      <w:bodyDiv w:val="1"/>
      <w:marLeft w:val="0"/>
      <w:marRight w:val="0"/>
      <w:marTop w:val="0"/>
      <w:marBottom w:val="0"/>
      <w:divBdr>
        <w:top w:val="none" w:sz="0" w:space="0" w:color="auto"/>
        <w:left w:val="none" w:sz="0" w:space="0" w:color="auto"/>
        <w:bottom w:val="none" w:sz="0" w:space="0" w:color="auto"/>
        <w:right w:val="none" w:sz="0" w:space="0" w:color="auto"/>
      </w:divBdr>
    </w:div>
    <w:div w:id="2030642184">
      <w:bodyDiv w:val="1"/>
      <w:marLeft w:val="0"/>
      <w:marRight w:val="0"/>
      <w:marTop w:val="0"/>
      <w:marBottom w:val="0"/>
      <w:divBdr>
        <w:top w:val="none" w:sz="0" w:space="0" w:color="auto"/>
        <w:left w:val="none" w:sz="0" w:space="0" w:color="auto"/>
        <w:bottom w:val="none" w:sz="0" w:space="0" w:color="auto"/>
        <w:right w:val="none" w:sz="0" w:space="0" w:color="auto"/>
      </w:divBdr>
    </w:div>
    <w:div w:id="2035643469">
      <w:bodyDiv w:val="1"/>
      <w:marLeft w:val="0"/>
      <w:marRight w:val="0"/>
      <w:marTop w:val="0"/>
      <w:marBottom w:val="0"/>
      <w:divBdr>
        <w:top w:val="none" w:sz="0" w:space="0" w:color="auto"/>
        <w:left w:val="none" w:sz="0" w:space="0" w:color="auto"/>
        <w:bottom w:val="none" w:sz="0" w:space="0" w:color="auto"/>
        <w:right w:val="none" w:sz="0" w:space="0" w:color="auto"/>
      </w:divBdr>
      <w:divsChild>
        <w:div w:id="530843411">
          <w:marLeft w:val="274"/>
          <w:marRight w:val="0"/>
          <w:marTop w:val="0"/>
          <w:marBottom w:val="0"/>
          <w:divBdr>
            <w:top w:val="none" w:sz="0" w:space="0" w:color="auto"/>
            <w:left w:val="none" w:sz="0" w:space="0" w:color="auto"/>
            <w:bottom w:val="none" w:sz="0" w:space="0" w:color="auto"/>
            <w:right w:val="none" w:sz="0" w:space="0" w:color="auto"/>
          </w:divBdr>
        </w:div>
        <w:div w:id="999385329">
          <w:marLeft w:val="274"/>
          <w:marRight w:val="0"/>
          <w:marTop w:val="0"/>
          <w:marBottom w:val="0"/>
          <w:divBdr>
            <w:top w:val="none" w:sz="0" w:space="0" w:color="auto"/>
            <w:left w:val="none" w:sz="0" w:space="0" w:color="auto"/>
            <w:bottom w:val="none" w:sz="0" w:space="0" w:color="auto"/>
            <w:right w:val="none" w:sz="0" w:space="0" w:color="auto"/>
          </w:divBdr>
        </w:div>
        <w:div w:id="1616211295">
          <w:marLeft w:val="274"/>
          <w:marRight w:val="0"/>
          <w:marTop w:val="0"/>
          <w:marBottom w:val="0"/>
          <w:divBdr>
            <w:top w:val="none" w:sz="0" w:space="0" w:color="auto"/>
            <w:left w:val="none" w:sz="0" w:space="0" w:color="auto"/>
            <w:bottom w:val="none" w:sz="0" w:space="0" w:color="auto"/>
            <w:right w:val="none" w:sz="0" w:space="0" w:color="auto"/>
          </w:divBdr>
        </w:div>
        <w:div w:id="1672829038">
          <w:marLeft w:val="274"/>
          <w:marRight w:val="0"/>
          <w:marTop w:val="0"/>
          <w:marBottom w:val="0"/>
          <w:divBdr>
            <w:top w:val="none" w:sz="0" w:space="0" w:color="auto"/>
            <w:left w:val="none" w:sz="0" w:space="0" w:color="auto"/>
            <w:bottom w:val="none" w:sz="0" w:space="0" w:color="auto"/>
            <w:right w:val="none" w:sz="0" w:space="0" w:color="auto"/>
          </w:divBdr>
        </w:div>
      </w:divsChild>
    </w:div>
    <w:div w:id="2038970933">
      <w:bodyDiv w:val="1"/>
      <w:marLeft w:val="0"/>
      <w:marRight w:val="0"/>
      <w:marTop w:val="0"/>
      <w:marBottom w:val="0"/>
      <w:divBdr>
        <w:top w:val="none" w:sz="0" w:space="0" w:color="auto"/>
        <w:left w:val="none" w:sz="0" w:space="0" w:color="auto"/>
        <w:bottom w:val="none" w:sz="0" w:space="0" w:color="auto"/>
        <w:right w:val="none" w:sz="0" w:space="0" w:color="auto"/>
      </w:divBdr>
    </w:div>
    <w:div w:id="2049334478">
      <w:bodyDiv w:val="1"/>
      <w:marLeft w:val="0"/>
      <w:marRight w:val="0"/>
      <w:marTop w:val="0"/>
      <w:marBottom w:val="0"/>
      <w:divBdr>
        <w:top w:val="none" w:sz="0" w:space="0" w:color="auto"/>
        <w:left w:val="none" w:sz="0" w:space="0" w:color="auto"/>
        <w:bottom w:val="none" w:sz="0" w:space="0" w:color="auto"/>
        <w:right w:val="none" w:sz="0" w:space="0" w:color="auto"/>
      </w:divBdr>
      <w:divsChild>
        <w:div w:id="812329254">
          <w:marLeft w:val="274"/>
          <w:marRight w:val="0"/>
          <w:marTop w:val="0"/>
          <w:marBottom w:val="0"/>
          <w:divBdr>
            <w:top w:val="none" w:sz="0" w:space="0" w:color="auto"/>
            <w:left w:val="none" w:sz="0" w:space="0" w:color="auto"/>
            <w:bottom w:val="none" w:sz="0" w:space="0" w:color="auto"/>
            <w:right w:val="none" w:sz="0" w:space="0" w:color="auto"/>
          </w:divBdr>
        </w:div>
        <w:div w:id="1250576282">
          <w:marLeft w:val="274"/>
          <w:marRight w:val="0"/>
          <w:marTop w:val="0"/>
          <w:marBottom w:val="0"/>
          <w:divBdr>
            <w:top w:val="none" w:sz="0" w:space="0" w:color="auto"/>
            <w:left w:val="none" w:sz="0" w:space="0" w:color="auto"/>
            <w:bottom w:val="none" w:sz="0" w:space="0" w:color="auto"/>
            <w:right w:val="none" w:sz="0" w:space="0" w:color="auto"/>
          </w:divBdr>
        </w:div>
      </w:divsChild>
    </w:div>
    <w:div w:id="2064601104">
      <w:bodyDiv w:val="1"/>
      <w:marLeft w:val="0"/>
      <w:marRight w:val="0"/>
      <w:marTop w:val="0"/>
      <w:marBottom w:val="0"/>
      <w:divBdr>
        <w:top w:val="none" w:sz="0" w:space="0" w:color="auto"/>
        <w:left w:val="none" w:sz="0" w:space="0" w:color="auto"/>
        <w:bottom w:val="none" w:sz="0" w:space="0" w:color="auto"/>
        <w:right w:val="none" w:sz="0" w:space="0" w:color="auto"/>
      </w:divBdr>
      <w:divsChild>
        <w:div w:id="1934894843">
          <w:marLeft w:val="288"/>
          <w:marRight w:val="0"/>
          <w:marTop w:val="120"/>
          <w:marBottom w:val="120"/>
          <w:divBdr>
            <w:top w:val="none" w:sz="0" w:space="0" w:color="auto"/>
            <w:left w:val="none" w:sz="0" w:space="0" w:color="auto"/>
            <w:bottom w:val="none" w:sz="0" w:space="0" w:color="auto"/>
            <w:right w:val="none" w:sz="0" w:space="0" w:color="auto"/>
          </w:divBdr>
        </w:div>
      </w:divsChild>
    </w:div>
    <w:div w:id="2065055323">
      <w:bodyDiv w:val="1"/>
      <w:marLeft w:val="0"/>
      <w:marRight w:val="0"/>
      <w:marTop w:val="0"/>
      <w:marBottom w:val="0"/>
      <w:divBdr>
        <w:top w:val="none" w:sz="0" w:space="0" w:color="auto"/>
        <w:left w:val="none" w:sz="0" w:space="0" w:color="auto"/>
        <w:bottom w:val="none" w:sz="0" w:space="0" w:color="auto"/>
        <w:right w:val="none" w:sz="0" w:space="0" w:color="auto"/>
      </w:divBdr>
    </w:div>
    <w:div w:id="2069185875">
      <w:bodyDiv w:val="1"/>
      <w:marLeft w:val="0"/>
      <w:marRight w:val="0"/>
      <w:marTop w:val="0"/>
      <w:marBottom w:val="0"/>
      <w:divBdr>
        <w:top w:val="none" w:sz="0" w:space="0" w:color="auto"/>
        <w:left w:val="none" w:sz="0" w:space="0" w:color="auto"/>
        <w:bottom w:val="none" w:sz="0" w:space="0" w:color="auto"/>
        <w:right w:val="none" w:sz="0" w:space="0" w:color="auto"/>
      </w:divBdr>
      <w:divsChild>
        <w:div w:id="104619905">
          <w:marLeft w:val="547"/>
          <w:marRight w:val="0"/>
          <w:marTop w:val="20"/>
          <w:marBottom w:val="20"/>
          <w:divBdr>
            <w:top w:val="none" w:sz="0" w:space="0" w:color="auto"/>
            <w:left w:val="none" w:sz="0" w:space="0" w:color="auto"/>
            <w:bottom w:val="none" w:sz="0" w:space="0" w:color="auto"/>
            <w:right w:val="none" w:sz="0" w:space="0" w:color="auto"/>
          </w:divBdr>
        </w:div>
        <w:div w:id="303389651">
          <w:marLeft w:val="274"/>
          <w:marRight w:val="0"/>
          <w:marTop w:val="20"/>
          <w:marBottom w:val="20"/>
          <w:divBdr>
            <w:top w:val="none" w:sz="0" w:space="0" w:color="auto"/>
            <w:left w:val="none" w:sz="0" w:space="0" w:color="auto"/>
            <w:bottom w:val="none" w:sz="0" w:space="0" w:color="auto"/>
            <w:right w:val="none" w:sz="0" w:space="0" w:color="auto"/>
          </w:divBdr>
        </w:div>
        <w:div w:id="328289365">
          <w:marLeft w:val="547"/>
          <w:marRight w:val="0"/>
          <w:marTop w:val="20"/>
          <w:marBottom w:val="20"/>
          <w:divBdr>
            <w:top w:val="none" w:sz="0" w:space="0" w:color="auto"/>
            <w:left w:val="none" w:sz="0" w:space="0" w:color="auto"/>
            <w:bottom w:val="none" w:sz="0" w:space="0" w:color="auto"/>
            <w:right w:val="none" w:sz="0" w:space="0" w:color="auto"/>
          </w:divBdr>
        </w:div>
        <w:div w:id="1058750882">
          <w:marLeft w:val="835"/>
          <w:marRight w:val="0"/>
          <w:marTop w:val="20"/>
          <w:marBottom w:val="20"/>
          <w:divBdr>
            <w:top w:val="none" w:sz="0" w:space="0" w:color="auto"/>
            <w:left w:val="none" w:sz="0" w:space="0" w:color="auto"/>
            <w:bottom w:val="none" w:sz="0" w:space="0" w:color="auto"/>
            <w:right w:val="none" w:sz="0" w:space="0" w:color="auto"/>
          </w:divBdr>
        </w:div>
        <w:div w:id="1393890565">
          <w:marLeft w:val="835"/>
          <w:marRight w:val="0"/>
          <w:marTop w:val="20"/>
          <w:marBottom w:val="20"/>
          <w:divBdr>
            <w:top w:val="none" w:sz="0" w:space="0" w:color="auto"/>
            <w:left w:val="none" w:sz="0" w:space="0" w:color="auto"/>
            <w:bottom w:val="none" w:sz="0" w:space="0" w:color="auto"/>
            <w:right w:val="none" w:sz="0" w:space="0" w:color="auto"/>
          </w:divBdr>
        </w:div>
        <w:div w:id="1418752551">
          <w:marLeft w:val="274"/>
          <w:marRight w:val="0"/>
          <w:marTop w:val="20"/>
          <w:marBottom w:val="20"/>
          <w:divBdr>
            <w:top w:val="none" w:sz="0" w:space="0" w:color="auto"/>
            <w:left w:val="none" w:sz="0" w:space="0" w:color="auto"/>
            <w:bottom w:val="none" w:sz="0" w:space="0" w:color="auto"/>
            <w:right w:val="none" w:sz="0" w:space="0" w:color="auto"/>
          </w:divBdr>
        </w:div>
        <w:div w:id="1642072226">
          <w:marLeft w:val="274"/>
          <w:marRight w:val="0"/>
          <w:marTop w:val="20"/>
          <w:marBottom w:val="20"/>
          <w:divBdr>
            <w:top w:val="none" w:sz="0" w:space="0" w:color="auto"/>
            <w:left w:val="none" w:sz="0" w:space="0" w:color="auto"/>
            <w:bottom w:val="none" w:sz="0" w:space="0" w:color="auto"/>
            <w:right w:val="none" w:sz="0" w:space="0" w:color="auto"/>
          </w:divBdr>
        </w:div>
        <w:div w:id="1794205508">
          <w:marLeft w:val="274"/>
          <w:marRight w:val="0"/>
          <w:marTop w:val="20"/>
          <w:marBottom w:val="20"/>
          <w:divBdr>
            <w:top w:val="none" w:sz="0" w:space="0" w:color="auto"/>
            <w:left w:val="none" w:sz="0" w:space="0" w:color="auto"/>
            <w:bottom w:val="none" w:sz="0" w:space="0" w:color="auto"/>
            <w:right w:val="none" w:sz="0" w:space="0" w:color="auto"/>
          </w:divBdr>
        </w:div>
        <w:div w:id="1923640345">
          <w:marLeft w:val="547"/>
          <w:marRight w:val="0"/>
          <w:marTop w:val="20"/>
          <w:marBottom w:val="20"/>
          <w:divBdr>
            <w:top w:val="none" w:sz="0" w:space="0" w:color="auto"/>
            <w:left w:val="none" w:sz="0" w:space="0" w:color="auto"/>
            <w:bottom w:val="none" w:sz="0" w:space="0" w:color="auto"/>
            <w:right w:val="none" w:sz="0" w:space="0" w:color="auto"/>
          </w:divBdr>
        </w:div>
      </w:divsChild>
    </w:div>
    <w:div w:id="2073308339">
      <w:bodyDiv w:val="1"/>
      <w:marLeft w:val="0"/>
      <w:marRight w:val="0"/>
      <w:marTop w:val="0"/>
      <w:marBottom w:val="0"/>
      <w:divBdr>
        <w:top w:val="none" w:sz="0" w:space="0" w:color="auto"/>
        <w:left w:val="none" w:sz="0" w:space="0" w:color="auto"/>
        <w:bottom w:val="none" w:sz="0" w:space="0" w:color="auto"/>
        <w:right w:val="none" w:sz="0" w:space="0" w:color="auto"/>
      </w:divBdr>
    </w:div>
    <w:div w:id="2074768388">
      <w:bodyDiv w:val="1"/>
      <w:marLeft w:val="0"/>
      <w:marRight w:val="0"/>
      <w:marTop w:val="0"/>
      <w:marBottom w:val="0"/>
      <w:divBdr>
        <w:top w:val="none" w:sz="0" w:space="0" w:color="auto"/>
        <w:left w:val="none" w:sz="0" w:space="0" w:color="auto"/>
        <w:bottom w:val="none" w:sz="0" w:space="0" w:color="auto"/>
        <w:right w:val="none" w:sz="0" w:space="0" w:color="auto"/>
      </w:divBdr>
    </w:div>
    <w:div w:id="2089887466">
      <w:bodyDiv w:val="1"/>
      <w:marLeft w:val="0"/>
      <w:marRight w:val="0"/>
      <w:marTop w:val="0"/>
      <w:marBottom w:val="0"/>
      <w:divBdr>
        <w:top w:val="none" w:sz="0" w:space="0" w:color="auto"/>
        <w:left w:val="none" w:sz="0" w:space="0" w:color="auto"/>
        <w:bottom w:val="none" w:sz="0" w:space="0" w:color="auto"/>
        <w:right w:val="none" w:sz="0" w:space="0" w:color="auto"/>
      </w:divBdr>
    </w:div>
    <w:div w:id="2090538672">
      <w:bodyDiv w:val="1"/>
      <w:marLeft w:val="0"/>
      <w:marRight w:val="0"/>
      <w:marTop w:val="0"/>
      <w:marBottom w:val="0"/>
      <w:divBdr>
        <w:top w:val="none" w:sz="0" w:space="0" w:color="auto"/>
        <w:left w:val="none" w:sz="0" w:space="0" w:color="auto"/>
        <w:bottom w:val="none" w:sz="0" w:space="0" w:color="auto"/>
        <w:right w:val="none" w:sz="0" w:space="0" w:color="auto"/>
      </w:divBdr>
    </w:div>
    <w:div w:id="2093237701">
      <w:bodyDiv w:val="1"/>
      <w:marLeft w:val="0"/>
      <w:marRight w:val="0"/>
      <w:marTop w:val="0"/>
      <w:marBottom w:val="0"/>
      <w:divBdr>
        <w:top w:val="none" w:sz="0" w:space="0" w:color="auto"/>
        <w:left w:val="none" w:sz="0" w:space="0" w:color="auto"/>
        <w:bottom w:val="none" w:sz="0" w:space="0" w:color="auto"/>
        <w:right w:val="none" w:sz="0" w:space="0" w:color="auto"/>
      </w:divBdr>
    </w:div>
    <w:div w:id="2093314375">
      <w:bodyDiv w:val="1"/>
      <w:marLeft w:val="0"/>
      <w:marRight w:val="0"/>
      <w:marTop w:val="0"/>
      <w:marBottom w:val="0"/>
      <w:divBdr>
        <w:top w:val="none" w:sz="0" w:space="0" w:color="auto"/>
        <w:left w:val="none" w:sz="0" w:space="0" w:color="auto"/>
        <w:bottom w:val="none" w:sz="0" w:space="0" w:color="auto"/>
        <w:right w:val="none" w:sz="0" w:space="0" w:color="auto"/>
      </w:divBdr>
    </w:div>
    <w:div w:id="2100825841">
      <w:bodyDiv w:val="1"/>
      <w:marLeft w:val="0"/>
      <w:marRight w:val="0"/>
      <w:marTop w:val="0"/>
      <w:marBottom w:val="0"/>
      <w:divBdr>
        <w:top w:val="none" w:sz="0" w:space="0" w:color="auto"/>
        <w:left w:val="none" w:sz="0" w:space="0" w:color="auto"/>
        <w:bottom w:val="none" w:sz="0" w:space="0" w:color="auto"/>
        <w:right w:val="none" w:sz="0" w:space="0" w:color="auto"/>
      </w:divBdr>
      <w:divsChild>
        <w:div w:id="80683782">
          <w:marLeft w:val="274"/>
          <w:marRight w:val="0"/>
          <w:marTop w:val="60"/>
          <w:marBottom w:val="60"/>
          <w:divBdr>
            <w:top w:val="none" w:sz="0" w:space="0" w:color="auto"/>
            <w:left w:val="none" w:sz="0" w:space="0" w:color="auto"/>
            <w:bottom w:val="none" w:sz="0" w:space="0" w:color="auto"/>
            <w:right w:val="none" w:sz="0" w:space="0" w:color="auto"/>
          </w:divBdr>
        </w:div>
        <w:div w:id="452136749">
          <w:marLeft w:val="274"/>
          <w:marRight w:val="0"/>
          <w:marTop w:val="60"/>
          <w:marBottom w:val="60"/>
          <w:divBdr>
            <w:top w:val="none" w:sz="0" w:space="0" w:color="auto"/>
            <w:left w:val="none" w:sz="0" w:space="0" w:color="auto"/>
            <w:bottom w:val="none" w:sz="0" w:space="0" w:color="auto"/>
            <w:right w:val="none" w:sz="0" w:space="0" w:color="auto"/>
          </w:divBdr>
        </w:div>
        <w:div w:id="485782161">
          <w:marLeft w:val="274"/>
          <w:marRight w:val="0"/>
          <w:marTop w:val="60"/>
          <w:marBottom w:val="60"/>
          <w:divBdr>
            <w:top w:val="none" w:sz="0" w:space="0" w:color="auto"/>
            <w:left w:val="none" w:sz="0" w:space="0" w:color="auto"/>
            <w:bottom w:val="none" w:sz="0" w:space="0" w:color="auto"/>
            <w:right w:val="none" w:sz="0" w:space="0" w:color="auto"/>
          </w:divBdr>
        </w:div>
        <w:div w:id="679234829">
          <w:marLeft w:val="274"/>
          <w:marRight w:val="0"/>
          <w:marTop w:val="60"/>
          <w:marBottom w:val="60"/>
          <w:divBdr>
            <w:top w:val="none" w:sz="0" w:space="0" w:color="auto"/>
            <w:left w:val="none" w:sz="0" w:space="0" w:color="auto"/>
            <w:bottom w:val="none" w:sz="0" w:space="0" w:color="auto"/>
            <w:right w:val="none" w:sz="0" w:space="0" w:color="auto"/>
          </w:divBdr>
        </w:div>
        <w:div w:id="700131842">
          <w:marLeft w:val="274"/>
          <w:marRight w:val="0"/>
          <w:marTop w:val="60"/>
          <w:marBottom w:val="60"/>
          <w:divBdr>
            <w:top w:val="none" w:sz="0" w:space="0" w:color="auto"/>
            <w:left w:val="none" w:sz="0" w:space="0" w:color="auto"/>
            <w:bottom w:val="none" w:sz="0" w:space="0" w:color="auto"/>
            <w:right w:val="none" w:sz="0" w:space="0" w:color="auto"/>
          </w:divBdr>
        </w:div>
        <w:div w:id="878858060">
          <w:marLeft w:val="274"/>
          <w:marRight w:val="0"/>
          <w:marTop w:val="60"/>
          <w:marBottom w:val="60"/>
          <w:divBdr>
            <w:top w:val="none" w:sz="0" w:space="0" w:color="auto"/>
            <w:left w:val="none" w:sz="0" w:space="0" w:color="auto"/>
            <w:bottom w:val="none" w:sz="0" w:space="0" w:color="auto"/>
            <w:right w:val="none" w:sz="0" w:space="0" w:color="auto"/>
          </w:divBdr>
        </w:div>
        <w:div w:id="953247532">
          <w:marLeft w:val="274"/>
          <w:marRight w:val="0"/>
          <w:marTop w:val="60"/>
          <w:marBottom w:val="60"/>
          <w:divBdr>
            <w:top w:val="none" w:sz="0" w:space="0" w:color="auto"/>
            <w:left w:val="none" w:sz="0" w:space="0" w:color="auto"/>
            <w:bottom w:val="none" w:sz="0" w:space="0" w:color="auto"/>
            <w:right w:val="none" w:sz="0" w:space="0" w:color="auto"/>
          </w:divBdr>
        </w:div>
        <w:div w:id="963079469">
          <w:marLeft w:val="274"/>
          <w:marRight w:val="0"/>
          <w:marTop w:val="60"/>
          <w:marBottom w:val="60"/>
          <w:divBdr>
            <w:top w:val="none" w:sz="0" w:space="0" w:color="auto"/>
            <w:left w:val="none" w:sz="0" w:space="0" w:color="auto"/>
            <w:bottom w:val="none" w:sz="0" w:space="0" w:color="auto"/>
            <w:right w:val="none" w:sz="0" w:space="0" w:color="auto"/>
          </w:divBdr>
        </w:div>
        <w:div w:id="1690568760">
          <w:marLeft w:val="274"/>
          <w:marRight w:val="0"/>
          <w:marTop w:val="60"/>
          <w:marBottom w:val="60"/>
          <w:divBdr>
            <w:top w:val="none" w:sz="0" w:space="0" w:color="auto"/>
            <w:left w:val="none" w:sz="0" w:space="0" w:color="auto"/>
            <w:bottom w:val="none" w:sz="0" w:space="0" w:color="auto"/>
            <w:right w:val="none" w:sz="0" w:space="0" w:color="auto"/>
          </w:divBdr>
        </w:div>
        <w:div w:id="1718895376">
          <w:marLeft w:val="274"/>
          <w:marRight w:val="0"/>
          <w:marTop w:val="60"/>
          <w:marBottom w:val="60"/>
          <w:divBdr>
            <w:top w:val="none" w:sz="0" w:space="0" w:color="auto"/>
            <w:left w:val="none" w:sz="0" w:space="0" w:color="auto"/>
            <w:bottom w:val="none" w:sz="0" w:space="0" w:color="auto"/>
            <w:right w:val="none" w:sz="0" w:space="0" w:color="auto"/>
          </w:divBdr>
        </w:div>
      </w:divsChild>
    </w:div>
    <w:div w:id="2117364906">
      <w:bodyDiv w:val="1"/>
      <w:marLeft w:val="0"/>
      <w:marRight w:val="0"/>
      <w:marTop w:val="0"/>
      <w:marBottom w:val="0"/>
      <w:divBdr>
        <w:top w:val="none" w:sz="0" w:space="0" w:color="auto"/>
        <w:left w:val="none" w:sz="0" w:space="0" w:color="auto"/>
        <w:bottom w:val="none" w:sz="0" w:space="0" w:color="auto"/>
        <w:right w:val="none" w:sz="0" w:space="0" w:color="auto"/>
      </w:divBdr>
    </w:div>
    <w:div w:id="2123721205">
      <w:bodyDiv w:val="1"/>
      <w:marLeft w:val="0"/>
      <w:marRight w:val="0"/>
      <w:marTop w:val="0"/>
      <w:marBottom w:val="0"/>
      <w:divBdr>
        <w:top w:val="none" w:sz="0" w:space="0" w:color="auto"/>
        <w:left w:val="none" w:sz="0" w:space="0" w:color="auto"/>
        <w:bottom w:val="none" w:sz="0" w:space="0" w:color="auto"/>
        <w:right w:val="none" w:sz="0" w:space="0" w:color="auto"/>
      </w:divBdr>
    </w:div>
    <w:div w:id="2146193169">
      <w:bodyDiv w:val="1"/>
      <w:marLeft w:val="0"/>
      <w:marRight w:val="0"/>
      <w:marTop w:val="0"/>
      <w:marBottom w:val="0"/>
      <w:divBdr>
        <w:top w:val="none" w:sz="0" w:space="0" w:color="auto"/>
        <w:left w:val="none" w:sz="0" w:space="0" w:color="auto"/>
        <w:bottom w:val="none" w:sz="0" w:space="0" w:color="auto"/>
        <w:right w:val="none" w:sz="0" w:space="0" w:color="auto"/>
      </w:divBdr>
      <w:divsChild>
        <w:div w:id="509879596">
          <w:marLeft w:val="288"/>
          <w:marRight w:val="0"/>
          <w:marTop w:val="120"/>
          <w:marBottom w:val="120"/>
          <w:divBdr>
            <w:top w:val="none" w:sz="0" w:space="0" w:color="auto"/>
            <w:left w:val="none" w:sz="0" w:space="0" w:color="auto"/>
            <w:bottom w:val="none" w:sz="0" w:space="0" w:color="auto"/>
            <w:right w:val="none" w:sz="0" w:space="0" w:color="auto"/>
          </w:divBdr>
        </w:div>
        <w:div w:id="1373773653">
          <w:marLeft w:val="288"/>
          <w:marRight w:val="0"/>
          <w:marTop w:val="120"/>
          <w:marBottom w:val="120"/>
          <w:divBdr>
            <w:top w:val="none" w:sz="0" w:space="0" w:color="auto"/>
            <w:left w:val="none" w:sz="0" w:space="0" w:color="auto"/>
            <w:bottom w:val="none" w:sz="0" w:space="0" w:color="auto"/>
            <w:right w:val="none" w:sz="0" w:space="0" w:color="auto"/>
          </w:divBdr>
        </w:div>
        <w:div w:id="2065105793">
          <w:marLeft w:val="288"/>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chart" Target="charts/chart14.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image" Target="media/image18.png"/><Relationship Id="rId63" Type="http://schemas.openxmlformats.org/officeDocument/2006/relationships/footer" Target="footer14.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2.emf"/><Relationship Id="rId32" Type="http://schemas.openxmlformats.org/officeDocument/2006/relationships/chart" Target="charts/chart8.xml"/><Relationship Id="rId37" Type="http://schemas.openxmlformats.org/officeDocument/2006/relationships/hyperlink" Target="http://www.opendataforafrica.org" TargetMode="External"/><Relationship Id="rId40" Type="http://schemas.openxmlformats.org/officeDocument/2006/relationships/chart" Target="charts/chart15.xml"/><Relationship Id="rId45" Type="http://schemas.openxmlformats.org/officeDocument/2006/relationships/footer" Target="footer5.xml"/><Relationship Id="rId53" Type="http://schemas.openxmlformats.org/officeDocument/2006/relationships/image" Target="media/image16.tmp"/><Relationship Id="rId58" Type="http://schemas.openxmlformats.org/officeDocument/2006/relationships/image" Target="media/image21.png"/><Relationship Id="rId66"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chart" Target="charts/chart12.xml"/><Relationship Id="rId49" Type="http://schemas.openxmlformats.org/officeDocument/2006/relationships/footer" Target="footer9.xml"/><Relationship Id="rId57" Type="http://schemas.openxmlformats.org/officeDocument/2006/relationships/image" Target="media/image20.png"/><Relationship Id="rId61" Type="http://schemas.openxmlformats.org/officeDocument/2006/relationships/hyperlink" Target="http://www.se4all.org/sites/default/files/l/2013/09/GTF-2105-Full-Report.pdf" TargetMode="External"/><Relationship Id="rId10" Type="http://schemas.openxmlformats.org/officeDocument/2006/relationships/image" Target="media/image7.jpeg"/><Relationship Id="rId19" Type="http://schemas.openxmlformats.org/officeDocument/2006/relationships/image" Target="media/image9.emf"/><Relationship Id="rId31" Type="http://schemas.openxmlformats.org/officeDocument/2006/relationships/chart" Target="charts/chart7.xml"/><Relationship Id="rId44" Type="http://schemas.openxmlformats.org/officeDocument/2006/relationships/footer" Target="footer4.xml"/><Relationship Id="rId52" Type="http://schemas.openxmlformats.org/officeDocument/2006/relationships/footer" Target="footer12.xml"/><Relationship Id="rId60" Type="http://schemas.openxmlformats.org/officeDocument/2006/relationships/hyperlink" Target="http://www.worldenergyoutlook.org/africa/" TargetMode="Externa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5.jpeg"/><Relationship Id="rId48" Type="http://schemas.openxmlformats.org/officeDocument/2006/relationships/footer" Target="footer8.xml"/><Relationship Id="rId56" Type="http://schemas.openxmlformats.org/officeDocument/2006/relationships/image" Target="media/image19.png"/><Relationship Id="rId64" Type="http://schemas.openxmlformats.org/officeDocument/2006/relationships/footer" Target="footer15.xml"/><Relationship Id="rId69" Type="http://schemas.openxmlformats.org/officeDocument/2006/relationships/theme" Target="theme/theme1.xml"/><Relationship Id="rId8" Type="http://schemas.openxmlformats.org/officeDocument/2006/relationships/image" Target="media/image5.gif"/><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file:///\\frfiler001\DDD\1_Clients\African%20Development%20Bank\2015_African%20Development%20Bank_SE4ALL%20Zimbabwe%20&amp;%20Malawi\Working%20docs\Malawi\04%20-%20AA\8%20-%20Draft%206\AA_Malawi_FINAL%2003May17_clean.docx" TargetMode="External"/><Relationship Id="rId17" Type="http://schemas.microsoft.com/office/2016/09/relationships/commentsIds" Target="commentsIds.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footer" Target="footer6.xml"/><Relationship Id="rId59" Type="http://schemas.openxmlformats.org/officeDocument/2006/relationships/footer" Target="footer13.xml"/><Relationship Id="rId67" Type="http://schemas.openxmlformats.org/officeDocument/2006/relationships/fontTable" Target="fontTable.xml"/><Relationship Id="rId20" Type="http://schemas.openxmlformats.org/officeDocument/2006/relationships/package" Target="embeddings/Microsoft_Excel_Worksheet.xlsx"/><Relationship Id="rId41" Type="http://schemas.openxmlformats.org/officeDocument/2006/relationships/chart" Target="charts/chart16.xml"/><Relationship Id="rId54" Type="http://schemas.openxmlformats.org/officeDocument/2006/relationships/image" Target="media/image17.png"/><Relationship Id="rId62" Type="http://schemas.openxmlformats.org/officeDocument/2006/relationships/hyperlink" Target="http://www.smallhydroworld.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fdb.org/fileadmin/uploads/afdb/Documents/Events/ATFforum/Rail_Infrastructure_in_Africa_-_Financing_Policy_Options_-_AfDB.pdf" TargetMode="External"/><Relationship Id="rId3" Type="http://schemas.openxmlformats.org/officeDocument/2006/relationships/hyperlink" Target="http://www.sciencedirect.com/science/article/pii/S0360544208000959" TargetMode="External"/><Relationship Id="rId7" Type="http://schemas.openxmlformats.org/officeDocument/2006/relationships/hyperlink" Target="https://eneken.ieej.or.jp/data/5006.pdf" TargetMode="External"/><Relationship Id="rId2" Type="http://schemas.openxmlformats.org/officeDocument/2006/relationships/hyperlink" Target="https://eneken.ieej.or.jp/data/5006.pdf" TargetMode="External"/><Relationship Id="rId1" Type="http://schemas.openxmlformats.org/officeDocument/2006/relationships/hyperlink" Target="http://www.prb.org/pdf12/malawi-datasheet-2012.pdf" TargetMode="External"/><Relationship Id="rId6" Type="http://schemas.openxmlformats.org/officeDocument/2006/relationships/hyperlink" Target="http://news.trust.org//item/20131231164852-v6g3t/?source=shem" TargetMode="External"/><Relationship Id="rId5" Type="http://schemas.openxmlformats.org/officeDocument/2006/relationships/hyperlink" Target="http://www.rrdc.com/op_malawi_cear.html" TargetMode="External"/><Relationship Id="rId10" Type="http://schemas.openxmlformats.org/officeDocument/2006/relationships/hyperlink" Target="https://www.afdb.org/fileadmin/uploads/afdb/Documents/Events/ATFforum/Rail_Infrastructure_in_Africa_-_Financing_Policy_Options_-_AfDB.pdf" TargetMode="External"/><Relationship Id="rId4" Type="http://schemas.openxmlformats.org/officeDocument/2006/relationships/hyperlink" Target="http://www.skepticalscience.com/print.php?r=374" TargetMode="External"/><Relationship Id="rId9" Type="http://schemas.openxmlformats.org/officeDocument/2006/relationships/hyperlink" Target="http://www.se4all.org/our-vision/our-objectiv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inetti\AppData\Roaming\Microsoft\Templates\dt_Rect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1\Documents\fuel%20import%20sta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51690930720013"/>
          <c:y val="0.22769606867733594"/>
          <c:w val="0.67769075950708191"/>
          <c:h val="0.50998720827766442"/>
        </c:manualLayout>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E7-41AF-9734-EF2F1DBD9F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E7-41AF-9734-EF2F1DBD9F7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E7-41AF-9734-EF2F1DBD9F7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E7-41AF-9734-EF2F1DBD9F77}"/>
              </c:ext>
            </c:extLst>
          </c:dPt>
          <c:dLbls>
            <c:dLbl>
              <c:idx val="0"/>
              <c:layout>
                <c:manualLayout>
                  <c:x val="4.0781275338294384E-2"/>
                  <c:y val="1.45456095966343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E7-41AF-9734-EF2F1DBD9F77}"/>
                </c:ext>
              </c:extLst>
            </c:dLbl>
            <c:dLbl>
              <c:idx val="1"/>
              <c:layout>
                <c:manualLayout>
                  <c:x val="-7.2041956985592639E-2"/>
                  <c:y val="2.42349128741579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E7-41AF-9734-EF2F1DBD9F77}"/>
                </c:ext>
              </c:extLst>
            </c:dLbl>
            <c:dLbl>
              <c:idx val="2"/>
              <c:layout>
                <c:manualLayout>
                  <c:x val="-4.1555165316565577E-2"/>
                  <c:y val="-8.76369424941017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E7-41AF-9734-EF2F1DBD9F77}"/>
                </c:ext>
              </c:extLst>
            </c:dLbl>
            <c:dLbl>
              <c:idx val="3"/>
              <c:layout>
                <c:manualLayout>
                  <c:x val="0.24757340584225557"/>
                  <c:y val="-1.6130077603115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E7-41AF-9734-EF2F1DBD9F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Sheet1!$O$13:$R$13</c:f>
              <c:strCache>
                <c:ptCount val="4"/>
                <c:pt idx="0">
                  <c:v>Household</c:v>
                </c:pt>
                <c:pt idx="1">
                  <c:v>Service</c:v>
                </c:pt>
                <c:pt idx="2">
                  <c:v>Industry</c:v>
                </c:pt>
                <c:pt idx="3">
                  <c:v>Transport</c:v>
                </c:pt>
              </c:strCache>
            </c:strRef>
          </c:cat>
          <c:val>
            <c:numRef>
              <c:f>Sheet1!$O$14:$R$14</c:f>
              <c:numCache>
                <c:formatCode>0%</c:formatCode>
                <c:ptCount val="4"/>
                <c:pt idx="0">
                  <c:v>0.83000000000000063</c:v>
                </c:pt>
                <c:pt idx="1">
                  <c:v>1.0000000000000007E-2</c:v>
                </c:pt>
                <c:pt idx="2">
                  <c:v>0.12000000000000002</c:v>
                </c:pt>
                <c:pt idx="3">
                  <c:v>4.0000000000000029E-2</c:v>
                </c:pt>
              </c:numCache>
            </c:numRef>
          </c:val>
          <c:extLst>
            <c:ext xmlns:c16="http://schemas.microsoft.com/office/drawing/2014/chart" uri="{C3380CC4-5D6E-409C-BE32-E72D297353CC}">
              <c16:uniqueId val="{00000008-50E7-41AF-9734-EF2F1DBD9F77}"/>
            </c:ext>
          </c:extLst>
        </c:ser>
        <c:dLbls>
          <c:showLegendKey val="0"/>
          <c:showVal val="0"/>
          <c:showCatName val="1"/>
          <c:showSerName val="0"/>
          <c:showPercent val="1"/>
          <c:showBubbleSize val="0"/>
          <c:showLeaderLines val="1"/>
        </c:dLbls>
      </c:pie3DChart>
      <c:spPr>
        <a:noFill/>
        <a:ln>
          <a:noFill/>
        </a:ln>
        <a:effectLst/>
      </c:spPr>
    </c:plotArea>
    <c:legend>
      <c:legendPos val="b"/>
      <c:layout>
        <c:manualLayout>
          <c:xMode val="edge"/>
          <c:yMode val="edge"/>
          <c:x val="4.9999811174682322E-2"/>
          <c:y val="0.87815799198385402"/>
          <c:w val="0.9"/>
          <c:h val="0.121842008016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61854768154"/>
          <c:y val="4.6770924467774866E-2"/>
          <c:w val="0.64063713910761155"/>
          <c:h val="0.8326195683872849"/>
        </c:manualLayout>
      </c:layout>
      <c:areaChart>
        <c:grouping val="stacked"/>
        <c:varyColors val="0"/>
        <c:ser>
          <c:idx val="0"/>
          <c:order val="0"/>
          <c:tx>
            <c:strRef>
              <c:f>Sheet1!$N$3</c:f>
              <c:strCache>
                <c:ptCount val="1"/>
                <c:pt idx="0">
                  <c:v>Large Hydro</c:v>
                </c:pt>
              </c:strCache>
            </c:strRef>
          </c:tx>
          <c:cat>
            <c:numLit>
              <c:formatCode>General</c:formatCode>
              <c:ptCount val="4"/>
              <c:pt idx="0">
                <c:v>2015</c:v>
              </c:pt>
              <c:pt idx="1">
                <c:v>2020</c:v>
              </c:pt>
              <c:pt idx="2">
                <c:v>2025</c:v>
              </c:pt>
              <c:pt idx="3">
                <c:v>2030</c:v>
              </c:pt>
            </c:numLit>
          </c:cat>
          <c:val>
            <c:numRef>
              <c:f>Sheet1!$O$3:$R$3</c:f>
              <c:numCache>
                <c:formatCode>General</c:formatCode>
                <c:ptCount val="4"/>
                <c:pt idx="0">
                  <c:v>281.5</c:v>
                </c:pt>
                <c:pt idx="1">
                  <c:v>1181.5</c:v>
                </c:pt>
                <c:pt idx="2">
                  <c:v>1471.5</c:v>
                </c:pt>
                <c:pt idx="3">
                  <c:v>1471.5</c:v>
                </c:pt>
              </c:numCache>
            </c:numRef>
          </c:val>
          <c:extLst>
            <c:ext xmlns:c16="http://schemas.microsoft.com/office/drawing/2014/chart" uri="{C3380CC4-5D6E-409C-BE32-E72D297353CC}">
              <c16:uniqueId val="{00000000-B89A-4F50-81F8-2009A463A87B}"/>
            </c:ext>
          </c:extLst>
        </c:ser>
        <c:ser>
          <c:idx val="1"/>
          <c:order val="1"/>
          <c:tx>
            <c:strRef>
              <c:f>Sheet1!$N$4</c:f>
              <c:strCache>
                <c:ptCount val="1"/>
                <c:pt idx="0">
                  <c:v>Small Hydro</c:v>
                </c:pt>
              </c:strCache>
            </c:strRef>
          </c:tx>
          <c:cat>
            <c:numLit>
              <c:formatCode>General</c:formatCode>
              <c:ptCount val="4"/>
              <c:pt idx="0">
                <c:v>2015</c:v>
              </c:pt>
              <c:pt idx="1">
                <c:v>2020</c:v>
              </c:pt>
              <c:pt idx="2">
                <c:v>2025</c:v>
              </c:pt>
              <c:pt idx="3">
                <c:v>2030</c:v>
              </c:pt>
            </c:numLit>
          </c:cat>
          <c:val>
            <c:numRef>
              <c:f>Sheet1!$O$4:$R$4</c:f>
              <c:numCache>
                <c:formatCode>General</c:formatCode>
                <c:ptCount val="4"/>
                <c:pt idx="0">
                  <c:v>4.3499999999999996</c:v>
                </c:pt>
                <c:pt idx="1">
                  <c:v>45.35</c:v>
                </c:pt>
                <c:pt idx="2">
                  <c:v>105.34</c:v>
                </c:pt>
                <c:pt idx="3">
                  <c:v>105.35</c:v>
                </c:pt>
              </c:numCache>
            </c:numRef>
          </c:val>
          <c:extLst>
            <c:ext xmlns:c16="http://schemas.microsoft.com/office/drawing/2014/chart" uri="{C3380CC4-5D6E-409C-BE32-E72D297353CC}">
              <c16:uniqueId val="{00000001-B89A-4F50-81F8-2009A463A87B}"/>
            </c:ext>
          </c:extLst>
        </c:ser>
        <c:ser>
          <c:idx val="2"/>
          <c:order val="2"/>
          <c:tx>
            <c:strRef>
              <c:f>Sheet1!$N$5</c:f>
              <c:strCache>
                <c:ptCount val="1"/>
                <c:pt idx="0">
                  <c:v>Diesel</c:v>
                </c:pt>
              </c:strCache>
            </c:strRef>
          </c:tx>
          <c:spPr>
            <a:ln w="25400">
              <a:noFill/>
            </a:ln>
          </c:spPr>
          <c:cat>
            <c:numLit>
              <c:formatCode>General</c:formatCode>
              <c:ptCount val="4"/>
              <c:pt idx="0">
                <c:v>2015</c:v>
              </c:pt>
              <c:pt idx="1">
                <c:v>2020</c:v>
              </c:pt>
              <c:pt idx="2">
                <c:v>2025</c:v>
              </c:pt>
              <c:pt idx="3">
                <c:v>2030</c:v>
              </c:pt>
            </c:numLit>
          </c:cat>
          <c:val>
            <c:numRef>
              <c:f>Sheet1!$O$5:$R$5</c:f>
              <c:numCache>
                <c:formatCode>General</c:formatCode>
                <c:ptCount val="4"/>
                <c:pt idx="0">
                  <c:v>2</c:v>
                </c:pt>
                <c:pt idx="1">
                  <c:v>48</c:v>
                </c:pt>
                <c:pt idx="2">
                  <c:v>48</c:v>
                </c:pt>
                <c:pt idx="3">
                  <c:v>48</c:v>
                </c:pt>
              </c:numCache>
            </c:numRef>
          </c:val>
          <c:extLst>
            <c:ext xmlns:c16="http://schemas.microsoft.com/office/drawing/2014/chart" uri="{C3380CC4-5D6E-409C-BE32-E72D297353CC}">
              <c16:uniqueId val="{00000002-B89A-4F50-81F8-2009A463A87B}"/>
            </c:ext>
          </c:extLst>
        </c:ser>
        <c:ser>
          <c:idx val="3"/>
          <c:order val="3"/>
          <c:tx>
            <c:strRef>
              <c:f>Sheet1!$N$6</c:f>
              <c:strCache>
                <c:ptCount val="1"/>
                <c:pt idx="0">
                  <c:v>Coal</c:v>
                </c:pt>
              </c:strCache>
            </c:strRef>
          </c:tx>
          <c:spPr>
            <a:ln w="25400">
              <a:noFill/>
            </a:ln>
          </c:spPr>
          <c:cat>
            <c:numLit>
              <c:formatCode>General</c:formatCode>
              <c:ptCount val="4"/>
              <c:pt idx="0">
                <c:v>2015</c:v>
              </c:pt>
              <c:pt idx="1">
                <c:v>2020</c:v>
              </c:pt>
              <c:pt idx="2">
                <c:v>2025</c:v>
              </c:pt>
              <c:pt idx="3">
                <c:v>2030</c:v>
              </c:pt>
            </c:numLit>
          </c:cat>
          <c:val>
            <c:numRef>
              <c:f>Sheet1!$O$6:$R$6</c:f>
              <c:numCache>
                <c:formatCode>General</c:formatCode>
                <c:ptCount val="4"/>
                <c:pt idx="0">
                  <c:v>0</c:v>
                </c:pt>
                <c:pt idx="1">
                  <c:v>0</c:v>
                </c:pt>
                <c:pt idx="2">
                  <c:v>200</c:v>
                </c:pt>
                <c:pt idx="3">
                  <c:v>300</c:v>
                </c:pt>
              </c:numCache>
            </c:numRef>
          </c:val>
          <c:extLst>
            <c:ext xmlns:c16="http://schemas.microsoft.com/office/drawing/2014/chart" uri="{C3380CC4-5D6E-409C-BE32-E72D297353CC}">
              <c16:uniqueId val="{00000003-B89A-4F50-81F8-2009A463A87B}"/>
            </c:ext>
          </c:extLst>
        </c:ser>
        <c:ser>
          <c:idx val="4"/>
          <c:order val="4"/>
          <c:tx>
            <c:strRef>
              <c:f>Sheet1!$N$7</c:f>
              <c:strCache>
                <c:ptCount val="1"/>
                <c:pt idx="0">
                  <c:v>Solar</c:v>
                </c:pt>
              </c:strCache>
            </c:strRef>
          </c:tx>
          <c:spPr>
            <a:ln w="25400">
              <a:noFill/>
            </a:ln>
          </c:spPr>
          <c:cat>
            <c:numLit>
              <c:formatCode>General</c:formatCode>
              <c:ptCount val="4"/>
              <c:pt idx="0">
                <c:v>2015</c:v>
              </c:pt>
              <c:pt idx="1">
                <c:v>2020</c:v>
              </c:pt>
              <c:pt idx="2">
                <c:v>2025</c:v>
              </c:pt>
              <c:pt idx="3">
                <c:v>2030</c:v>
              </c:pt>
            </c:numLit>
          </c:cat>
          <c:val>
            <c:numRef>
              <c:f>Sheet1!$O$7:$R$7</c:f>
              <c:numCache>
                <c:formatCode>General</c:formatCode>
                <c:ptCount val="4"/>
                <c:pt idx="0">
                  <c:v>0</c:v>
                </c:pt>
                <c:pt idx="1">
                  <c:v>100</c:v>
                </c:pt>
                <c:pt idx="2">
                  <c:v>200</c:v>
                </c:pt>
                <c:pt idx="3">
                  <c:v>550</c:v>
                </c:pt>
              </c:numCache>
            </c:numRef>
          </c:val>
          <c:extLst>
            <c:ext xmlns:c16="http://schemas.microsoft.com/office/drawing/2014/chart" uri="{C3380CC4-5D6E-409C-BE32-E72D297353CC}">
              <c16:uniqueId val="{00000004-B89A-4F50-81F8-2009A463A87B}"/>
            </c:ext>
          </c:extLst>
        </c:ser>
        <c:ser>
          <c:idx val="5"/>
          <c:order val="5"/>
          <c:tx>
            <c:strRef>
              <c:f>Sheet1!$N$8</c:f>
              <c:strCache>
                <c:ptCount val="1"/>
                <c:pt idx="0">
                  <c:v>Bagasse</c:v>
                </c:pt>
              </c:strCache>
            </c:strRef>
          </c:tx>
          <c:spPr>
            <a:ln w="25400">
              <a:noFill/>
            </a:ln>
          </c:spPr>
          <c:cat>
            <c:numLit>
              <c:formatCode>General</c:formatCode>
              <c:ptCount val="4"/>
              <c:pt idx="0">
                <c:v>2015</c:v>
              </c:pt>
              <c:pt idx="1">
                <c:v>2020</c:v>
              </c:pt>
              <c:pt idx="2">
                <c:v>2025</c:v>
              </c:pt>
              <c:pt idx="3">
                <c:v>2030</c:v>
              </c:pt>
            </c:numLit>
          </c:cat>
          <c:val>
            <c:numRef>
              <c:f>Sheet1!$O$8:$R$8</c:f>
              <c:numCache>
                <c:formatCode>General</c:formatCode>
                <c:ptCount val="4"/>
                <c:pt idx="0">
                  <c:v>0</c:v>
                </c:pt>
                <c:pt idx="1">
                  <c:v>46</c:v>
                </c:pt>
                <c:pt idx="2">
                  <c:v>46</c:v>
                </c:pt>
                <c:pt idx="3">
                  <c:v>46</c:v>
                </c:pt>
              </c:numCache>
            </c:numRef>
          </c:val>
          <c:extLst>
            <c:ext xmlns:c16="http://schemas.microsoft.com/office/drawing/2014/chart" uri="{C3380CC4-5D6E-409C-BE32-E72D297353CC}">
              <c16:uniqueId val="{00000005-B89A-4F50-81F8-2009A463A87B}"/>
            </c:ext>
          </c:extLst>
        </c:ser>
        <c:dLbls>
          <c:showLegendKey val="0"/>
          <c:showVal val="0"/>
          <c:showCatName val="0"/>
          <c:showSerName val="0"/>
          <c:showPercent val="0"/>
          <c:showBubbleSize val="0"/>
        </c:dLbls>
        <c:axId val="169259776"/>
        <c:axId val="169261312"/>
      </c:areaChart>
      <c:catAx>
        <c:axId val="169259776"/>
        <c:scaling>
          <c:orientation val="minMax"/>
        </c:scaling>
        <c:delete val="0"/>
        <c:axPos val="b"/>
        <c:numFmt formatCode="General" sourceLinked="1"/>
        <c:majorTickMark val="out"/>
        <c:minorTickMark val="none"/>
        <c:tickLblPos val="nextTo"/>
        <c:crossAx val="169261312"/>
        <c:crosses val="autoZero"/>
        <c:auto val="1"/>
        <c:lblAlgn val="ctr"/>
        <c:lblOffset val="100"/>
        <c:noMultiLvlLbl val="0"/>
      </c:catAx>
      <c:valAx>
        <c:axId val="169261312"/>
        <c:scaling>
          <c:orientation val="minMax"/>
        </c:scaling>
        <c:delete val="0"/>
        <c:axPos val="l"/>
        <c:majorGridlines/>
        <c:numFmt formatCode="General" sourceLinked="1"/>
        <c:majorTickMark val="out"/>
        <c:minorTickMark val="none"/>
        <c:tickLblPos val="nextTo"/>
        <c:crossAx val="169259776"/>
        <c:crosses val="autoZero"/>
        <c:crossBetween val="midCat"/>
      </c:valAx>
    </c:plotArea>
    <c:legend>
      <c:legendPos val="r"/>
      <c:layout>
        <c:manualLayout>
          <c:xMode val="edge"/>
          <c:yMode val="edge"/>
          <c:x val="0.77576479403876519"/>
          <c:y val="0.15590305392427956"/>
          <c:w val="0.18511037857739759"/>
          <c:h val="0.48356042373363151"/>
        </c:manualLayout>
      </c:layout>
      <c:overlay val="0"/>
    </c:legend>
    <c:plotVisOnly val="1"/>
    <c:dispBlanksAs val="zero"/>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22244094488189"/>
          <c:y val="1.3888888888888888E-2"/>
          <c:w val="0.53888888888888886"/>
          <c:h val="0.89814814814814814"/>
        </c:manualLayout>
      </c:layout>
      <c:pieChart>
        <c:varyColors val="1"/>
        <c:ser>
          <c:idx val="0"/>
          <c:order val="0"/>
          <c:dLbls>
            <c:dLbl>
              <c:idx val="0"/>
              <c:layout>
                <c:manualLayout>
                  <c:x val="-1.070909886264217E-2"/>
                  <c:y val="-0.12121502276639741"/>
                </c:manualLayout>
              </c:layout>
              <c:tx>
                <c:rich>
                  <a:bodyPr/>
                  <a:lstStyle/>
                  <a:p>
                    <a:r>
                      <a:rPr lang="en-US"/>
                      <a:t>Large Hydro 1,471.5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7A-4D4D-B496-E332E1052F31}"/>
                </c:ext>
              </c:extLst>
            </c:dLbl>
            <c:dLbl>
              <c:idx val="1"/>
              <c:layout>
                <c:manualLayout>
                  <c:x val="3.8374890638670167E-2"/>
                  <c:y val="1.0383765120842544E-2"/>
                </c:manualLayout>
              </c:layout>
              <c:tx>
                <c:rich>
                  <a:bodyPr/>
                  <a:lstStyle/>
                  <a:p>
                    <a:r>
                      <a:rPr lang="en-US"/>
                      <a:t>Small Hydro 103.35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7A-4D4D-B496-E332E1052F31}"/>
                </c:ext>
              </c:extLst>
            </c:dLbl>
            <c:dLbl>
              <c:idx val="2"/>
              <c:layout>
                <c:manualLayout>
                  <c:x val="-1.4693788276465441E-3"/>
                  <c:y val="-2.4546879556722075E-2"/>
                </c:manualLayout>
              </c:layout>
              <c:tx>
                <c:rich>
                  <a:bodyPr/>
                  <a:lstStyle/>
                  <a:p>
                    <a:r>
                      <a:rPr lang="en-US"/>
                      <a:t>Diesel</a:t>
                    </a:r>
                    <a:r>
                      <a:rPr lang="en-US" baseline="0"/>
                      <a:t> </a:t>
                    </a:r>
                    <a:r>
                      <a:rPr lang="en-US"/>
                      <a:t>48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7A-4D4D-B496-E332E1052F31}"/>
                </c:ext>
              </c:extLst>
            </c:dLbl>
            <c:dLbl>
              <c:idx val="3"/>
              <c:layout>
                <c:manualLayout>
                  <c:x val="-2.5231517935258092E-2"/>
                  <c:y val="-5.279126567512394E-2"/>
                </c:manualLayout>
              </c:layout>
              <c:tx>
                <c:rich>
                  <a:bodyPr/>
                  <a:lstStyle/>
                  <a:p>
                    <a:r>
                      <a:rPr lang="en-US"/>
                      <a:t>Coal 300 MW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7A-4D4D-B496-E332E1052F31}"/>
                </c:ext>
              </c:extLst>
            </c:dLbl>
            <c:dLbl>
              <c:idx val="4"/>
              <c:layout>
                <c:manualLayout>
                  <c:x val="-8.1798993875765533E-3"/>
                  <c:y val="1.3194808982210557E-2"/>
                </c:manualLayout>
              </c:layout>
              <c:tx>
                <c:rich>
                  <a:bodyPr/>
                  <a:lstStyle/>
                  <a:p>
                    <a:r>
                      <a:rPr lang="en-US"/>
                      <a:t>Solar 550 MW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7A-4D4D-B496-E332E1052F31}"/>
                </c:ext>
              </c:extLst>
            </c:dLbl>
            <c:dLbl>
              <c:idx val="5"/>
              <c:tx>
                <c:rich>
                  <a:bodyPr/>
                  <a:lstStyle/>
                  <a:p>
                    <a:r>
                      <a:rPr lang="en-US"/>
                      <a:t>Bagasse 46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7A-4D4D-B496-E332E1052F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Lit>
              <c:ptCount val="6"/>
              <c:pt idx="0">
                <c:v>Large Hydro</c:v>
              </c:pt>
              <c:pt idx="1">
                <c:v> Small Hydro</c:v>
              </c:pt>
              <c:pt idx="2">
                <c:v> Diesel</c:v>
              </c:pt>
              <c:pt idx="3">
                <c:v> Coal</c:v>
              </c:pt>
              <c:pt idx="4">
                <c:v> Solar</c:v>
              </c:pt>
              <c:pt idx="5">
                <c:v> Bagasse</c:v>
              </c:pt>
            </c:strLit>
          </c:cat>
          <c:val>
            <c:numRef>
              <c:f>Sheet1!$R$3:$R$8</c:f>
              <c:numCache>
                <c:formatCode>General</c:formatCode>
                <c:ptCount val="6"/>
                <c:pt idx="0">
                  <c:v>1471.5</c:v>
                </c:pt>
                <c:pt idx="1">
                  <c:v>105.35</c:v>
                </c:pt>
                <c:pt idx="2">
                  <c:v>48</c:v>
                </c:pt>
                <c:pt idx="3">
                  <c:v>300</c:v>
                </c:pt>
                <c:pt idx="4">
                  <c:v>550</c:v>
                </c:pt>
                <c:pt idx="5">
                  <c:v>46</c:v>
                </c:pt>
              </c:numCache>
            </c:numRef>
          </c:val>
          <c:extLst>
            <c:ext xmlns:c16="http://schemas.microsoft.com/office/drawing/2014/chart" uri="{C3380CC4-5D6E-409C-BE32-E72D297353CC}">
              <c16:uniqueId val="{00000006-277A-4D4D-B496-E332E1052F31}"/>
            </c:ext>
          </c:extLst>
        </c:ser>
        <c:dLbls>
          <c:showLegendKey val="0"/>
          <c:showVal val="0"/>
          <c:showCatName val="0"/>
          <c:showSerName val="0"/>
          <c:showPercent val="0"/>
          <c:showBubbleSize val="0"/>
          <c:showLeaderLines val="0"/>
        </c:dLbls>
        <c:firstSliceAng val="338"/>
      </c:pieChart>
    </c:plotArea>
    <c:plotVisOnly val="1"/>
    <c:dispBlanksAs val="gap"/>
    <c:showDLblsOverMax val="0"/>
  </c:chart>
  <c:spPr>
    <a:ln>
      <a:solidFill>
        <a:schemeClr val="bg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0.17551690930720013"/>
          <c:y val="0.22769606867733594"/>
          <c:w val="0.67769075950708191"/>
          <c:h val="0.50998720827766442"/>
        </c:manualLayout>
      </c:layout>
      <c:pie3DChart>
        <c:varyColors val="1"/>
        <c:ser>
          <c:idx val="0"/>
          <c:order val="0"/>
          <c:explosion val="25"/>
          <c:dPt>
            <c:idx val="0"/>
            <c:bubble3D val="0"/>
            <c:extLst>
              <c:ext xmlns:c16="http://schemas.microsoft.com/office/drawing/2014/chart" uri="{C3380CC4-5D6E-409C-BE32-E72D297353CC}">
                <c16:uniqueId val="{00000000-8EE7-4E5A-9A5F-35008EC2255E}"/>
              </c:ext>
            </c:extLst>
          </c:dPt>
          <c:dPt>
            <c:idx val="1"/>
            <c:bubble3D val="0"/>
            <c:extLst>
              <c:ext xmlns:c16="http://schemas.microsoft.com/office/drawing/2014/chart" uri="{C3380CC4-5D6E-409C-BE32-E72D297353CC}">
                <c16:uniqueId val="{00000001-8EE7-4E5A-9A5F-35008EC2255E}"/>
              </c:ext>
            </c:extLst>
          </c:dPt>
          <c:dPt>
            <c:idx val="2"/>
            <c:bubble3D val="0"/>
            <c:extLst>
              <c:ext xmlns:c16="http://schemas.microsoft.com/office/drawing/2014/chart" uri="{C3380CC4-5D6E-409C-BE32-E72D297353CC}">
                <c16:uniqueId val="{00000002-8EE7-4E5A-9A5F-35008EC2255E}"/>
              </c:ext>
            </c:extLst>
          </c:dPt>
          <c:dPt>
            <c:idx val="3"/>
            <c:bubble3D val="0"/>
            <c:extLst>
              <c:ext xmlns:c16="http://schemas.microsoft.com/office/drawing/2014/chart" uri="{C3380CC4-5D6E-409C-BE32-E72D297353CC}">
                <c16:uniqueId val="{00000003-8EE7-4E5A-9A5F-35008EC2255E}"/>
              </c:ext>
            </c:extLst>
          </c:dPt>
          <c:dLbls>
            <c:dLbl>
              <c:idx val="0"/>
              <c:layout>
                <c:manualLayout>
                  <c:x val="4.0781275338294384E-2"/>
                  <c:y val="1.45456095966343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EE7-4E5A-9A5F-35008EC2255E}"/>
                </c:ext>
              </c:extLst>
            </c:dLbl>
            <c:dLbl>
              <c:idx val="1"/>
              <c:layout>
                <c:manualLayout>
                  <c:x val="-7.2041956985592639E-2"/>
                  <c:y val="2.42349128741579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E7-4E5A-9A5F-35008EC2255E}"/>
                </c:ext>
              </c:extLst>
            </c:dLbl>
            <c:dLbl>
              <c:idx val="2"/>
              <c:layout>
                <c:manualLayout>
                  <c:x val="-4.1555165316565577E-2"/>
                  <c:y val="-8.76369424941017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EE7-4E5A-9A5F-35008EC2255E}"/>
                </c:ext>
              </c:extLst>
            </c:dLbl>
            <c:dLbl>
              <c:idx val="3"/>
              <c:layout>
                <c:manualLayout>
                  <c:x val="0.24757340584225557"/>
                  <c:y val="-1.6130077603115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E7-4E5A-9A5F-35008EC2255E}"/>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Sheet1!$O$13:$R$13</c:f>
              <c:strCache>
                <c:ptCount val="4"/>
                <c:pt idx="0">
                  <c:v>Household</c:v>
                </c:pt>
                <c:pt idx="1">
                  <c:v>Service</c:v>
                </c:pt>
                <c:pt idx="2">
                  <c:v>Industry</c:v>
                </c:pt>
                <c:pt idx="3">
                  <c:v>Transport</c:v>
                </c:pt>
              </c:strCache>
            </c:strRef>
          </c:cat>
          <c:val>
            <c:numRef>
              <c:f>Sheet1!$O$14:$R$14</c:f>
              <c:numCache>
                <c:formatCode>0%</c:formatCode>
                <c:ptCount val="4"/>
                <c:pt idx="0">
                  <c:v>0.83000000000000063</c:v>
                </c:pt>
                <c:pt idx="1">
                  <c:v>1.0000000000000007E-2</c:v>
                </c:pt>
                <c:pt idx="2">
                  <c:v>0.12000000000000002</c:v>
                </c:pt>
                <c:pt idx="3">
                  <c:v>4.0000000000000029E-2</c:v>
                </c:pt>
              </c:numCache>
            </c:numRef>
          </c:val>
          <c:extLst>
            <c:ext xmlns:c16="http://schemas.microsoft.com/office/drawing/2014/chart" uri="{C3380CC4-5D6E-409C-BE32-E72D297353CC}">
              <c16:uniqueId val="{00000004-8EE7-4E5A-9A5F-35008EC2255E}"/>
            </c:ext>
          </c:extLst>
        </c:ser>
        <c:dLbls>
          <c:showLegendKey val="0"/>
          <c:showVal val="0"/>
          <c:showCatName val="1"/>
          <c:showSerName val="0"/>
          <c:showPercent val="1"/>
          <c:showBubbleSize val="0"/>
          <c:showLeaderLines val="1"/>
        </c:dLbls>
      </c:pie3DChart>
    </c:plotArea>
    <c:legend>
      <c:legendPos val="b"/>
      <c:layout>
        <c:manualLayout>
          <c:xMode val="edge"/>
          <c:yMode val="edge"/>
          <c:x val="4.9999811174682322E-2"/>
          <c:y val="0.87815799198385402"/>
          <c:w val="0.9"/>
          <c:h val="0.121842008016146"/>
        </c:manualLayout>
      </c:layout>
      <c:overlay val="0"/>
      <c:txPr>
        <a:bodyPr rot="0" vert="horz"/>
        <a:lstStyle/>
        <a:p>
          <a:pPr>
            <a:defRPr/>
          </a:pPr>
          <a:endParaRPr lang="en-US"/>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Petrol</c:v>
                </c:pt>
              </c:strCache>
            </c:strRef>
          </c:tx>
          <c:spPr>
            <a:ln w="2857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6-4878-845C-7D385121DA5F}"/>
                </c:ext>
              </c:extLst>
            </c:dLbl>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86-4878-845C-7D385121DA5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Sheet1!$B$2:$B$16</c:f>
              <c:numCache>
                <c:formatCode>General</c:formatCode>
                <c:ptCount val="15"/>
                <c:pt idx="0">
                  <c:v>92</c:v>
                </c:pt>
                <c:pt idx="1">
                  <c:v>85</c:v>
                </c:pt>
                <c:pt idx="2">
                  <c:v>81</c:v>
                </c:pt>
                <c:pt idx="3">
                  <c:v>88</c:v>
                </c:pt>
                <c:pt idx="4">
                  <c:v>93</c:v>
                </c:pt>
                <c:pt idx="5">
                  <c:v>94</c:v>
                </c:pt>
                <c:pt idx="6">
                  <c:v>84</c:v>
                </c:pt>
                <c:pt idx="7">
                  <c:v>88</c:v>
                </c:pt>
                <c:pt idx="8">
                  <c:v>91</c:v>
                </c:pt>
                <c:pt idx="9">
                  <c:v>103</c:v>
                </c:pt>
                <c:pt idx="10">
                  <c:v>112</c:v>
                </c:pt>
                <c:pt idx="11">
                  <c:v>101</c:v>
                </c:pt>
                <c:pt idx="12">
                  <c:v>105</c:v>
                </c:pt>
                <c:pt idx="13">
                  <c:v>100</c:v>
                </c:pt>
                <c:pt idx="14">
                  <c:v>109</c:v>
                </c:pt>
              </c:numCache>
            </c:numRef>
          </c:val>
          <c:smooth val="0"/>
          <c:extLst>
            <c:ext xmlns:c16="http://schemas.microsoft.com/office/drawing/2014/chart" uri="{C3380CC4-5D6E-409C-BE32-E72D297353CC}">
              <c16:uniqueId val="{00000002-2C86-4878-845C-7D385121DA5F}"/>
            </c:ext>
          </c:extLst>
        </c:ser>
        <c:ser>
          <c:idx val="1"/>
          <c:order val="1"/>
          <c:tx>
            <c:strRef>
              <c:f>Sheet1!$C$1</c:f>
              <c:strCache>
                <c:ptCount val="1"/>
                <c:pt idx="0">
                  <c:v>Diesel</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86-4878-845C-7D385121DA5F}"/>
                </c:ext>
              </c:extLst>
            </c:dLbl>
            <c:dLbl>
              <c:idx val="1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86-4878-845C-7D385121DA5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Sheet1!$C$2:$C$16</c:f>
              <c:numCache>
                <c:formatCode>General</c:formatCode>
                <c:ptCount val="15"/>
                <c:pt idx="0">
                  <c:v>131</c:v>
                </c:pt>
                <c:pt idx="1">
                  <c:v>125</c:v>
                </c:pt>
                <c:pt idx="2">
                  <c:v>125</c:v>
                </c:pt>
                <c:pt idx="3">
                  <c:v>127</c:v>
                </c:pt>
                <c:pt idx="4">
                  <c:v>136</c:v>
                </c:pt>
                <c:pt idx="5">
                  <c:v>148</c:v>
                </c:pt>
                <c:pt idx="6">
                  <c:v>153</c:v>
                </c:pt>
                <c:pt idx="7">
                  <c:v>153</c:v>
                </c:pt>
                <c:pt idx="8">
                  <c:v>167</c:v>
                </c:pt>
                <c:pt idx="9">
                  <c:v>199</c:v>
                </c:pt>
                <c:pt idx="10">
                  <c:v>203</c:v>
                </c:pt>
                <c:pt idx="11">
                  <c:v>187</c:v>
                </c:pt>
                <c:pt idx="12">
                  <c:v>190</c:v>
                </c:pt>
                <c:pt idx="13">
                  <c:v>205</c:v>
                </c:pt>
                <c:pt idx="14">
                  <c:v>212</c:v>
                </c:pt>
              </c:numCache>
            </c:numRef>
          </c:val>
          <c:smooth val="0"/>
          <c:extLst>
            <c:ext xmlns:c16="http://schemas.microsoft.com/office/drawing/2014/chart" uri="{C3380CC4-5D6E-409C-BE32-E72D297353CC}">
              <c16:uniqueId val="{00000005-2C86-4878-845C-7D385121DA5F}"/>
            </c:ext>
          </c:extLst>
        </c:ser>
        <c:dLbls>
          <c:showLegendKey val="0"/>
          <c:showVal val="0"/>
          <c:showCatName val="0"/>
          <c:showSerName val="0"/>
          <c:showPercent val="0"/>
          <c:showBubbleSize val="0"/>
        </c:dLbls>
        <c:smooth val="0"/>
        <c:axId val="169093760"/>
        <c:axId val="169095552"/>
      </c:lineChart>
      <c:catAx>
        <c:axId val="1690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095552"/>
        <c:crosses val="autoZero"/>
        <c:auto val="1"/>
        <c:lblAlgn val="ctr"/>
        <c:lblOffset val="100"/>
        <c:noMultiLvlLbl val="0"/>
      </c:catAx>
      <c:valAx>
        <c:axId val="16909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0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Actual production EthCo</c:v>
                </c:pt>
              </c:strCache>
            </c:strRef>
          </c:tx>
          <c:spPr>
            <a:ln w="28575" cap="rnd">
              <a:solidFill>
                <a:schemeClr val="accent1"/>
              </a:solidFill>
              <a:round/>
            </a:ln>
            <a:effectLst/>
          </c:spPr>
          <c:marker>
            <c:symbol val="none"/>
          </c:marker>
          <c:cat>
            <c:strRef>
              <c:f>Sheet1!$A$2:$A$18</c:f>
              <c:strCache>
                <c:ptCount val="17"/>
                <c:pt idx="0">
                  <c:v>2010</c:v>
                </c:pt>
                <c:pt idx="1">
                  <c:v>2011</c:v>
                </c:pt>
                <c:pt idx="2">
                  <c:v>2012</c:v>
                </c:pt>
                <c:pt idx="3">
                  <c:v>2013</c:v>
                </c:pt>
                <c:pt idx="4">
                  <c:v>2014</c:v>
                </c:pt>
                <c:pt idx="5">
                  <c:v>2015</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Sheet1!$B$2:$B$18</c:f>
              <c:numCache>
                <c:formatCode>_-* #\ ##0.0\ _€_-;\-* #\ ##0.0\ _€_-;_-* "-"??\ _€_-;_-@_-</c:formatCode>
                <c:ptCount val="17"/>
                <c:pt idx="0">
                  <c:v>8.3705020000000001</c:v>
                </c:pt>
                <c:pt idx="1">
                  <c:v>8.8500110000000003</c:v>
                </c:pt>
                <c:pt idx="2">
                  <c:v>8.0942900000000009</c:v>
                </c:pt>
                <c:pt idx="3">
                  <c:v>8.9003359999999994</c:v>
                </c:pt>
                <c:pt idx="4">
                  <c:v>8.7010000000000005</c:v>
                </c:pt>
                <c:pt idx="5">
                  <c:v>10.704000000000001</c:v>
                </c:pt>
              </c:numCache>
            </c:numRef>
          </c:val>
          <c:smooth val="0"/>
          <c:extLst>
            <c:ext xmlns:c16="http://schemas.microsoft.com/office/drawing/2014/chart" uri="{C3380CC4-5D6E-409C-BE32-E72D297353CC}">
              <c16:uniqueId val="{00000000-226C-46D0-B592-4388215DDBB0}"/>
            </c:ext>
          </c:extLst>
        </c:ser>
        <c:ser>
          <c:idx val="1"/>
          <c:order val="1"/>
          <c:tx>
            <c:strRef>
              <c:f>Sheet1!$C$1</c:f>
              <c:strCache>
                <c:ptCount val="1"/>
                <c:pt idx="0">
                  <c:v>Actual production Presscane</c:v>
                </c:pt>
              </c:strCache>
            </c:strRef>
          </c:tx>
          <c:spPr>
            <a:ln w="28575" cap="rnd">
              <a:solidFill>
                <a:schemeClr val="accent3"/>
              </a:solidFill>
              <a:round/>
            </a:ln>
            <a:effectLst/>
          </c:spPr>
          <c:marker>
            <c:symbol val="none"/>
          </c:marker>
          <c:cat>
            <c:strRef>
              <c:f>Sheet1!$A$2:$A$18</c:f>
              <c:strCache>
                <c:ptCount val="17"/>
                <c:pt idx="0">
                  <c:v>2010</c:v>
                </c:pt>
                <c:pt idx="1">
                  <c:v>2011</c:v>
                </c:pt>
                <c:pt idx="2">
                  <c:v>2012</c:v>
                </c:pt>
                <c:pt idx="3">
                  <c:v>2013</c:v>
                </c:pt>
                <c:pt idx="4">
                  <c:v>2014</c:v>
                </c:pt>
                <c:pt idx="5">
                  <c:v>2015</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Sheet1!$C$2:$C$18</c:f>
              <c:numCache>
                <c:formatCode>_-* #\ ##0.0\ _€_-;\-* #\ ##0.0\ _€_-;_-* "-"??\ _€_-;_-@_-</c:formatCode>
                <c:ptCount val="17"/>
                <c:pt idx="0">
                  <c:v>10.21799626</c:v>
                </c:pt>
                <c:pt idx="1">
                  <c:v>10.827863000000001</c:v>
                </c:pt>
                <c:pt idx="2">
                  <c:v>10.858482</c:v>
                </c:pt>
                <c:pt idx="3">
                  <c:v>10.484969</c:v>
                </c:pt>
                <c:pt idx="4">
                  <c:v>12.449638999999999</c:v>
                </c:pt>
                <c:pt idx="5">
                  <c:v>16.042762</c:v>
                </c:pt>
              </c:numCache>
            </c:numRef>
          </c:val>
          <c:smooth val="0"/>
          <c:extLst>
            <c:ext xmlns:c16="http://schemas.microsoft.com/office/drawing/2014/chart" uri="{C3380CC4-5D6E-409C-BE32-E72D297353CC}">
              <c16:uniqueId val="{00000001-226C-46D0-B592-4388215DDBB0}"/>
            </c:ext>
          </c:extLst>
        </c:ser>
        <c:ser>
          <c:idx val="2"/>
          <c:order val="2"/>
          <c:tx>
            <c:strRef>
              <c:f>Sheet1!$D$1</c:f>
              <c:strCache>
                <c:ptCount val="1"/>
                <c:pt idx="0">
                  <c:v>Total</c:v>
                </c:pt>
              </c:strCache>
            </c:strRef>
          </c:tx>
          <c:spPr>
            <a:ln w="28575" cap="rnd">
              <a:solidFill>
                <a:schemeClr val="accent2"/>
              </a:solidFill>
              <a:round/>
            </a:ln>
            <a:effectLst/>
          </c:spPr>
          <c:marker>
            <c:symbol val="none"/>
          </c:marker>
          <c:dLbls>
            <c:dLbl>
              <c:idx val="5"/>
              <c:layout>
                <c:manualLayout>
                  <c:x val="-9.7222222222222238E-2"/>
                  <c:y val="-1.984126984126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C-46D0-B592-4388215DDBB0}"/>
                </c:ext>
              </c:extLst>
            </c:dLbl>
            <c:dLbl>
              <c:idx val="6"/>
              <c:layout>
                <c:manualLayout>
                  <c:x val="1.3888888888888888E-2"/>
                  <c:y val="2.77780902387201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490740740740738E-2"/>
                      <c:h val="3.251999750031246E-2"/>
                    </c:manualLayout>
                  </c15:layout>
                </c:ext>
                <c:ext xmlns:c16="http://schemas.microsoft.com/office/drawing/2014/chart" uri="{C3380CC4-5D6E-409C-BE32-E72D297353CC}">
                  <c16:uniqueId val="{00000003-226C-46D0-B592-4388215DDBB0}"/>
                </c:ext>
              </c:extLst>
            </c:dLbl>
            <c:dLbl>
              <c:idx val="16"/>
              <c:layout>
                <c:manualLayout>
                  <c:x val="-7.8703703703703706E-2"/>
                  <c:y val="-3.1746031746031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6C-46D0-B592-4388215DDBB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Sheet1!$A$2:$A$18</c:f>
              <c:strCache>
                <c:ptCount val="17"/>
                <c:pt idx="0">
                  <c:v>2010</c:v>
                </c:pt>
                <c:pt idx="1">
                  <c:v>2011</c:v>
                </c:pt>
                <c:pt idx="2">
                  <c:v>2012</c:v>
                </c:pt>
                <c:pt idx="3">
                  <c:v>2013</c:v>
                </c:pt>
                <c:pt idx="4">
                  <c:v>2014</c:v>
                </c:pt>
                <c:pt idx="5">
                  <c:v>2015</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Sheet1!$D$2:$D$18</c:f>
              <c:numCache>
                <c:formatCode>_-* #\ ##0.0\ _€_-;\-* #\ ##0.0\ _€_-;_-* "-"??\ _€_-;_-@_-</c:formatCode>
                <c:ptCount val="17"/>
                <c:pt idx="0">
                  <c:v>18.588498260000001</c:v>
                </c:pt>
                <c:pt idx="1">
                  <c:v>19.677874000000003</c:v>
                </c:pt>
                <c:pt idx="2">
                  <c:v>18.952772000000003</c:v>
                </c:pt>
                <c:pt idx="3">
                  <c:v>19.385304999999999</c:v>
                </c:pt>
                <c:pt idx="4">
                  <c:v>21.150638999999998</c:v>
                </c:pt>
                <c:pt idx="5">
                  <c:v>26.746762</c:v>
                </c:pt>
                <c:pt idx="6" formatCode="General">
                  <c:v>43</c:v>
                </c:pt>
                <c:pt idx="7" formatCode="_-* #\ ##0\ _€_-;\-* #\ ##0\ _€_-;_-* &quot;-&quot;??\ _€_-;_-@_-">
                  <c:v>45.448900413850581</c:v>
                </c:pt>
                <c:pt idx="8" formatCode="_-* #\ ##0\ _€_-;\-* #\ ##0\ _€_-;_-* &quot;-&quot;??\ _€_-;_-@_-">
                  <c:v>48.037268577397846</c:v>
                </c:pt>
                <c:pt idx="9" formatCode="_-* #\ ##0\ _€_-;\-* #\ ##0\ _€_-;_-* &quot;-&quot;??\ _€_-;_-@_-">
                  <c:v>50.773047342501123</c:v>
                </c:pt>
                <c:pt idx="10" formatCode="_-* #\ ##0\ _€_-;\-* #\ ##0\ _€_-;_-* &quot;-&quot;??\ _€_-;_-@_-">
                  <c:v>53.664631915745446</c:v>
                </c:pt>
                <c:pt idx="11" formatCode="_-* #\ ##0\ _€_-;\-* #\ ##0\ _€_-;_-* &quot;-&quot;??\ _€_-;_-@_-">
                  <c:v>56.720895620573536</c:v>
                </c:pt>
                <c:pt idx="12" formatCode="_-* #\ ##0\ _€_-;\-* #\ ##0\ _€_-;_-* &quot;-&quot;??\ _€_-;_-@_-">
                  <c:v>59.951217126601392</c:v>
                </c:pt>
                <c:pt idx="13" formatCode="_-* #\ ##0\ _€_-;\-* #\ ##0\ _€_-;_-* &quot;-&quot;??\ _€_-;_-@_-">
                  <c:v>63.365509229675347</c:v>
                </c:pt>
                <c:pt idx="14" formatCode="_-* #\ ##0\ _€_-;\-* #\ ##0\ _€_-;_-* &quot;-&quot;??\ _€_-;_-@_-">
                  <c:v>66.974249270987073</c:v>
                </c:pt>
                <c:pt idx="15" formatCode="_-* #\ ##0\ _€_-;\-* #\ ##0\ _€_-;_-* &quot;-&quot;??\ _€_-;_-@_-">
                  <c:v>70.788511288592929</c:v>
                </c:pt>
                <c:pt idx="16" formatCode="General">
                  <c:v>75</c:v>
                </c:pt>
              </c:numCache>
            </c:numRef>
          </c:val>
          <c:smooth val="0"/>
          <c:extLst>
            <c:ext xmlns:c16="http://schemas.microsoft.com/office/drawing/2014/chart" uri="{C3380CC4-5D6E-409C-BE32-E72D297353CC}">
              <c16:uniqueId val="{00000005-226C-46D0-B592-4388215DDBB0}"/>
            </c:ext>
          </c:extLst>
        </c:ser>
        <c:ser>
          <c:idx val="3"/>
          <c:order val="3"/>
          <c:tx>
            <c:strRef>
              <c:f>Sheet1!$E$1</c:f>
              <c:strCache>
                <c:ptCount val="1"/>
                <c:pt idx="0">
                  <c:v>Capacity</c:v>
                </c:pt>
              </c:strCache>
            </c:strRef>
          </c:tx>
          <c:spPr>
            <a:ln w="28575" cap="rnd">
              <a:solidFill>
                <a:schemeClr val="accent4"/>
              </a:solidFill>
              <a:round/>
            </a:ln>
            <a:effectLst/>
          </c:spPr>
          <c:marker>
            <c:symbol val="none"/>
          </c:marker>
          <c:dLbls>
            <c:dLbl>
              <c:idx val="5"/>
              <c:layout>
                <c:manualLayout>
                  <c:x val="-7.175925925925925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6C-46D0-B592-4388215DDBB0}"/>
                </c:ext>
              </c:extLst>
            </c:dLbl>
            <c:dLbl>
              <c:idx val="6"/>
              <c:layout>
                <c:manualLayout>
                  <c:x val="1.3888888888888931E-2"/>
                  <c:y val="2.7777777777777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6C-46D0-B592-4388215DDBB0}"/>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6C-46D0-B592-4388215DDBB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Sheet1!$A$2:$A$18</c:f>
              <c:strCache>
                <c:ptCount val="17"/>
                <c:pt idx="0">
                  <c:v>2010</c:v>
                </c:pt>
                <c:pt idx="1">
                  <c:v>2011</c:v>
                </c:pt>
                <c:pt idx="2">
                  <c:v>2012</c:v>
                </c:pt>
                <c:pt idx="3">
                  <c:v>2013</c:v>
                </c:pt>
                <c:pt idx="4">
                  <c:v>2014</c:v>
                </c:pt>
                <c:pt idx="5">
                  <c:v>2015</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Sheet1!$E$2:$E$18</c:f>
              <c:numCache>
                <c:formatCode>_-* #\ ##0.0\ _€_-;\-* #\ ##0.0\ _€_-;_-* "-"??\ _€_-;_-@_-</c:formatCode>
                <c:ptCount val="17"/>
                <c:pt idx="0">
                  <c:v>35.1</c:v>
                </c:pt>
                <c:pt idx="1">
                  <c:v>35.1</c:v>
                </c:pt>
                <c:pt idx="2">
                  <c:v>35.1</c:v>
                </c:pt>
                <c:pt idx="3">
                  <c:v>35.1</c:v>
                </c:pt>
                <c:pt idx="4">
                  <c:v>35.1</c:v>
                </c:pt>
                <c:pt idx="5">
                  <c:v>35.1</c:v>
                </c:pt>
              </c:numCache>
            </c:numRef>
          </c:val>
          <c:smooth val="0"/>
          <c:extLst>
            <c:ext xmlns:c16="http://schemas.microsoft.com/office/drawing/2014/chart" uri="{C3380CC4-5D6E-409C-BE32-E72D297353CC}">
              <c16:uniqueId val="{00000009-226C-46D0-B592-4388215DDBB0}"/>
            </c:ext>
          </c:extLst>
        </c:ser>
        <c:dLbls>
          <c:showLegendKey val="0"/>
          <c:showVal val="0"/>
          <c:showCatName val="0"/>
          <c:showSerName val="0"/>
          <c:showPercent val="0"/>
          <c:showBubbleSize val="0"/>
        </c:dLbls>
        <c:smooth val="0"/>
        <c:axId val="169971712"/>
        <c:axId val="169973248"/>
      </c:lineChart>
      <c:catAx>
        <c:axId val="1699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973248"/>
        <c:crosses val="autoZero"/>
        <c:auto val="1"/>
        <c:lblAlgn val="ctr"/>
        <c:lblOffset val="100"/>
        <c:noMultiLvlLbl val="0"/>
      </c:catAx>
      <c:valAx>
        <c:axId val="169973248"/>
        <c:scaling>
          <c:orientation val="minMax"/>
        </c:scaling>
        <c:delete val="0"/>
        <c:axPos val="l"/>
        <c:majorGridlines>
          <c:spPr>
            <a:ln w="9525" cap="flat" cmpd="sng" algn="ctr">
              <a:no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971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Biodiesel production</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F5CF-4F3E-92E9-087D7F575609}"/>
                </c:ext>
              </c:extLst>
            </c:dLbl>
            <c:dLbl>
              <c:idx val="4"/>
              <c:delete val="1"/>
              <c:extLst>
                <c:ext xmlns:c15="http://schemas.microsoft.com/office/drawing/2012/chart" uri="{CE6537A1-D6FC-4f65-9D91-7224C49458BB}"/>
                <c:ext xmlns:c16="http://schemas.microsoft.com/office/drawing/2014/chart" uri="{C3380CC4-5D6E-409C-BE32-E72D297353CC}">
                  <c16:uniqueId val="{00000001-F5CF-4F3E-92E9-087D7F575609}"/>
                </c:ext>
              </c:extLst>
            </c:dLbl>
            <c:dLbl>
              <c:idx val="5"/>
              <c:delete val="1"/>
              <c:extLst>
                <c:ext xmlns:c15="http://schemas.microsoft.com/office/drawing/2012/chart" uri="{CE6537A1-D6FC-4f65-9D91-7224C49458BB}"/>
                <c:ext xmlns:c16="http://schemas.microsoft.com/office/drawing/2014/chart" uri="{C3380CC4-5D6E-409C-BE32-E72D297353CC}">
                  <c16:uniqueId val="{00000002-F5CF-4F3E-92E9-087D7F575609}"/>
                </c:ext>
              </c:extLst>
            </c:dLbl>
            <c:dLbl>
              <c:idx val="6"/>
              <c:delete val="1"/>
              <c:extLst>
                <c:ext xmlns:c15="http://schemas.microsoft.com/office/drawing/2012/chart" uri="{CE6537A1-D6FC-4f65-9D91-7224C49458BB}"/>
                <c:ext xmlns:c16="http://schemas.microsoft.com/office/drawing/2014/chart" uri="{C3380CC4-5D6E-409C-BE32-E72D297353CC}">
                  <c16:uniqueId val="{00000003-F5CF-4F3E-92E9-087D7F575609}"/>
                </c:ext>
              </c:extLst>
            </c:dLbl>
            <c:dLbl>
              <c:idx val="7"/>
              <c:delete val="1"/>
              <c:extLst>
                <c:ext xmlns:c15="http://schemas.microsoft.com/office/drawing/2012/chart" uri="{CE6537A1-D6FC-4f65-9D91-7224C49458BB}"/>
                <c:ext xmlns:c16="http://schemas.microsoft.com/office/drawing/2014/chart" uri="{C3380CC4-5D6E-409C-BE32-E72D297353CC}">
                  <c16:uniqueId val="{00000004-F5CF-4F3E-92E9-087D7F575609}"/>
                </c:ext>
              </c:extLst>
            </c:dLbl>
            <c:dLbl>
              <c:idx val="9"/>
              <c:delete val="1"/>
              <c:extLst>
                <c:ext xmlns:c15="http://schemas.microsoft.com/office/drawing/2012/chart" uri="{CE6537A1-D6FC-4f65-9D91-7224C49458BB}"/>
                <c:ext xmlns:c16="http://schemas.microsoft.com/office/drawing/2014/chart" uri="{C3380CC4-5D6E-409C-BE32-E72D297353CC}">
                  <c16:uniqueId val="{00000005-F5CF-4F3E-92E9-087D7F575609}"/>
                </c:ext>
              </c:extLst>
            </c:dLbl>
            <c:dLbl>
              <c:idx val="10"/>
              <c:delete val="1"/>
              <c:extLst>
                <c:ext xmlns:c15="http://schemas.microsoft.com/office/drawing/2012/chart" uri="{CE6537A1-D6FC-4f65-9D91-7224C49458BB}"/>
                <c:ext xmlns:c16="http://schemas.microsoft.com/office/drawing/2014/chart" uri="{C3380CC4-5D6E-409C-BE32-E72D297353CC}">
                  <c16:uniqueId val="{00000006-F5CF-4F3E-92E9-087D7F575609}"/>
                </c:ext>
              </c:extLst>
            </c:dLbl>
            <c:dLbl>
              <c:idx val="11"/>
              <c:delete val="1"/>
              <c:extLst>
                <c:ext xmlns:c15="http://schemas.microsoft.com/office/drawing/2012/chart" uri="{CE6537A1-D6FC-4f65-9D91-7224C49458BB}"/>
                <c:ext xmlns:c16="http://schemas.microsoft.com/office/drawing/2014/chart" uri="{C3380CC4-5D6E-409C-BE32-E72D297353CC}">
                  <c16:uniqueId val="{00000007-F5CF-4F3E-92E9-087D7F575609}"/>
                </c:ext>
              </c:extLst>
            </c:dLbl>
            <c:dLbl>
              <c:idx val="12"/>
              <c:delete val="1"/>
              <c:extLst>
                <c:ext xmlns:c15="http://schemas.microsoft.com/office/drawing/2012/chart" uri="{CE6537A1-D6FC-4f65-9D91-7224C49458BB}"/>
                <c:ext xmlns:c16="http://schemas.microsoft.com/office/drawing/2014/chart" uri="{C3380CC4-5D6E-409C-BE32-E72D297353CC}">
                  <c16:uniqueId val="{00000008-F5CF-4F3E-92E9-087D7F575609}"/>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Sheet1!$B$2:$B$15</c:f>
              <c:numCache>
                <c:formatCode>General</c:formatCode>
                <c:ptCount val="14"/>
                <c:pt idx="0">
                  <c:v>0.59399999999999997</c:v>
                </c:pt>
                <c:pt idx="1">
                  <c:v>0.93100000000000005</c:v>
                </c:pt>
                <c:pt idx="2">
                  <c:v>1.7849999999999999</c:v>
                </c:pt>
                <c:pt idx="3">
                  <c:v>3.0110000000000001</c:v>
                </c:pt>
                <c:pt idx="4">
                  <c:v>4.7220000000000004</c:v>
                </c:pt>
                <c:pt idx="5">
                  <c:v>7.0590000000000002</c:v>
                </c:pt>
                <c:pt idx="6">
                  <c:v>10.199999999999999</c:v>
                </c:pt>
                <c:pt idx="7">
                  <c:v>14.364000000000001</c:v>
                </c:pt>
                <c:pt idx="8">
                  <c:v>18.582999999999998</c:v>
                </c:pt>
                <c:pt idx="9">
                  <c:v>23.745000000000001</c:v>
                </c:pt>
                <c:pt idx="10">
                  <c:v>26.12</c:v>
                </c:pt>
                <c:pt idx="11">
                  <c:v>32.65</c:v>
                </c:pt>
                <c:pt idx="12">
                  <c:v>42.445</c:v>
                </c:pt>
                <c:pt idx="13">
                  <c:v>59.423000000000002</c:v>
                </c:pt>
              </c:numCache>
            </c:numRef>
          </c:val>
          <c:smooth val="0"/>
          <c:extLst>
            <c:ext xmlns:c16="http://schemas.microsoft.com/office/drawing/2014/chart" uri="{C3380CC4-5D6E-409C-BE32-E72D297353CC}">
              <c16:uniqueId val="{00000009-F5CF-4F3E-92E9-087D7F575609}"/>
            </c:ext>
          </c:extLst>
        </c:ser>
        <c:dLbls>
          <c:showLegendKey val="0"/>
          <c:showVal val="0"/>
          <c:showCatName val="0"/>
          <c:showSerName val="0"/>
          <c:showPercent val="0"/>
          <c:showBubbleSize val="0"/>
        </c:dLbls>
        <c:smooth val="0"/>
        <c:axId val="169297408"/>
        <c:axId val="169298944"/>
      </c:lineChart>
      <c:catAx>
        <c:axId val="1692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298944"/>
        <c:crosses val="autoZero"/>
        <c:auto val="1"/>
        <c:lblAlgn val="ctr"/>
        <c:lblOffset val="100"/>
        <c:noMultiLvlLbl val="0"/>
      </c:catAx>
      <c:valAx>
        <c:axId val="16929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29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5767806047759E-2"/>
          <c:y val="5.4160512063023143E-2"/>
          <c:w val="0.87857402260211825"/>
          <c:h val="0.64070800234165703"/>
        </c:manualLayout>
      </c:layout>
      <c:lineChart>
        <c:grouping val="standard"/>
        <c:varyColors val="0"/>
        <c:ser>
          <c:idx val="0"/>
          <c:order val="0"/>
          <c:tx>
            <c:strRef>
              <c:f>Sheet1!$B$1</c:f>
              <c:strCache>
                <c:ptCount val="1"/>
                <c:pt idx="0">
                  <c:v>Petrol</c:v>
                </c:pt>
              </c:strCache>
            </c:strRef>
          </c:tx>
          <c:spPr>
            <a:ln w="28575" cap="rnd">
              <a:solidFill>
                <a:schemeClr val="accent1"/>
              </a:solidFill>
              <a:round/>
            </a:ln>
            <a:effectLst/>
          </c:spPr>
          <c:marker>
            <c:symbol val="none"/>
          </c:marker>
          <c:dLbls>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91-44C1-A653-16CCB9B656F8}"/>
                </c:ext>
              </c:extLst>
            </c:dLbl>
            <c:dLbl>
              <c:idx val="2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91-44C1-A653-16CCB9B656F8}"/>
                </c:ext>
              </c:extLst>
            </c:dLbl>
            <c:dLbl>
              <c:idx val="3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91-44C1-A653-16CCB9B656F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Sheet1!$A$2:$A$33</c:f>
              <c:numCache>
                <c:formatCode>General</c:formatCod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numCache>
            </c:numRef>
          </c:cat>
          <c:val>
            <c:numRef>
              <c:f>Sheet1!$B$2:$B$33</c:f>
              <c:numCache>
                <c:formatCode>General</c:formatCode>
                <c:ptCount val="32"/>
                <c:pt idx="0">
                  <c:v>92</c:v>
                </c:pt>
                <c:pt idx="1">
                  <c:v>85</c:v>
                </c:pt>
                <c:pt idx="2">
                  <c:v>81</c:v>
                </c:pt>
                <c:pt idx="3">
                  <c:v>88</c:v>
                </c:pt>
                <c:pt idx="4">
                  <c:v>93</c:v>
                </c:pt>
                <c:pt idx="5">
                  <c:v>94</c:v>
                </c:pt>
                <c:pt idx="6">
                  <c:v>84</c:v>
                </c:pt>
                <c:pt idx="7">
                  <c:v>88</c:v>
                </c:pt>
                <c:pt idx="8">
                  <c:v>91</c:v>
                </c:pt>
                <c:pt idx="9">
                  <c:v>103</c:v>
                </c:pt>
                <c:pt idx="10">
                  <c:v>112</c:v>
                </c:pt>
                <c:pt idx="11">
                  <c:v>101</c:v>
                </c:pt>
                <c:pt idx="12">
                  <c:v>105</c:v>
                </c:pt>
                <c:pt idx="13">
                  <c:v>100</c:v>
                </c:pt>
                <c:pt idx="14">
                  <c:v>109</c:v>
                </c:pt>
                <c:pt idx="15" formatCode="_-* #\ ##0\ _€_-;\-* #\ ##0\ _€_-;_-* &quot;-&quot;??\ _€_-;_-@_-">
                  <c:v>110.23912124104821</c:v>
                </c:pt>
                <c:pt idx="16" formatCode="_-* #\ ##0\ _€_-;\-* #\ ##0\ _€_-;_-* &quot;-&quot;??\ _€_-;_-@_-">
                  <c:v>111.49232891741768</c:v>
                </c:pt>
                <c:pt idx="17" formatCode="_-* #\ ##0\ _€_-;\-* #\ ##0\ _€_-;_-* &quot;-&quot;??\ _€_-;_-@_-">
                  <c:v>112.75978316489939</c:v>
                </c:pt>
                <c:pt idx="18" formatCode="_-* #\ ##0\ _€_-;\-* #\ ##0\ _€_-;_-* &quot;-&quot;??\ _€_-;_-@_-">
                  <c:v>114.04164593972158</c:v>
                </c:pt>
                <c:pt idx="19" formatCode="_-* #\ ##0\ _€_-;\-* #\ ##0\ _€_-;_-* &quot;-&quot;??\ _€_-;_-@_-">
                  <c:v>115.3380810392446</c:v>
                </c:pt>
                <c:pt idx="20" formatCode="_-* #\ ##0\ _€_-;\-* #\ ##0\ _€_-;_-* &quot;-&quot;??\ _€_-;_-@_-">
                  <c:v>116.64925412289109</c:v>
                </c:pt>
                <c:pt idx="21" formatCode="_-* #\ ##0\ _€_-;\-* #\ ##0\ _€_-;_-* &quot;-&quot;??\ _€_-;_-@_-">
                  <c:v>117.97533273331408</c:v>
                </c:pt>
                <c:pt idx="22" formatCode="_-* #\ ##0\ _€_-;\-* #\ ##0\ _€_-;_-* &quot;-&quot;??\ _€_-;_-@_-">
                  <c:v>119.31648631780564</c:v>
                </c:pt>
                <c:pt idx="23" formatCode="_-* #\ ##0\ _€_-;\-* #\ ##0\ _€_-;_-* &quot;-&quot;??\ _€_-;_-@_-">
                  <c:v>120.67288624994904</c:v>
                </c:pt>
                <c:pt idx="24" formatCode="_-* #\ ##0\ _€_-;\-* #\ ##0\ _€_-;_-* &quot;-&quot;??\ _€_-;_-@_-">
                  <c:v>122.04470585151699</c:v>
                </c:pt>
                <c:pt idx="25" formatCode="_-* #\ ##0\ _€_-;\-* #\ ##0\ _€_-;_-* &quot;-&quot;??\ _€_-;_-@_-">
                  <c:v>123.43212041461879</c:v>
                </c:pt>
                <c:pt idx="26" formatCode="_-* #\ ##0\ _€_-;\-* #\ ##0\ _€_-;_-* &quot;-&quot;??\ _€_-;_-@_-">
                  <c:v>124.8353072240993</c:v>
                </c:pt>
                <c:pt idx="27" formatCode="_-* #\ ##0\ _€_-;\-* #\ ##0\ _€_-;_-* &quot;-&quot;??\ _€_-;_-@_-">
                  <c:v>126.25444558019252</c:v>
                </c:pt>
                <c:pt idx="28" formatCode="_-* #\ ##0\ _€_-;\-* #\ ##0\ _€_-;_-* &quot;-&quot;??\ _€_-;_-@_-">
                  <c:v>127.68971682143273</c:v>
                </c:pt>
                <c:pt idx="29" formatCode="_-* #\ ##0\ _€_-;\-* #\ ##0\ _€_-;_-* &quot;-&quot;??\ _€_-;_-@_-">
                  <c:v>129.14130434782601</c:v>
                </c:pt>
                <c:pt idx="30" formatCode="_-* #\ ##0\ _€_-;\-* #\ ##0\ _€_-;_-* &quot;-&quot;??\ _€_-;_-@_-">
                  <c:v>130.60939364428532</c:v>
                </c:pt>
                <c:pt idx="31" formatCode="_-* #\ ##0\ _€_-;\-* #\ ##0\ _€_-;_-* &quot;-&quot;??\ _€_-;_-@_-">
                  <c:v>132.09417230433175</c:v>
                </c:pt>
              </c:numCache>
            </c:numRef>
          </c:val>
          <c:smooth val="0"/>
          <c:extLst>
            <c:ext xmlns:c16="http://schemas.microsoft.com/office/drawing/2014/chart" uri="{C3380CC4-5D6E-409C-BE32-E72D297353CC}">
              <c16:uniqueId val="{00000003-D391-44C1-A653-16CCB9B656F8}"/>
            </c:ext>
          </c:extLst>
        </c:ser>
        <c:ser>
          <c:idx val="1"/>
          <c:order val="1"/>
          <c:tx>
            <c:strRef>
              <c:f>Sheet1!$C$1</c:f>
              <c:strCache>
                <c:ptCount val="1"/>
                <c:pt idx="0">
                  <c:v>Ethanol</c:v>
                </c:pt>
              </c:strCache>
            </c:strRef>
          </c:tx>
          <c:spPr>
            <a:ln w="28575" cap="rnd">
              <a:solidFill>
                <a:schemeClr val="accent1"/>
              </a:solidFill>
              <a:prstDash val="sysDash"/>
              <a:round/>
            </a:ln>
            <a:effectLst/>
          </c:spPr>
          <c:marker>
            <c:symbol val="none"/>
          </c:marker>
          <c:dLbls>
            <c:dLbl>
              <c:idx val="16"/>
              <c:tx>
                <c:rich>
                  <a:bodyPr/>
                  <a:lstStyle/>
                  <a:p>
                    <a:fld id="{4FED9D59-0E99-49A3-AF1F-008B70F3885C}" type="VALUE">
                      <a:rPr lang="en-US"/>
                      <a:pPr/>
                      <a:t>[VALUE]</a:t>
                    </a:fld>
                    <a:r>
                      <a:rPr lang="en-US"/>
                      <a:t>(E20)</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391-44C1-A653-16CCB9B656F8}"/>
                </c:ext>
              </c:extLst>
            </c:dLbl>
            <c:dLbl>
              <c:idx val="21"/>
              <c:tx>
                <c:rich>
                  <a:bodyPr/>
                  <a:lstStyle/>
                  <a:p>
                    <a:fld id="{DAE7ABAA-443E-4EF2-B422-37ADE9E7C9AB}" type="VALUE">
                      <a:rPr lang="en-US"/>
                      <a:pPr/>
                      <a:t>[VALUE]</a:t>
                    </a:fld>
                    <a:r>
                      <a:rPr lang="en-US"/>
                      <a:t>(E30)</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391-44C1-A653-16CCB9B656F8}"/>
                </c:ext>
              </c:extLst>
            </c:dLbl>
            <c:dLbl>
              <c:idx val="31"/>
              <c:tx>
                <c:rich>
                  <a:bodyPr/>
                  <a:lstStyle/>
                  <a:p>
                    <a:fld id="{0EFD73C4-AC6B-42E0-B0AF-AE99A65940AB}" type="VALUE">
                      <a:rPr lang="en-US"/>
                      <a:pPr/>
                      <a:t>[VALUE]</a:t>
                    </a:fld>
                    <a:r>
                      <a:rPr lang="en-US"/>
                      <a:t>(E30)</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391-44C1-A653-16CCB9B656F8}"/>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Sheet1!$A$2:$A$33</c:f>
              <c:numCache>
                <c:formatCode>General</c:formatCod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numCache>
            </c:numRef>
          </c:cat>
          <c:val>
            <c:numRef>
              <c:f>Sheet1!$C$2:$C$33</c:f>
              <c:numCache>
                <c:formatCode>General</c:formatCode>
                <c:ptCount val="32"/>
                <c:pt idx="13" formatCode="_-* #\ ##0\ _€_-;\-* #\ ##0\ _€_-;_-* &quot;-&quot;??\ _€_-;_-@_-">
                  <c:v>19</c:v>
                </c:pt>
                <c:pt idx="14" formatCode="_-* #\ ##0\ _€_-;\-* #\ ##0\ _€_-;_-* &quot;-&quot;??\ _€_-;_-@_-">
                  <c:v>19</c:v>
                </c:pt>
                <c:pt idx="15" formatCode="_-* #\ ##0\ _€_-;\-* #\ ##0\ _€_-;_-* &quot;-&quot;??\ _€_-;_-@_-">
                  <c:v>21</c:v>
                </c:pt>
                <c:pt idx="16" formatCode="_-* #\ ##0\ _€_-;\-* #\ ##0\ _€_-;_-* &quot;-&quot;??\ _€_-;_-@_-">
                  <c:v>22.298465783483536</c:v>
                </c:pt>
                <c:pt idx="17" formatCode="_-* #\ ##0\ _€_-;\-* #\ ##0\ _€_-;_-* &quot;-&quot;??\ _€_-;_-@_-">
                  <c:v>22.551956632979881</c:v>
                </c:pt>
                <c:pt idx="18" formatCode="_-* #\ ##0\ _€_-;\-* #\ ##0\ _€_-;_-* &quot;-&quot;??\ _€_-;_-@_-">
                  <c:v>22.808329187944317</c:v>
                </c:pt>
                <c:pt idx="19" formatCode="_-* #\ ##0\ _€_-;\-* #\ ##0\ _€_-;_-* &quot;-&quot;??\ _€_-;_-@_-">
                  <c:v>23.067616207848921</c:v>
                </c:pt>
                <c:pt idx="20" formatCode="_-* #\ ##0\ _€_-;\-* #\ ##0\ _€_-;_-* &quot;-&quot;??\ _€_-;_-@_-">
                  <c:v>23.329850824578219</c:v>
                </c:pt>
                <c:pt idx="21" formatCode="_-* #\ ##0\ _€_-;\-* #\ ##0\ _€_-;_-* &quot;-&quot;??\ _€_-;_-@_-">
                  <c:v>35.392599819994224</c:v>
                </c:pt>
                <c:pt idx="22" formatCode="_-* #\ ##0\ _€_-;\-* #\ ##0\ _€_-;_-* &quot;-&quot;??\ _€_-;_-@_-">
                  <c:v>35.794945895341691</c:v>
                </c:pt>
                <c:pt idx="23" formatCode="_-* #\ ##0\ _€_-;\-* #\ ##0\ _€_-;_-* &quot;-&quot;??\ _€_-;_-@_-">
                  <c:v>36.201865874984712</c:v>
                </c:pt>
                <c:pt idx="24" formatCode="_-* #\ ##0\ _€_-;\-* #\ ##0\ _€_-;_-* &quot;-&quot;??\ _€_-;_-@_-">
                  <c:v>36.613411755455097</c:v>
                </c:pt>
                <c:pt idx="25" formatCode="_-* #\ ##0\ _€_-;\-* #\ ##0\ _€_-;_-* &quot;-&quot;??\ _€_-;_-@_-">
                  <c:v>37.02963612438564</c:v>
                </c:pt>
                <c:pt idx="26" formatCode="_-* #\ ##0\ _€_-;\-* #\ ##0\ _€_-;_-* &quot;-&quot;??\ _€_-;_-@_-">
                  <c:v>37.450592167229786</c:v>
                </c:pt>
                <c:pt idx="27" formatCode="_-* #\ ##0\ _€_-;\-* #\ ##0\ _€_-;_-* &quot;-&quot;??\ _€_-;_-@_-">
                  <c:v>37.876333674057754</c:v>
                </c:pt>
                <c:pt idx="28" formatCode="_-* #\ ##0\ _€_-;\-* #\ ##0\ _€_-;_-* &quot;-&quot;??\ _€_-;_-@_-">
                  <c:v>38.306915046429815</c:v>
                </c:pt>
                <c:pt idx="29" formatCode="_-* #\ ##0\ _€_-;\-* #\ ##0\ _€_-;_-* &quot;-&quot;??\ _€_-;_-@_-">
                  <c:v>38.742391304347798</c:v>
                </c:pt>
                <c:pt idx="30" formatCode="_-* #\ ##0\ _€_-;\-* #\ ##0\ _€_-;_-* &quot;-&quot;??\ _€_-;_-@_-">
                  <c:v>39.182818093285597</c:v>
                </c:pt>
                <c:pt idx="31" formatCode="_-* #\ ##0\ _€_-;\-* #\ ##0\ _€_-;_-* &quot;-&quot;??\ _€_-;_-@_-">
                  <c:v>39.628251691299525</c:v>
                </c:pt>
              </c:numCache>
            </c:numRef>
          </c:val>
          <c:smooth val="0"/>
          <c:extLst>
            <c:ext xmlns:c16="http://schemas.microsoft.com/office/drawing/2014/chart" uri="{C3380CC4-5D6E-409C-BE32-E72D297353CC}">
              <c16:uniqueId val="{00000007-D391-44C1-A653-16CCB9B656F8}"/>
            </c:ext>
          </c:extLst>
        </c:ser>
        <c:dLbls>
          <c:showLegendKey val="0"/>
          <c:showVal val="0"/>
          <c:showCatName val="0"/>
          <c:showSerName val="0"/>
          <c:showPercent val="0"/>
          <c:showBubbleSize val="0"/>
        </c:dLbls>
        <c:smooth val="0"/>
        <c:axId val="170316160"/>
        <c:axId val="170317696"/>
      </c:lineChart>
      <c:catAx>
        <c:axId val="170316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160000" spcFirstLastPara="1" vertOverflow="ellipsis" vert="horz" wrap="square" anchor="ctr"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317696"/>
        <c:crosses val="autoZero"/>
        <c:auto val="1"/>
        <c:lblAlgn val="ctr"/>
        <c:lblOffset val="100"/>
        <c:tickLblSkip val="3"/>
        <c:tickMarkSkip val="1"/>
        <c:noMultiLvlLbl val="0"/>
      </c:catAx>
      <c:valAx>
        <c:axId val="1703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3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5767806047759E-2"/>
          <c:y val="5.4160512063023143E-2"/>
          <c:w val="0.87857402260211825"/>
          <c:h val="0.64070800234165703"/>
        </c:manualLayout>
      </c:layout>
      <c:lineChart>
        <c:grouping val="standard"/>
        <c:varyColors val="0"/>
        <c:ser>
          <c:idx val="2"/>
          <c:order val="0"/>
          <c:tx>
            <c:strRef>
              <c:f>Sheet1!$D$1</c:f>
              <c:strCache>
                <c:ptCount val="1"/>
                <c:pt idx="0">
                  <c:v>Diesel</c:v>
                </c:pt>
              </c:strCache>
            </c:strRef>
          </c:tx>
          <c:spPr>
            <a:ln w="28575" cap="rnd">
              <a:solidFill>
                <a:schemeClr val="accent2"/>
              </a:solidFill>
              <a:round/>
            </a:ln>
            <a:effectLst/>
          </c:spPr>
          <c:marker>
            <c:symbol val="none"/>
          </c:marker>
          <c:dLbls>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A2-4931-9FA2-D4A3D179C5FB}"/>
                </c:ext>
              </c:extLst>
            </c:dLbl>
            <c:dLbl>
              <c:idx val="20"/>
              <c:tx>
                <c:rich>
                  <a:bodyPr/>
                  <a:lstStyle/>
                  <a:p>
                    <a:r>
                      <a:rPr lang="en-US"/>
                      <a:t>265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A2-4931-9FA2-D4A3D179C5FB}"/>
                </c:ext>
              </c:extLst>
            </c:dLbl>
            <c:dLbl>
              <c:idx val="3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A2-4931-9FA2-D4A3D179C5F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Sheet1!$A$2:$A$33</c:f>
              <c:numCache>
                <c:formatCode>General</c:formatCod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numCache>
            </c:numRef>
          </c:cat>
          <c:val>
            <c:numRef>
              <c:f>Sheet1!$D$2:$D$33</c:f>
              <c:numCache>
                <c:formatCode>General</c:formatCode>
                <c:ptCount val="32"/>
                <c:pt idx="0">
                  <c:v>131</c:v>
                </c:pt>
                <c:pt idx="1">
                  <c:v>125</c:v>
                </c:pt>
                <c:pt idx="2">
                  <c:v>125</c:v>
                </c:pt>
                <c:pt idx="3">
                  <c:v>127</c:v>
                </c:pt>
                <c:pt idx="4">
                  <c:v>136</c:v>
                </c:pt>
                <c:pt idx="5">
                  <c:v>148</c:v>
                </c:pt>
                <c:pt idx="6">
                  <c:v>153</c:v>
                </c:pt>
                <c:pt idx="7">
                  <c:v>153</c:v>
                </c:pt>
                <c:pt idx="8">
                  <c:v>167</c:v>
                </c:pt>
                <c:pt idx="9">
                  <c:v>199</c:v>
                </c:pt>
                <c:pt idx="10">
                  <c:v>203</c:v>
                </c:pt>
                <c:pt idx="11">
                  <c:v>187</c:v>
                </c:pt>
                <c:pt idx="12">
                  <c:v>190</c:v>
                </c:pt>
                <c:pt idx="13">
                  <c:v>205</c:v>
                </c:pt>
                <c:pt idx="14">
                  <c:v>212</c:v>
                </c:pt>
                <c:pt idx="15" formatCode="_-* #\ ##0\ _€_-;\-* #\ ##0\ _€_-;_-* &quot;-&quot;??\ _€_-;_-@_-">
                  <c:v>218.91398091259759</c:v>
                </c:pt>
                <c:pt idx="16" formatCode="_-* #\ ##0\ _€_-;\-* #\ ##0\ _€_-;_-* &quot;-&quot;??\ _€_-;_-@_-">
                  <c:v>226.05344829717521</c:v>
                </c:pt>
                <c:pt idx="17" formatCode="_-* #\ ##0\ _€_-;\-* #\ ##0\ _€_-;_-* &quot;-&quot;??\ _€_-;_-@_-">
                  <c:v>233.42575597054096</c:v>
                </c:pt>
                <c:pt idx="18" formatCode="_-* #\ ##0\ _€_-;\-* #\ ##0\ _€_-;_-* &quot;-&quot;??\ _€_-;_-@_-">
                  <c:v>241.03849758039468</c:v>
                </c:pt>
                <c:pt idx="19" formatCode="_-* #\ ##0\ _€_-;\-* #\ ##0\ _€_-;_-* &quot;-&quot;??\ _€_-;_-@_-">
                  <c:v>248.89951442696096</c:v>
                </c:pt>
                <c:pt idx="20" formatCode="_-* #\ ##0\ _€_-;\-* #\ ##0\ _€_-;_-* &quot;-&quot;??\ _€_-;_-@_-">
                  <c:v>257.01690353971009</c:v>
                </c:pt>
                <c:pt idx="21" formatCode="_-* #\ ##0\ _€_-;\-* #\ ##0\ _€_-;_-* &quot;-&quot;??\ _€_-;_-@_-">
                  <c:v>265.39902601748599</c:v>
                </c:pt>
                <c:pt idx="22" formatCode="_-* #\ ##0\ _€_-;\-* #\ ##0\ _€_-;_-* &quot;-&quot;??\ _€_-;_-@_-">
                  <c:v>274.05451564063173</c:v>
                </c:pt>
                <c:pt idx="23" formatCode="_-* #\ ##0\ _€_-;\-* #\ ##0\ _€_-;_-* &quot;-&quot;??\ _€_-;_-@_-">
                  <c:v>282.9922877639832</c:v>
                </c:pt>
                <c:pt idx="24" formatCode="_-* #\ ##0\ _€_-;\-* #\ ##0\ _€_-;_-* &quot;-&quot;??\ _€_-;_-@_-">
                  <c:v>292.22154849989124</c:v>
                </c:pt>
                <c:pt idx="25" formatCode="_-* #\ ##0\ _€_-;\-* #\ ##0\ _€_-;_-* &quot;-&quot;??\ _€_-;_-@_-">
                  <c:v>301.7518042007307</c:v>
                </c:pt>
                <c:pt idx="26" formatCode="_-* #\ ##0\ _€_-;\-* #\ ##0\ _€_-;_-* &quot;-&quot;??\ _€_-;_-@_-">
                  <c:v>311.59287125066345</c:v>
                </c:pt>
                <c:pt idx="27" formatCode="_-* #\ ##0\ _€_-;\-* #\ ##0\ _€_-;_-* &quot;-&quot;??\ _€_-;_-@_-">
                  <c:v>321.75488617674159</c:v>
                </c:pt>
                <c:pt idx="28" formatCode="_-* #\ ##0\ _€_-;\-* #\ ##0\ _€_-;_-* &quot;-&quot;??\ _€_-;_-@_-">
                  <c:v>332.24831608976518</c:v>
                </c:pt>
                <c:pt idx="29" formatCode="_-* #\ ##0\ _€_-;\-* #\ ##0\ _€_-;_-* &quot;-&quot;??\ _€_-;_-@_-">
                  <c:v>343.08396946564881</c:v>
                </c:pt>
                <c:pt idx="30" formatCode="_-* #\ ##0\ _€_-;\-* #\ ##0\ _€_-;_-* &quot;-&quot;??\ _€_-;_-@_-">
                  <c:v>354.27300727840219</c:v>
                </c:pt>
                <c:pt idx="31" formatCode="_-* #\ ##0\ _€_-;\-* #\ ##0\ _€_-;_-* &quot;-&quot;??\ _€_-;_-@_-">
                  <c:v>365.82695449619195</c:v>
                </c:pt>
              </c:numCache>
            </c:numRef>
          </c:val>
          <c:smooth val="0"/>
          <c:extLst>
            <c:ext xmlns:c16="http://schemas.microsoft.com/office/drawing/2014/chart" uri="{C3380CC4-5D6E-409C-BE32-E72D297353CC}">
              <c16:uniqueId val="{00000003-16A2-4931-9FA2-D4A3D179C5FB}"/>
            </c:ext>
          </c:extLst>
        </c:ser>
        <c:ser>
          <c:idx val="3"/>
          <c:order val="1"/>
          <c:tx>
            <c:strRef>
              <c:f>Sheet1!$E$1</c:f>
              <c:strCache>
                <c:ptCount val="1"/>
                <c:pt idx="0">
                  <c:v>Biodiesel</c:v>
                </c:pt>
              </c:strCache>
            </c:strRef>
          </c:tx>
          <c:spPr>
            <a:ln w="28575" cap="rnd">
              <a:solidFill>
                <a:schemeClr val="accent2"/>
              </a:solidFill>
              <a:prstDash val="sysDash"/>
              <a:round/>
            </a:ln>
            <a:effectLst/>
          </c:spPr>
          <c:marker>
            <c:symbol val="none"/>
          </c:marker>
          <c:dLbls>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A2-4931-9FA2-D4A3D179C5FB}"/>
                </c:ext>
              </c:extLst>
            </c:dLbl>
            <c:dLbl>
              <c:idx val="2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A2-4931-9FA2-D4A3D179C5FB}"/>
                </c:ext>
              </c:extLst>
            </c:dLbl>
            <c:dLbl>
              <c:idx val="26"/>
              <c:layout>
                <c:manualLayout>
                  <c:x val="-0.12908749857354795"/>
                  <c:y val="-8.2058212872644656E-2"/>
                </c:manualLayout>
              </c:layout>
              <c:tx>
                <c:rich>
                  <a:bodyPr/>
                  <a:lstStyle/>
                  <a:p>
                    <a:fld id="{F5723401-F5C2-41F0-BA58-393014F2E2BB}" type="VALUE">
                      <a:rPr lang="en-US"/>
                      <a:pPr/>
                      <a:t>[VALUE]</a:t>
                    </a:fld>
                    <a:endParaRPr lang="en-US"/>
                  </a:p>
                  <a:p>
                    <a:r>
                      <a:rPr lang="en-US"/>
                      <a:t>(B5)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6A2-4931-9FA2-D4A3D179C5FB}"/>
                </c:ext>
              </c:extLst>
            </c:dLbl>
            <c:dLbl>
              <c:idx val="31"/>
              <c:layout>
                <c:manualLayout>
                  <c:x val="-4.528985507246377E-3"/>
                  <c:y val="-7.3940337681670451E-2"/>
                </c:manualLayout>
              </c:layout>
              <c:tx>
                <c:rich>
                  <a:bodyPr/>
                  <a:lstStyle/>
                  <a:p>
                    <a:fld id="{A9B8DDA1-CF0A-49DC-A077-45694168D500}" type="VALUE">
                      <a:rPr lang="en-US"/>
                      <a:pPr/>
                      <a:t>[VALUE]</a:t>
                    </a:fld>
                    <a:r>
                      <a:rPr lang="en-US"/>
                      <a:t>(B15)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6A2-4931-9FA2-D4A3D179C5FB}"/>
                </c:ext>
              </c:extLst>
            </c:dLbl>
            <c:spPr>
              <a:noFill/>
              <a:ln>
                <a:noFill/>
              </a:ln>
              <a:effectLst/>
            </c:spPr>
            <c:txPr>
              <a:bodyPr rot="0" spcFirstLastPara="1" vertOverflow="ellipsis" vert="horz" wrap="square" anchor="ctr" anchorCtr="1"/>
              <a:lstStyle/>
              <a:p>
                <a:pPr>
                  <a:defRPr sz="800" b="1" i="0" u="none" strike="noStrike" kern="1200" baseline="0">
                    <a:solidFill>
                      <a:schemeClr val="accent4"/>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Sheet1!$A$2:$A$33</c:f>
              <c:numCache>
                <c:formatCode>General</c:formatCod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numCache>
            </c:numRef>
          </c:cat>
          <c:val>
            <c:numRef>
              <c:f>Sheet1!$E$2:$E$33</c:f>
              <c:numCache>
                <c:formatCode>General</c:formatCode>
                <c:ptCount val="32"/>
                <c:pt idx="26" formatCode="_-* #\ ##0\ _€_-;\-* #\ ##0\ _€_-;_-* &quot;-&quot;??\ _€_-;_-@_-">
                  <c:v>15.579643562533173</c:v>
                </c:pt>
                <c:pt idx="27" formatCode="_-* #\ ##0\ _€_-;\-* #\ ##0\ _€_-;_-* &quot;-&quot;??\ _€_-;_-@_-">
                  <c:v>16.087744308837081</c:v>
                </c:pt>
                <c:pt idx="28" formatCode="_-* #\ ##0\ _€_-;\-* #\ ##0\ _€_-;_-* &quot;-&quot;??\ _€_-;_-@_-">
                  <c:v>16.612415804488261</c:v>
                </c:pt>
                <c:pt idx="29" formatCode="_-* #\ ##0\ _€_-;\-* #\ ##0\ _€_-;_-* &quot;-&quot;??\ _€_-;_-@_-">
                  <c:v>34.308396946564883</c:v>
                </c:pt>
                <c:pt idx="30" formatCode="_-* #\ ##0\ _€_-;\-* #\ ##0\ _€_-;_-* &quot;-&quot;??\ _€_-;_-@_-">
                  <c:v>35.427300727840219</c:v>
                </c:pt>
                <c:pt idx="31" formatCode="_-* #\ ##0\ _€_-;\-* #\ ##0\ _€_-;_-* &quot;-&quot;??\ _€_-;_-@_-">
                  <c:v>54.874043174428792</c:v>
                </c:pt>
              </c:numCache>
            </c:numRef>
          </c:val>
          <c:smooth val="0"/>
          <c:extLst>
            <c:ext xmlns:c16="http://schemas.microsoft.com/office/drawing/2014/chart" uri="{C3380CC4-5D6E-409C-BE32-E72D297353CC}">
              <c16:uniqueId val="{00000008-16A2-4931-9FA2-D4A3D179C5FB}"/>
            </c:ext>
          </c:extLst>
        </c:ser>
        <c:dLbls>
          <c:showLegendKey val="0"/>
          <c:showVal val="0"/>
          <c:showCatName val="0"/>
          <c:showSerName val="0"/>
          <c:showPercent val="0"/>
          <c:showBubbleSize val="0"/>
        </c:dLbls>
        <c:smooth val="0"/>
        <c:axId val="170388480"/>
        <c:axId val="170398464"/>
      </c:lineChart>
      <c:catAx>
        <c:axId val="170388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160000" spcFirstLastPara="1" vertOverflow="ellipsis" vert="horz" wrap="square" anchor="ctr"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398464"/>
        <c:crosses val="autoZero"/>
        <c:auto val="1"/>
        <c:lblAlgn val="ctr"/>
        <c:lblOffset val="100"/>
        <c:tickLblSkip val="3"/>
        <c:tickMarkSkip val="1"/>
        <c:noMultiLvlLbl val="0"/>
      </c:catAx>
      <c:valAx>
        <c:axId val="17039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38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6111111111112"/>
          <c:y val="0.21064814814814839"/>
          <c:w val="0.58333333333333337"/>
          <c:h val="0.55555555555555569"/>
        </c:manualLayout>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09-4FFE-9D4D-69EE04CF0B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09-4FFE-9D4D-69EE04CF0B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09-4FFE-9D4D-69EE04CF0BF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09-4FFE-9D4D-69EE04CF0BF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09-4FFE-9D4D-69EE04CF0BF5}"/>
              </c:ext>
            </c:extLst>
          </c:dPt>
          <c:dLbls>
            <c:dLbl>
              <c:idx val="0"/>
              <c:layout>
                <c:manualLayout>
                  <c:x val="5.2645888013998346E-2"/>
                  <c:y val="-0.127997229512977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09-4FFE-9D4D-69EE04CF0BF5}"/>
                </c:ext>
              </c:extLst>
            </c:dLbl>
            <c:dLbl>
              <c:idx val="1"/>
              <c:layout>
                <c:manualLayout>
                  <c:x val="-6.3917541557305432E-2"/>
                  <c:y val="6.85783027121608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09-4FFE-9D4D-69EE04CF0BF5}"/>
                </c:ext>
              </c:extLst>
            </c:dLbl>
            <c:dLbl>
              <c:idx val="2"/>
              <c:layout>
                <c:manualLayout>
                  <c:x val="-9.8216207349081361E-2"/>
                  <c:y val="-6.41659375911344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09-4FFE-9D4D-69EE04CF0BF5}"/>
                </c:ext>
              </c:extLst>
            </c:dLbl>
            <c:dLbl>
              <c:idx val="3"/>
              <c:layout>
                <c:manualLayout>
                  <c:x val="-1.5561679790026277E-2"/>
                  <c:y val="-4.67290026246718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09-4FFE-9D4D-69EE04CF0BF5}"/>
                </c:ext>
              </c:extLst>
            </c:dLbl>
            <c:dLbl>
              <c:idx val="4"/>
              <c:layout>
                <c:manualLayout>
                  <c:x val="0.12307414698162762"/>
                  <c:y val="-4.00783756197141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09-4FFE-9D4D-69EE04CF0B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Sheet1!$G$24:$K$24</c:f>
              <c:strCache>
                <c:ptCount val="5"/>
                <c:pt idx="0">
                  <c:v>Petrol</c:v>
                </c:pt>
                <c:pt idx="1">
                  <c:v>Diesel</c:v>
                </c:pt>
                <c:pt idx="2">
                  <c:v>Jeta-1</c:v>
                </c:pt>
                <c:pt idx="3">
                  <c:v>Paraffin</c:v>
                </c:pt>
                <c:pt idx="4">
                  <c:v>Avgas</c:v>
                </c:pt>
              </c:strCache>
            </c:strRef>
          </c:cat>
          <c:val>
            <c:numRef>
              <c:f>Sheet1!$G$25:$K$25</c:f>
              <c:numCache>
                <c:formatCode>General</c:formatCode>
                <c:ptCount val="5"/>
                <c:pt idx="0">
                  <c:v>1426588118</c:v>
                </c:pt>
                <c:pt idx="1">
                  <c:v>2461818204</c:v>
                </c:pt>
                <c:pt idx="2">
                  <c:v>145893930</c:v>
                </c:pt>
                <c:pt idx="3">
                  <c:v>287567915</c:v>
                </c:pt>
                <c:pt idx="4">
                  <c:v>3337251.5</c:v>
                </c:pt>
              </c:numCache>
            </c:numRef>
          </c:val>
          <c:extLst>
            <c:ext xmlns:c16="http://schemas.microsoft.com/office/drawing/2014/chart" uri="{C3380CC4-5D6E-409C-BE32-E72D297353CC}">
              <c16:uniqueId val="{0000000A-A109-4FFE-9D4D-69EE04CF0BF5}"/>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t>Fuel volume projections</a:t>
            </a:r>
            <a:endParaRPr lang="en-US" sz="1400"/>
          </a:p>
        </c:rich>
      </c:tx>
      <c:overlay val="0"/>
    </c:title>
    <c:autoTitleDeleted val="0"/>
    <c:plotArea>
      <c:layout>
        <c:manualLayout>
          <c:layoutTarget val="inner"/>
          <c:xMode val="edge"/>
          <c:yMode val="edge"/>
          <c:x val="0.15284000051531724"/>
          <c:y val="0.1606988549093222"/>
          <c:w val="0.74710677690155991"/>
          <c:h val="0.68476874987011749"/>
        </c:manualLayout>
      </c:layout>
      <c:scatterChart>
        <c:scatterStyle val="lineMarker"/>
        <c:varyColors val="0"/>
        <c:ser>
          <c:idx val="0"/>
          <c:order val="0"/>
          <c:spPr>
            <a:ln w="28575">
              <a:noFill/>
            </a:ln>
          </c:spPr>
          <c:trendline>
            <c:trendlineType val="linear"/>
            <c:forward val="16"/>
            <c:dispRSqr val="1"/>
            <c:dispEq val="1"/>
            <c:trendlineLbl>
              <c:layout>
                <c:manualLayout>
                  <c:x val="-0.1003386598859539"/>
                  <c:y val="-1.7046281066085727E-2"/>
                </c:manualLayout>
              </c:layout>
              <c:numFmt formatCode="General" sourceLinked="0"/>
              <c:txPr>
                <a:bodyPr/>
                <a:lstStyle/>
                <a:p>
                  <a:pPr>
                    <a:defRPr b="1"/>
                  </a:pPr>
                  <a:endParaRPr lang="en-US"/>
                </a:p>
              </c:txPr>
            </c:trendlineLbl>
          </c:trendline>
          <c:xVal>
            <c:numRef>
              <c:f>Sheet1!$W$27:$W$42</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xVal>
          <c:yVal>
            <c:numRef>
              <c:f>Sheet1!$X$27:$X$42</c:f>
              <c:numCache>
                <c:formatCode>0.0</c:formatCode>
                <c:ptCount val="16"/>
                <c:pt idx="0">
                  <c:v>270.394789</c:v>
                </c:pt>
                <c:pt idx="1">
                  <c:v>248.54524499999999</c:v>
                </c:pt>
                <c:pt idx="2">
                  <c:v>234.22470199999998</c:v>
                </c:pt>
                <c:pt idx="3">
                  <c:v>243.06238300000001</c:v>
                </c:pt>
                <c:pt idx="4">
                  <c:v>253.0382460000001</c:v>
                </c:pt>
                <c:pt idx="5">
                  <c:v>266.870655</c:v>
                </c:pt>
                <c:pt idx="6">
                  <c:v>258.5274109999998</c:v>
                </c:pt>
                <c:pt idx="7">
                  <c:v>259.15817199999981</c:v>
                </c:pt>
                <c:pt idx="8">
                  <c:v>289.90392100000003</c:v>
                </c:pt>
                <c:pt idx="9">
                  <c:v>333.74277699999999</c:v>
                </c:pt>
                <c:pt idx="10">
                  <c:v>339.46943800000003</c:v>
                </c:pt>
                <c:pt idx="11">
                  <c:v>310.3813819999998</c:v>
                </c:pt>
                <c:pt idx="12">
                  <c:v>318.02936</c:v>
                </c:pt>
                <c:pt idx="13">
                  <c:v>319.15946100000025</c:v>
                </c:pt>
                <c:pt idx="14">
                  <c:v>333.21584899999999</c:v>
                </c:pt>
                <c:pt idx="15">
                  <c:v>278.13569000000001</c:v>
                </c:pt>
              </c:numCache>
            </c:numRef>
          </c:yVal>
          <c:smooth val="0"/>
          <c:extLst>
            <c:ext xmlns:c16="http://schemas.microsoft.com/office/drawing/2014/chart" uri="{C3380CC4-5D6E-409C-BE32-E72D297353CC}">
              <c16:uniqueId val="{00000000-A480-443B-95AD-36CF4CE5E953}"/>
            </c:ext>
          </c:extLst>
        </c:ser>
        <c:dLbls>
          <c:showLegendKey val="0"/>
          <c:showVal val="0"/>
          <c:showCatName val="0"/>
          <c:showSerName val="0"/>
          <c:showPercent val="0"/>
          <c:showBubbleSize val="0"/>
        </c:dLbls>
        <c:axId val="488841984"/>
        <c:axId val="488843904"/>
      </c:scatterChart>
      <c:valAx>
        <c:axId val="488841984"/>
        <c:scaling>
          <c:orientation val="minMax"/>
          <c:max val="2030"/>
        </c:scaling>
        <c:delete val="0"/>
        <c:axPos val="b"/>
        <c:majorGridlines/>
        <c:minorGridlines/>
        <c:title>
          <c:tx>
            <c:rich>
              <a:bodyPr/>
              <a:lstStyle/>
              <a:p>
                <a:pPr>
                  <a:defRPr/>
                </a:pPr>
                <a:r>
                  <a:rPr lang="en-US"/>
                  <a:t>Year</a:t>
                </a:r>
              </a:p>
            </c:rich>
          </c:tx>
          <c:overlay val="0"/>
        </c:title>
        <c:numFmt formatCode="General" sourceLinked="1"/>
        <c:majorTickMark val="out"/>
        <c:minorTickMark val="none"/>
        <c:tickLblPos val="nextTo"/>
        <c:crossAx val="488843904"/>
        <c:crosses val="autoZero"/>
        <c:crossBetween val="midCat"/>
      </c:valAx>
      <c:valAx>
        <c:axId val="488843904"/>
        <c:scaling>
          <c:orientation val="minMax"/>
        </c:scaling>
        <c:delete val="0"/>
        <c:axPos val="l"/>
        <c:majorGridlines/>
        <c:minorGridlines/>
        <c:title>
          <c:tx>
            <c:rich>
              <a:bodyPr rot="-5400000" vert="horz"/>
              <a:lstStyle/>
              <a:p>
                <a:pPr>
                  <a:defRPr/>
                </a:pPr>
                <a:r>
                  <a:rPr lang="en-US"/>
                  <a:t>Volume (mill liters)</a:t>
                </a:r>
              </a:p>
            </c:rich>
          </c:tx>
          <c:overlay val="0"/>
        </c:title>
        <c:numFmt formatCode="0.0" sourceLinked="1"/>
        <c:majorTickMark val="out"/>
        <c:minorTickMark val="none"/>
        <c:tickLblPos val="nextTo"/>
        <c:crossAx val="48884198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Biomass</a:t>
            </a:r>
            <a:r>
              <a:rPr lang="en-US" baseline="0"/>
              <a:t> Consumption in Malawi</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75-45A2-A4B5-0427BC03E2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75-45A2-A4B5-0427BC03E2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75-45A2-A4B5-0427BC03E2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75-45A2-A4B5-0427BC03E2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75-45A2-A4B5-0427BC03E2B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5-45A2-A4B5-0427BC03E2B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5-45A2-A4B5-0427BC03E2B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5-45A2-A4B5-0427BC03E2B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75-45A2-A4B5-0427BC03E2B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75-45A2-A4B5-0427BC03E2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Sheet1!$D$4:$D$8</c:f>
              <c:strCache>
                <c:ptCount val="5"/>
                <c:pt idx="0">
                  <c:v>Households</c:v>
                </c:pt>
                <c:pt idx="1">
                  <c:v>Agriculture and Natural Resources</c:v>
                </c:pt>
                <c:pt idx="2">
                  <c:v>Transport</c:v>
                </c:pt>
                <c:pt idx="3">
                  <c:v>Industry and Mining</c:v>
                </c:pt>
                <c:pt idx="4">
                  <c:v>Other Social Services</c:v>
                </c:pt>
              </c:strCache>
            </c:strRef>
          </c:cat>
          <c:val>
            <c:numRef>
              <c:f>Sheet1!$E$4:$E$8</c:f>
              <c:numCache>
                <c:formatCode>0%</c:formatCode>
                <c:ptCount val="5"/>
                <c:pt idx="0">
                  <c:v>0.84</c:v>
                </c:pt>
                <c:pt idx="1">
                  <c:v>0.08</c:v>
                </c:pt>
                <c:pt idx="2">
                  <c:v>0.04</c:v>
                </c:pt>
                <c:pt idx="3">
                  <c:v>0.02</c:v>
                </c:pt>
                <c:pt idx="4">
                  <c:v>0.02</c:v>
                </c:pt>
              </c:numCache>
            </c:numRef>
          </c:val>
          <c:extLst>
            <c:ext xmlns:c16="http://schemas.microsoft.com/office/drawing/2014/chart" uri="{C3380CC4-5D6E-409C-BE32-E72D297353CC}">
              <c16:uniqueId val="{0000000A-F875-45A2-A4B5-0427BC03E2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F96-4E93-A0BE-E88D6103CFB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F96-4E93-A0BE-E88D6103CFB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F96-4E93-A0BE-E88D6103CFB8}"/>
              </c:ext>
            </c:extLst>
          </c:dPt>
          <c:dLbls>
            <c:dLbl>
              <c:idx val="0"/>
              <c:layout>
                <c:manualLayout>
                  <c:x val="0.48425937142472575"/>
                  <c:y val="-0.49697433654126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6-4E93-A0BE-E88D6103CF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Sheet1!$A$12:$A$14</c:f>
              <c:strCache>
                <c:ptCount val="3"/>
                <c:pt idx="0">
                  <c:v>Large Hydro</c:v>
                </c:pt>
                <c:pt idx="1">
                  <c:v>Small Hydro</c:v>
                </c:pt>
                <c:pt idx="2">
                  <c:v>Fossil</c:v>
                </c:pt>
              </c:strCache>
            </c:strRef>
          </c:cat>
          <c:val>
            <c:numRef>
              <c:f>Sheet1!$B$12:$B$14</c:f>
              <c:numCache>
                <c:formatCode>General</c:formatCode>
                <c:ptCount val="3"/>
                <c:pt idx="0">
                  <c:v>281.5</c:v>
                </c:pt>
                <c:pt idx="1">
                  <c:v>4.3499999999999996</c:v>
                </c:pt>
                <c:pt idx="2">
                  <c:v>2.15</c:v>
                </c:pt>
              </c:numCache>
            </c:numRef>
          </c:val>
          <c:extLst>
            <c:ext xmlns:c16="http://schemas.microsoft.com/office/drawing/2014/chart" uri="{C3380CC4-5D6E-409C-BE32-E72D297353CC}">
              <c16:uniqueId val="{00000006-8F96-4E93-A0BE-E88D6103CFB8}"/>
            </c:ext>
          </c:extLst>
        </c:ser>
        <c:dLbls>
          <c:showLegendKey val="0"/>
          <c:showVal val="0"/>
          <c:showCatName val="0"/>
          <c:showSerName val="0"/>
          <c:showPercent val="0"/>
          <c:showBubbleSize val="0"/>
          <c:showLeaderLines val="0"/>
        </c:dLbls>
        <c:firstSliceAng val="73"/>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6A32-42D4-BCF3-9490BCC8922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6A32-42D4-BCF3-9490BCC8922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6A32-42D4-BCF3-9490BCC8922E}"/>
              </c:ext>
            </c:extLst>
          </c:dPt>
          <c:dLbls>
            <c:dLbl>
              <c:idx val="0"/>
              <c:layout>
                <c:manualLayout>
                  <c:x val="0.48425937142472575"/>
                  <c:y val="-0.49697433654126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2-42D4-BCF3-9490BCC892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Sheet1!$A$12:$A$14</c:f>
              <c:strCache>
                <c:ptCount val="3"/>
                <c:pt idx="0">
                  <c:v>Large Hydro</c:v>
                </c:pt>
                <c:pt idx="1">
                  <c:v>Small Hydro</c:v>
                </c:pt>
                <c:pt idx="2">
                  <c:v>Fossil</c:v>
                </c:pt>
              </c:strCache>
            </c:strRef>
          </c:cat>
          <c:val>
            <c:numRef>
              <c:f>Sheet1!$B$12:$B$14</c:f>
              <c:numCache>
                <c:formatCode>General</c:formatCode>
                <c:ptCount val="3"/>
                <c:pt idx="0">
                  <c:v>281.5</c:v>
                </c:pt>
                <c:pt idx="1">
                  <c:v>4.3499999999999996</c:v>
                </c:pt>
                <c:pt idx="2">
                  <c:v>2.15</c:v>
                </c:pt>
              </c:numCache>
            </c:numRef>
          </c:val>
          <c:extLst>
            <c:ext xmlns:c16="http://schemas.microsoft.com/office/drawing/2014/chart" uri="{C3380CC4-5D6E-409C-BE32-E72D297353CC}">
              <c16:uniqueId val="{00000006-6A32-42D4-BCF3-9490BCC8922E}"/>
            </c:ext>
          </c:extLst>
        </c:ser>
        <c:dLbls>
          <c:showLegendKey val="0"/>
          <c:showVal val="0"/>
          <c:showCatName val="0"/>
          <c:showSerName val="0"/>
          <c:showPercent val="0"/>
          <c:showBubbleSize val="0"/>
          <c:showLeaderLines val="0"/>
        </c:dLbls>
        <c:firstSliceAng val="73"/>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13574833210272"/>
          <c:y val="2.3148148148148147E-2"/>
          <c:w val="0.46051061799093296"/>
          <c:h val="0.8935185185185184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0E-4E1A-BE1C-A3D7DD2FF1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0E-4E1A-BE1C-A3D7DD2FF1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0E-4E1A-BE1C-A3D7DD2FF1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0E-4E1A-BE1C-A3D7DD2FF1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0E-4E1A-BE1C-A3D7DD2FF1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70E-4E1A-BE1C-A3D7DD2FF1C3}"/>
              </c:ext>
            </c:extLst>
          </c:dPt>
          <c:dLbls>
            <c:dLbl>
              <c:idx val="0"/>
              <c:layout>
                <c:manualLayout>
                  <c:x val="-8.0729797823232002E-3"/>
                  <c:y val="-0.26765055409740451"/>
                </c:manualLayout>
              </c:layout>
              <c:tx>
                <c:rich>
                  <a:bodyPr/>
                  <a:lstStyle/>
                  <a:p>
                    <a:r>
                      <a:rPr lang="en-US"/>
                      <a:t>Large Hydro 1,471.5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0E-4E1A-BE1C-A3D7DD2FF1C3}"/>
                </c:ext>
              </c:extLst>
            </c:dLbl>
            <c:dLbl>
              <c:idx val="1"/>
              <c:layout>
                <c:manualLayout>
                  <c:x val="-1.2904855643044619E-2"/>
                  <c:y val="8.6865704286964128E-3"/>
                </c:manualLayout>
              </c:layout>
              <c:tx>
                <c:rich>
                  <a:bodyPr/>
                  <a:lstStyle/>
                  <a:p>
                    <a:r>
                      <a:rPr lang="en-US"/>
                      <a:t>Small Hydro 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0E-4E1A-BE1C-A3D7DD2FF1C3}"/>
                </c:ext>
              </c:extLst>
            </c:dLbl>
            <c:dLbl>
              <c:idx val="2"/>
              <c:layout>
                <c:manualLayout>
                  <c:x val="4.034235341197955E-3"/>
                  <c:y val="-1.0739647127442404E-2"/>
                </c:manualLayout>
              </c:layout>
              <c:tx>
                <c:rich>
                  <a:bodyPr/>
                  <a:lstStyle/>
                  <a:p>
                    <a:r>
                      <a:rPr lang="en-US"/>
                      <a:t>Diesel 48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0E-4E1A-BE1C-A3D7DD2FF1C3}"/>
                </c:ext>
              </c:extLst>
            </c:dLbl>
            <c:dLbl>
              <c:idx val="3"/>
              <c:layout>
                <c:manualLayout>
                  <c:x val="8.4160471351245737E-4"/>
                  <c:y val="-2.0648877223680372E-2"/>
                </c:manualLayout>
              </c:layout>
              <c:tx>
                <c:rich>
                  <a:bodyPr/>
                  <a:lstStyle/>
                  <a:p>
                    <a:r>
                      <a:rPr lang="en-US"/>
                      <a:t>Coal 200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0E-4E1A-BE1C-A3D7DD2FF1C3}"/>
                </c:ext>
              </c:extLst>
            </c:dLbl>
            <c:dLbl>
              <c:idx val="4"/>
              <c:layout>
                <c:manualLayout>
                  <c:x val="-4.0456959701798195E-3"/>
                  <c:y val="4.1554753572470106E-2"/>
                </c:manualLayout>
              </c:layout>
              <c:tx>
                <c:rich>
                  <a:bodyPr/>
                  <a:lstStyle/>
                  <a:p>
                    <a:r>
                      <a:rPr lang="en-US"/>
                      <a:t>Solar 99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0E-4E1A-BE1C-A3D7DD2FF1C3}"/>
                </c:ext>
              </c:extLst>
            </c:dLbl>
            <c:dLbl>
              <c:idx val="5"/>
              <c:layout>
                <c:manualLayout>
                  <c:x val="-3.7495412630943255E-2"/>
                  <c:y val="4.3884354638318614E-3"/>
                </c:manualLayout>
              </c:layout>
              <c:tx>
                <c:rich>
                  <a:bodyPr/>
                  <a:lstStyle/>
                  <a:p>
                    <a:r>
                      <a:rPr lang="en-US"/>
                      <a:t>Bagasse</a:t>
                    </a:r>
                    <a:r>
                      <a:rPr lang="en-US" baseline="0"/>
                      <a:t> </a:t>
                    </a:r>
                    <a:r>
                      <a:rPr lang="en-US"/>
                      <a:t>46 MW</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0E-4E1A-BE1C-A3D7DD2FF1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Sheet1!$F$3:$F$8</c:f>
              <c:numCache>
                <c:formatCode>General</c:formatCode>
                <c:ptCount val="6"/>
                <c:pt idx="0">
                  <c:v>1471.5</c:v>
                </c:pt>
                <c:pt idx="1">
                  <c:v>64</c:v>
                </c:pt>
                <c:pt idx="2">
                  <c:v>48</c:v>
                </c:pt>
                <c:pt idx="3">
                  <c:v>200</c:v>
                </c:pt>
                <c:pt idx="4">
                  <c:v>99</c:v>
                </c:pt>
                <c:pt idx="5">
                  <c:v>46</c:v>
                </c:pt>
              </c:numCache>
            </c:numRef>
          </c:val>
          <c:extLst>
            <c:ext xmlns:c16="http://schemas.microsoft.com/office/drawing/2014/chart" uri="{C3380CC4-5D6E-409C-BE32-E72D297353CC}">
              <c16:uniqueId val="{0000000C-B70E-4E1A-BE1C-A3D7DD2FF1C3}"/>
            </c:ext>
          </c:extLst>
        </c:ser>
        <c:dLbls>
          <c:showLegendKey val="0"/>
          <c:showVal val="0"/>
          <c:showCatName val="0"/>
          <c:showSerName val="0"/>
          <c:showPercent val="0"/>
          <c:showBubbleSize val="0"/>
          <c:showLeaderLines val="0"/>
        </c:dLbls>
        <c:firstSliceAng val="31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3871268427895"/>
          <c:y val="5.2948216378613057E-2"/>
          <c:w val="0.59697623077489148"/>
          <c:h val="0.81051271892900179"/>
        </c:manualLayout>
      </c:layout>
      <c:areaChart>
        <c:grouping val="stacked"/>
        <c:varyColors val="0"/>
        <c:ser>
          <c:idx val="0"/>
          <c:order val="0"/>
          <c:tx>
            <c:v>Large Hydro</c:v>
          </c:tx>
          <c:spPr>
            <a:solidFill>
              <a:schemeClr val="accent1"/>
            </a:solidFill>
            <a:ln>
              <a:noFill/>
            </a:ln>
            <a:effectLst/>
          </c:spPr>
          <c:cat>
            <c:numLit>
              <c:formatCode>General</c:formatCode>
              <c:ptCount val="4"/>
              <c:pt idx="0">
                <c:v>2015</c:v>
              </c:pt>
              <c:pt idx="1">
                <c:v>2020</c:v>
              </c:pt>
              <c:pt idx="2">
                <c:v>2025</c:v>
              </c:pt>
              <c:pt idx="3">
                <c:v>2030</c:v>
              </c:pt>
            </c:numLit>
          </c:cat>
          <c:val>
            <c:numRef>
              <c:f>Sheet1!$C$3:$F$3</c:f>
              <c:numCache>
                <c:formatCode>General</c:formatCode>
                <c:ptCount val="4"/>
                <c:pt idx="0">
                  <c:v>281.5</c:v>
                </c:pt>
                <c:pt idx="1">
                  <c:v>1181.5</c:v>
                </c:pt>
                <c:pt idx="2">
                  <c:v>1471.5</c:v>
                </c:pt>
                <c:pt idx="3">
                  <c:v>1471.5</c:v>
                </c:pt>
              </c:numCache>
            </c:numRef>
          </c:val>
          <c:extLst>
            <c:ext xmlns:c16="http://schemas.microsoft.com/office/drawing/2014/chart" uri="{C3380CC4-5D6E-409C-BE32-E72D297353CC}">
              <c16:uniqueId val="{00000000-6392-40C9-91E1-04C4633DA1FA}"/>
            </c:ext>
          </c:extLst>
        </c:ser>
        <c:ser>
          <c:idx val="1"/>
          <c:order val="1"/>
          <c:tx>
            <c:v>Small Hydro</c:v>
          </c:tx>
          <c:spPr>
            <a:solidFill>
              <a:schemeClr val="accent2"/>
            </a:solidFill>
            <a:ln>
              <a:noFill/>
            </a:ln>
            <a:effectLst/>
          </c:spPr>
          <c:cat>
            <c:numLit>
              <c:formatCode>General</c:formatCode>
              <c:ptCount val="4"/>
              <c:pt idx="0">
                <c:v>2015</c:v>
              </c:pt>
              <c:pt idx="1">
                <c:v>2020</c:v>
              </c:pt>
              <c:pt idx="2">
                <c:v>2025</c:v>
              </c:pt>
              <c:pt idx="3">
                <c:v>2030</c:v>
              </c:pt>
            </c:numLit>
          </c:cat>
          <c:val>
            <c:numRef>
              <c:f>Sheet1!$C$4:$F$4</c:f>
              <c:numCache>
                <c:formatCode>General</c:formatCode>
                <c:ptCount val="4"/>
                <c:pt idx="0">
                  <c:v>4.3499999999999996</c:v>
                </c:pt>
                <c:pt idx="1">
                  <c:v>41</c:v>
                </c:pt>
                <c:pt idx="2">
                  <c:v>64</c:v>
                </c:pt>
                <c:pt idx="3">
                  <c:v>64</c:v>
                </c:pt>
              </c:numCache>
            </c:numRef>
          </c:val>
          <c:extLst>
            <c:ext xmlns:c16="http://schemas.microsoft.com/office/drawing/2014/chart" uri="{C3380CC4-5D6E-409C-BE32-E72D297353CC}">
              <c16:uniqueId val="{00000001-6392-40C9-91E1-04C4633DA1FA}"/>
            </c:ext>
          </c:extLst>
        </c:ser>
        <c:ser>
          <c:idx val="2"/>
          <c:order val="2"/>
          <c:tx>
            <c:v>Diesel</c:v>
          </c:tx>
          <c:spPr>
            <a:solidFill>
              <a:schemeClr val="accent3"/>
            </a:solidFill>
            <a:ln>
              <a:noFill/>
            </a:ln>
            <a:effectLst/>
          </c:spPr>
          <c:cat>
            <c:numLit>
              <c:formatCode>General</c:formatCode>
              <c:ptCount val="4"/>
              <c:pt idx="0">
                <c:v>2015</c:v>
              </c:pt>
              <c:pt idx="1">
                <c:v>2020</c:v>
              </c:pt>
              <c:pt idx="2">
                <c:v>2025</c:v>
              </c:pt>
              <c:pt idx="3">
                <c:v>2030</c:v>
              </c:pt>
            </c:numLit>
          </c:cat>
          <c:val>
            <c:numRef>
              <c:f>Sheet1!$C$5:$F$5</c:f>
              <c:numCache>
                <c:formatCode>General</c:formatCode>
                <c:ptCount val="4"/>
                <c:pt idx="0">
                  <c:v>2</c:v>
                </c:pt>
                <c:pt idx="1">
                  <c:v>48</c:v>
                </c:pt>
                <c:pt idx="2">
                  <c:v>48</c:v>
                </c:pt>
                <c:pt idx="3">
                  <c:v>48</c:v>
                </c:pt>
              </c:numCache>
            </c:numRef>
          </c:val>
          <c:extLst>
            <c:ext xmlns:c16="http://schemas.microsoft.com/office/drawing/2014/chart" uri="{C3380CC4-5D6E-409C-BE32-E72D297353CC}">
              <c16:uniqueId val="{00000002-6392-40C9-91E1-04C4633DA1FA}"/>
            </c:ext>
          </c:extLst>
        </c:ser>
        <c:ser>
          <c:idx val="3"/>
          <c:order val="3"/>
          <c:tx>
            <c:v>Coal</c:v>
          </c:tx>
          <c:spPr>
            <a:solidFill>
              <a:schemeClr val="accent4"/>
            </a:solidFill>
            <a:ln>
              <a:noFill/>
            </a:ln>
            <a:effectLst/>
          </c:spPr>
          <c:cat>
            <c:numLit>
              <c:formatCode>General</c:formatCode>
              <c:ptCount val="4"/>
              <c:pt idx="0">
                <c:v>2015</c:v>
              </c:pt>
              <c:pt idx="1">
                <c:v>2020</c:v>
              </c:pt>
              <c:pt idx="2">
                <c:v>2025</c:v>
              </c:pt>
              <c:pt idx="3">
                <c:v>2030</c:v>
              </c:pt>
            </c:numLit>
          </c:cat>
          <c:val>
            <c:numRef>
              <c:f>Sheet1!$C$6:$F$6</c:f>
              <c:numCache>
                <c:formatCode>General</c:formatCode>
                <c:ptCount val="4"/>
                <c:pt idx="0">
                  <c:v>0</c:v>
                </c:pt>
                <c:pt idx="1">
                  <c:v>200</c:v>
                </c:pt>
                <c:pt idx="2">
                  <c:v>200</c:v>
                </c:pt>
                <c:pt idx="3">
                  <c:v>200</c:v>
                </c:pt>
              </c:numCache>
            </c:numRef>
          </c:val>
          <c:extLst>
            <c:ext xmlns:c16="http://schemas.microsoft.com/office/drawing/2014/chart" uri="{C3380CC4-5D6E-409C-BE32-E72D297353CC}">
              <c16:uniqueId val="{00000003-6392-40C9-91E1-04C4633DA1FA}"/>
            </c:ext>
          </c:extLst>
        </c:ser>
        <c:ser>
          <c:idx val="4"/>
          <c:order val="4"/>
          <c:tx>
            <c:v>Solar</c:v>
          </c:tx>
          <c:spPr>
            <a:solidFill>
              <a:schemeClr val="accent5"/>
            </a:solidFill>
            <a:ln>
              <a:noFill/>
            </a:ln>
            <a:effectLst/>
          </c:spPr>
          <c:cat>
            <c:numLit>
              <c:formatCode>General</c:formatCode>
              <c:ptCount val="4"/>
              <c:pt idx="0">
                <c:v>2015</c:v>
              </c:pt>
              <c:pt idx="1">
                <c:v>2020</c:v>
              </c:pt>
              <c:pt idx="2">
                <c:v>2025</c:v>
              </c:pt>
              <c:pt idx="3">
                <c:v>2030</c:v>
              </c:pt>
            </c:numLit>
          </c:cat>
          <c:val>
            <c:numRef>
              <c:f>Sheet1!$C$7:$F$7</c:f>
              <c:numCache>
                <c:formatCode>General</c:formatCode>
                <c:ptCount val="4"/>
                <c:pt idx="0">
                  <c:v>0</c:v>
                </c:pt>
                <c:pt idx="1">
                  <c:v>99</c:v>
                </c:pt>
                <c:pt idx="2">
                  <c:v>99</c:v>
                </c:pt>
                <c:pt idx="3">
                  <c:v>99</c:v>
                </c:pt>
              </c:numCache>
            </c:numRef>
          </c:val>
          <c:extLst>
            <c:ext xmlns:c16="http://schemas.microsoft.com/office/drawing/2014/chart" uri="{C3380CC4-5D6E-409C-BE32-E72D297353CC}">
              <c16:uniqueId val="{00000004-6392-40C9-91E1-04C4633DA1FA}"/>
            </c:ext>
          </c:extLst>
        </c:ser>
        <c:ser>
          <c:idx val="5"/>
          <c:order val="5"/>
          <c:tx>
            <c:v>Bagasse</c:v>
          </c:tx>
          <c:spPr>
            <a:solidFill>
              <a:schemeClr val="accent6"/>
            </a:solidFill>
            <a:ln>
              <a:noFill/>
            </a:ln>
            <a:effectLst/>
          </c:spPr>
          <c:cat>
            <c:numLit>
              <c:formatCode>General</c:formatCode>
              <c:ptCount val="4"/>
              <c:pt idx="0">
                <c:v>2015</c:v>
              </c:pt>
              <c:pt idx="1">
                <c:v>2020</c:v>
              </c:pt>
              <c:pt idx="2">
                <c:v>2025</c:v>
              </c:pt>
              <c:pt idx="3">
                <c:v>2030</c:v>
              </c:pt>
            </c:numLit>
          </c:cat>
          <c:val>
            <c:numRef>
              <c:f>Sheet1!$C$8:$F$8</c:f>
              <c:numCache>
                <c:formatCode>General</c:formatCode>
                <c:ptCount val="4"/>
                <c:pt idx="0">
                  <c:v>0</c:v>
                </c:pt>
                <c:pt idx="1">
                  <c:v>46</c:v>
                </c:pt>
                <c:pt idx="2">
                  <c:v>46</c:v>
                </c:pt>
                <c:pt idx="3">
                  <c:v>46</c:v>
                </c:pt>
              </c:numCache>
            </c:numRef>
          </c:val>
          <c:extLst>
            <c:ext xmlns:c16="http://schemas.microsoft.com/office/drawing/2014/chart" uri="{C3380CC4-5D6E-409C-BE32-E72D297353CC}">
              <c16:uniqueId val="{00000005-6392-40C9-91E1-04C4633DA1FA}"/>
            </c:ext>
          </c:extLst>
        </c:ser>
        <c:dLbls>
          <c:showLegendKey val="0"/>
          <c:showVal val="0"/>
          <c:showCatName val="0"/>
          <c:showSerName val="0"/>
          <c:showPercent val="0"/>
          <c:showBubbleSize val="0"/>
        </c:dLbls>
        <c:axId val="151889408"/>
        <c:axId val="151890944"/>
      </c:areaChart>
      <c:catAx>
        <c:axId val="151889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90944"/>
        <c:crosses val="autoZero"/>
        <c:auto val="1"/>
        <c:lblAlgn val="ctr"/>
        <c:lblOffset val="100"/>
        <c:noMultiLvlLbl val="0"/>
      </c:catAx>
      <c:valAx>
        <c:axId val="15189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894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Sheet1!$H$3</c:f>
              <c:strCache>
                <c:ptCount val="1"/>
                <c:pt idx="0">
                  <c:v>Solar</c:v>
                </c:pt>
              </c:strCache>
            </c:strRef>
          </c:tx>
          <c:cat>
            <c:numLit>
              <c:formatCode>General</c:formatCode>
              <c:ptCount val="4"/>
              <c:pt idx="0">
                <c:v>2015</c:v>
              </c:pt>
              <c:pt idx="1">
                <c:v>2020</c:v>
              </c:pt>
              <c:pt idx="2">
                <c:v>2025</c:v>
              </c:pt>
              <c:pt idx="3">
                <c:v>2030</c:v>
              </c:pt>
            </c:numLit>
          </c:cat>
          <c:val>
            <c:numRef>
              <c:f>Sheet1!$I$3:$L$3</c:f>
              <c:numCache>
                <c:formatCode>General</c:formatCode>
                <c:ptCount val="4"/>
                <c:pt idx="0">
                  <c:v>0</c:v>
                </c:pt>
                <c:pt idx="1">
                  <c:v>100</c:v>
                </c:pt>
                <c:pt idx="2">
                  <c:v>200</c:v>
                </c:pt>
                <c:pt idx="3">
                  <c:v>550</c:v>
                </c:pt>
              </c:numCache>
            </c:numRef>
          </c:val>
          <c:extLst>
            <c:ext xmlns:c16="http://schemas.microsoft.com/office/drawing/2014/chart" uri="{C3380CC4-5D6E-409C-BE32-E72D297353CC}">
              <c16:uniqueId val="{00000000-0FAB-4EC3-A253-74E225C340A2}"/>
            </c:ext>
          </c:extLst>
        </c:ser>
        <c:ser>
          <c:idx val="1"/>
          <c:order val="1"/>
          <c:tx>
            <c:strRef>
              <c:f>Sheet1!$H$4</c:f>
              <c:strCache>
                <c:ptCount val="1"/>
                <c:pt idx="0">
                  <c:v>Small hydro</c:v>
                </c:pt>
              </c:strCache>
            </c:strRef>
          </c:tx>
          <c:cat>
            <c:numLit>
              <c:formatCode>General</c:formatCode>
              <c:ptCount val="4"/>
              <c:pt idx="0">
                <c:v>2015</c:v>
              </c:pt>
              <c:pt idx="1">
                <c:v>2020</c:v>
              </c:pt>
              <c:pt idx="2">
                <c:v>2025</c:v>
              </c:pt>
              <c:pt idx="3">
                <c:v>2030</c:v>
              </c:pt>
            </c:numLit>
          </c:cat>
          <c:val>
            <c:numRef>
              <c:f>Sheet1!$I$4:$L$4</c:f>
              <c:numCache>
                <c:formatCode>General</c:formatCode>
                <c:ptCount val="4"/>
                <c:pt idx="0">
                  <c:v>4.3499999999999996</c:v>
                </c:pt>
                <c:pt idx="1">
                  <c:v>45.35</c:v>
                </c:pt>
                <c:pt idx="2">
                  <c:v>105.35</c:v>
                </c:pt>
                <c:pt idx="3">
                  <c:v>105.35</c:v>
                </c:pt>
              </c:numCache>
            </c:numRef>
          </c:val>
          <c:extLst>
            <c:ext xmlns:c16="http://schemas.microsoft.com/office/drawing/2014/chart" uri="{C3380CC4-5D6E-409C-BE32-E72D297353CC}">
              <c16:uniqueId val="{00000001-0FAB-4EC3-A253-74E225C340A2}"/>
            </c:ext>
          </c:extLst>
        </c:ser>
        <c:dLbls>
          <c:showLegendKey val="0"/>
          <c:showVal val="0"/>
          <c:showCatName val="0"/>
          <c:showSerName val="0"/>
          <c:showPercent val="0"/>
          <c:showBubbleSize val="0"/>
        </c:dLbls>
        <c:axId val="151932288"/>
        <c:axId val="168354944"/>
      </c:areaChart>
      <c:catAx>
        <c:axId val="151932288"/>
        <c:scaling>
          <c:orientation val="minMax"/>
        </c:scaling>
        <c:delete val="0"/>
        <c:axPos val="b"/>
        <c:numFmt formatCode="General" sourceLinked="1"/>
        <c:majorTickMark val="out"/>
        <c:minorTickMark val="none"/>
        <c:tickLblPos val="nextTo"/>
        <c:crossAx val="168354944"/>
        <c:crosses val="autoZero"/>
        <c:auto val="1"/>
        <c:lblAlgn val="ctr"/>
        <c:lblOffset val="100"/>
        <c:noMultiLvlLbl val="0"/>
      </c:catAx>
      <c:valAx>
        <c:axId val="168354944"/>
        <c:scaling>
          <c:orientation val="minMax"/>
        </c:scaling>
        <c:delete val="0"/>
        <c:axPos val="l"/>
        <c:majorGridlines/>
        <c:numFmt formatCode="General" sourceLinked="1"/>
        <c:majorTickMark val="out"/>
        <c:minorTickMark val="none"/>
        <c:tickLblPos val="nextTo"/>
        <c:crossAx val="151932288"/>
        <c:crosses val="autoZero"/>
        <c:crossBetween val="midCat"/>
      </c:valAx>
    </c:plotArea>
    <c:legend>
      <c:legendPos val="r"/>
      <c:overlay val="0"/>
    </c:legend>
    <c:plotVisOnly val="1"/>
    <c:dispBlanksAs val="zero"/>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4.jpeg"/></Relationships>
</file>

<file path=word/drawings/drawing1.xml><?xml version="1.0" encoding="utf-8"?>
<c:userShapes xmlns:c="http://schemas.openxmlformats.org/drawingml/2006/chart">
  <cdr:relSizeAnchor xmlns:cdr="http://schemas.openxmlformats.org/drawingml/2006/chartDrawing">
    <cdr:from>
      <cdr:x>0.54429</cdr:x>
      <cdr:y>0.36176</cdr:y>
    </cdr:from>
    <cdr:to>
      <cdr:x>0.98965</cdr:x>
      <cdr:y>0.61785</cdr:y>
    </cdr:to>
    <cdr:pic>
      <cdr:nvPicPr>
        <cdr:cNvPr id="2" name="Picture 1"/>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t="2011"/>
        <a:stretch xmlns:a="http://schemas.openxmlformats.org/drawingml/2006/main"/>
      </cdr:blipFill>
      <cdr:spPr>
        <a:xfrm xmlns:a="http://schemas.openxmlformats.org/drawingml/2006/main">
          <a:off x="2986209" y="1157770"/>
          <a:ext cx="2443403" cy="81959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Deloitte">
      <a:dk1>
        <a:srgbClr val="000000"/>
      </a:dk1>
      <a:lt1>
        <a:srgbClr val="FFFFFF"/>
      </a:lt1>
      <a:dk2>
        <a:srgbClr val="002776"/>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6D1AE-771A-4606-B4E2-38295F7E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dt_Recto</Template>
  <TotalTime>0</TotalTime>
  <Pages>9</Pages>
  <Words>52548</Words>
  <Characters>299525</Characters>
  <Application>Microsoft Office Word</Application>
  <DocSecurity>0</DocSecurity>
  <Lines>2496</Lines>
  <Paragraphs>702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Deloitte proposal document A4</vt:lpstr>
      <vt:lpstr>Deloitte proposal document A4</vt:lpstr>
      <vt:lpstr>Deloitte proposal document A4</vt:lpstr>
    </vt:vector>
  </TitlesOfParts>
  <Company>TP</Company>
  <LinksUpToDate>false</LinksUpToDate>
  <CharactersWithSpaces>351371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Deloitte proposal document A4</dc:title>
  <dc:creator>Deloitte;BIO by Deloitte</dc:creator>
  <cp:lastModifiedBy>Austin Patikani Theu</cp:lastModifiedBy>
  <cp:revision>2</cp:revision>
  <cp:lastPrinted>2016-07-01T09:37:00Z</cp:lastPrinted>
  <dcterms:created xsi:type="dcterms:W3CDTF">2017-07-12T13:01:00Z</dcterms:created>
  <dcterms:modified xsi:type="dcterms:W3CDTF">2017-07-12T13:01:00Z</dcterms:modified>
</cp:coreProperties>
</file>